
<file path=[Content_Types].xml><?xml version="1.0" encoding="utf-8"?>
<Types xmlns="http://schemas.openxmlformats.org/package/2006/content-types">
  <Default Extension="bin" ContentType="application/vnd.openxmlformats-officedocument.oleObject"/>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a"/>
        <w:tblW w:w="92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04"/>
        <w:gridCol w:w="784"/>
      </w:tblGrid>
      <w:tr w:rsidR="003B18E3" w14:paraId="51F560FF" w14:textId="77777777">
        <w:tc>
          <w:tcPr>
            <w:tcW w:w="8504" w:type="dxa"/>
          </w:tcPr>
          <w:p w14:paraId="2C9A044F" w14:textId="7E7436A2" w:rsidR="003B18E3" w:rsidRDefault="00000000">
            <w:pPr>
              <w:pStyle w:val="Title"/>
              <w:ind w:left="1" w:hanging="3"/>
              <w:jc w:val="left"/>
              <w:rPr>
                <w:rFonts w:ascii="Arial" w:eastAsia="Arial" w:hAnsi="Arial" w:cs="Arial"/>
                <w:sz w:val="30"/>
                <w:szCs w:val="30"/>
              </w:rPr>
            </w:pPr>
            <w:r>
              <w:pict w14:anchorId="789511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0;text-align:left;margin-left:0;margin-top:0;width:50pt;height:50pt;z-index:251657728;visibility:hidden">
                  <v:path o:extrusionok="t"/>
                  <o:lock v:ext="edit" selection="t"/>
                </v:shape>
              </w:pict>
            </w:r>
            <w:r w:rsidR="003E0FE7">
              <w:rPr>
                <w:rFonts w:ascii="Arial" w:eastAsia="Arial" w:hAnsi="Arial" w:cs="Arial"/>
                <w:lang w:val="en-US"/>
              </w:rPr>
              <w:t xml:space="preserve">Water Quality Restoration Effort using Numerical Modelling in the </w:t>
            </w:r>
            <w:proofErr w:type="spellStart"/>
            <w:r w:rsidR="003E0FE7">
              <w:rPr>
                <w:rFonts w:ascii="Arial" w:eastAsia="Arial" w:hAnsi="Arial" w:cs="Arial"/>
                <w:lang w:val="en-US"/>
              </w:rPr>
              <w:t>Cikakembang</w:t>
            </w:r>
            <w:proofErr w:type="spellEnd"/>
            <w:r w:rsidR="003E0FE7">
              <w:rPr>
                <w:rFonts w:ascii="Arial" w:eastAsia="Arial" w:hAnsi="Arial" w:cs="Arial"/>
                <w:lang w:val="en-US"/>
              </w:rPr>
              <w:t xml:space="preserve"> River</w:t>
            </w:r>
          </w:p>
        </w:tc>
        <w:tc>
          <w:tcPr>
            <w:tcW w:w="784" w:type="dxa"/>
            <w:vAlign w:val="center"/>
          </w:tcPr>
          <w:p w14:paraId="2BA41CE6" w14:textId="77777777" w:rsidR="003B18E3" w:rsidRDefault="00000000">
            <w:pPr>
              <w:pStyle w:val="Title"/>
              <w:ind w:left="1" w:hanging="3"/>
              <w:rPr>
                <w:rFonts w:ascii="Arial" w:eastAsia="Arial" w:hAnsi="Arial" w:cs="Arial"/>
              </w:rPr>
            </w:pPr>
            <w:r>
              <w:rPr>
                <w:rFonts w:ascii="Arial" w:eastAsia="Arial" w:hAnsi="Arial" w:cs="Arial"/>
                <w:noProof/>
              </w:rPr>
              <w:drawing>
                <wp:inline distT="0" distB="0" distL="114300" distR="114300" wp14:anchorId="09BFF484" wp14:editId="24141C6F">
                  <wp:extent cx="360045" cy="360045"/>
                  <wp:effectExtent l="0" t="0" r="0" b="0"/>
                  <wp:docPr id="1033"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9"/>
                          <a:srcRect/>
                          <a:stretch>
                            <a:fillRect/>
                          </a:stretch>
                        </pic:blipFill>
                        <pic:spPr>
                          <a:xfrm>
                            <a:off x="0" y="0"/>
                            <a:ext cx="360045" cy="360045"/>
                          </a:xfrm>
                          <a:prstGeom prst="rect">
                            <a:avLst/>
                          </a:prstGeom>
                          <a:ln/>
                        </pic:spPr>
                      </pic:pic>
                    </a:graphicData>
                  </a:graphic>
                </wp:inline>
              </w:drawing>
            </w:r>
          </w:p>
        </w:tc>
      </w:tr>
    </w:tbl>
    <w:p w14:paraId="4D96EE61" w14:textId="77777777" w:rsidR="003B18E3" w:rsidRDefault="003B18E3">
      <w:pPr>
        <w:pStyle w:val="Title"/>
        <w:ind w:left="1" w:hanging="3"/>
        <w:rPr>
          <w:rFonts w:ascii="Arial" w:eastAsia="Arial" w:hAnsi="Arial" w:cs="Arial"/>
        </w:rPr>
      </w:pPr>
    </w:p>
    <w:p w14:paraId="3243CD9D" w14:textId="7958F6ED" w:rsidR="003B18E3" w:rsidRPr="00842E97" w:rsidRDefault="00562E0D">
      <w:pPr>
        <w:widowControl w:val="0"/>
        <w:spacing w:after="0" w:line="240" w:lineRule="auto"/>
        <w:ind w:left="0" w:hanging="2"/>
        <w:rPr>
          <w:rFonts w:ascii="Arial" w:eastAsia="Arial" w:hAnsi="Arial" w:cs="Arial"/>
          <w:sz w:val="20"/>
          <w:szCs w:val="20"/>
          <w:lang w:val="id-ID"/>
        </w:rPr>
      </w:pPr>
      <w:r>
        <w:rPr>
          <w:rFonts w:ascii="Arial" w:eastAsia="Arial" w:hAnsi="Arial" w:cs="Arial"/>
          <w:b/>
          <w:sz w:val="20"/>
          <w:szCs w:val="20"/>
          <w:lang w:val="id-ID"/>
        </w:rPr>
        <w:t>Steven Kent</w:t>
      </w:r>
      <w:r>
        <w:rPr>
          <w:rFonts w:ascii="Arial" w:eastAsia="Arial" w:hAnsi="Arial" w:cs="Arial"/>
          <w:b/>
          <w:sz w:val="20"/>
          <w:szCs w:val="20"/>
          <w:vertAlign w:val="superscript"/>
          <w:lang w:val="id-ID"/>
        </w:rPr>
        <w:t>1,2</w:t>
      </w:r>
      <w:r w:rsidRPr="00842E97">
        <w:rPr>
          <w:rFonts w:ascii="Arial" w:eastAsia="Arial" w:hAnsi="Arial" w:cs="Arial"/>
          <w:b/>
          <w:sz w:val="20"/>
          <w:szCs w:val="20"/>
          <w:lang w:val="id-ID"/>
        </w:rPr>
        <w:t>,</w:t>
      </w:r>
      <w:r>
        <w:rPr>
          <w:rFonts w:ascii="Arial" w:eastAsia="Arial" w:hAnsi="Arial" w:cs="Arial"/>
          <w:b/>
          <w:sz w:val="20"/>
          <w:szCs w:val="20"/>
          <w:lang w:val="id-ID"/>
        </w:rPr>
        <w:t xml:space="preserve"> </w:t>
      </w:r>
      <w:r w:rsidR="007620B1">
        <w:rPr>
          <w:rFonts w:ascii="Arial" w:eastAsia="Arial" w:hAnsi="Arial" w:cs="Arial"/>
          <w:b/>
          <w:sz w:val="20"/>
          <w:szCs w:val="20"/>
          <w:lang w:val="id-ID"/>
        </w:rPr>
        <w:t>Doddi Yudianto</w:t>
      </w:r>
      <w:r w:rsidR="00842E97" w:rsidRPr="00842E97">
        <w:rPr>
          <w:rFonts w:ascii="Arial" w:eastAsia="Arial" w:hAnsi="Arial" w:cs="Arial"/>
          <w:b/>
          <w:sz w:val="20"/>
          <w:szCs w:val="20"/>
          <w:vertAlign w:val="superscript"/>
          <w:lang w:val="id-ID"/>
        </w:rPr>
        <w:t>1</w:t>
      </w:r>
      <w:r w:rsidR="007620B1" w:rsidRPr="00842E97">
        <w:rPr>
          <w:rFonts w:ascii="Arial" w:eastAsia="Arial" w:hAnsi="Arial" w:cs="Arial"/>
          <w:b/>
          <w:sz w:val="20"/>
          <w:szCs w:val="20"/>
          <w:vertAlign w:val="superscript"/>
          <w:lang w:val="id-ID"/>
        </w:rPr>
        <w:t>*</w:t>
      </w:r>
      <w:r w:rsidR="00842E97" w:rsidRPr="00842E97">
        <w:rPr>
          <w:rFonts w:ascii="Arial" w:eastAsia="Arial" w:hAnsi="Arial" w:cs="Arial"/>
          <w:b/>
          <w:sz w:val="20"/>
          <w:szCs w:val="20"/>
          <w:lang w:val="id-ID"/>
        </w:rPr>
        <w:t>,</w:t>
      </w:r>
      <w:r>
        <w:rPr>
          <w:rFonts w:ascii="Arial" w:eastAsia="Arial" w:hAnsi="Arial" w:cs="Arial"/>
          <w:b/>
          <w:sz w:val="20"/>
          <w:szCs w:val="20"/>
          <w:lang w:val="id-ID"/>
        </w:rPr>
        <w:t xml:space="preserve"> </w:t>
      </w:r>
      <w:r w:rsidR="00842E97">
        <w:rPr>
          <w:rFonts w:ascii="Arial" w:eastAsia="Arial" w:hAnsi="Arial" w:cs="Arial"/>
          <w:b/>
          <w:sz w:val="20"/>
          <w:szCs w:val="20"/>
          <w:lang w:val="id-ID"/>
        </w:rPr>
        <w:t>Gao Cheng</w:t>
      </w:r>
      <w:r w:rsidR="00842E97">
        <w:rPr>
          <w:rFonts w:ascii="Arial" w:eastAsia="Arial" w:hAnsi="Arial" w:cs="Arial"/>
          <w:b/>
          <w:sz w:val="20"/>
          <w:szCs w:val="20"/>
          <w:vertAlign w:val="superscript"/>
          <w:lang w:val="id-ID"/>
        </w:rPr>
        <w:t>2</w:t>
      </w:r>
      <w:r w:rsidR="00842E97" w:rsidRPr="00842E97">
        <w:rPr>
          <w:rFonts w:ascii="Arial" w:eastAsia="Arial" w:hAnsi="Arial" w:cs="Arial"/>
          <w:b/>
          <w:sz w:val="20"/>
          <w:szCs w:val="20"/>
          <w:lang w:val="id-ID"/>
        </w:rPr>
        <w:t xml:space="preserve">, </w:t>
      </w:r>
      <w:r w:rsidR="00842E97">
        <w:rPr>
          <w:rFonts w:ascii="Arial" w:eastAsia="Arial" w:hAnsi="Arial" w:cs="Arial"/>
          <w:b/>
          <w:sz w:val="20"/>
          <w:szCs w:val="20"/>
          <w:lang w:val="id-ID"/>
        </w:rPr>
        <w:t>Finna Fitriana</w:t>
      </w:r>
      <w:r w:rsidR="00842E97" w:rsidRPr="00842E97">
        <w:rPr>
          <w:rFonts w:ascii="Arial" w:eastAsia="Arial" w:hAnsi="Arial" w:cs="Arial"/>
          <w:b/>
          <w:sz w:val="20"/>
          <w:szCs w:val="20"/>
          <w:vertAlign w:val="superscript"/>
          <w:lang w:val="id-ID"/>
        </w:rPr>
        <w:t>1</w:t>
      </w:r>
      <w:r w:rsidR="00842E97" w:rsidRPr="00842E97">
        <w:rPr>
          <w:rFonts w:ascii="Arial" w:eastAsia="Arial" w:hAnsi="Arial" w:cs="Arial"/>
          <w:b/>
          <w:sz w:val="20"/>
          <w:szCs w:val="20"/>
          <w:lang w:val="id-ID"/>
        </w:rPr>
        <w:t xml:space="preserve">, </w:t>
      </w:r>
      <w:r w:rsidR="00842E97">
        <w:rPr>
          <w:rFonts w:ascii="Arial" w:eastAsia="Arial" w:hAnsi="Arial" w:cs="Arial"/>
          <w:b/>
          <w:sz w:val="20"/>
          <w:szCs w:val="20"/>
          <w:lang w:val="id-ID"/>
        </w:rPr>
        <w:t>Wang Qian</w:t>
      </w:r>
      <w:r w:rsidR="00842E97" w:rsidRPr="00842E97">
        <w:rPr>
          <w:rFonts w:ascii="Arial" w:eastAsia="Arial" w:hAnsi="Arial" w:cs="Arial"/>
          <w:b/>
          <w:sz w:val="20"/>
          <w:szCs w:val="20"/>
          <w:vertAlign w:val="superscript"/>
          <w:lang w:val="id-ID"/>
        </w:rPr>
        <w:t>2</w:t>
      </w:r>
    </w:p>
    <w:p w14:paraId="6E33D9B9" w14:textId="3FAE02AA" w:rsidR="003B18E3" w:rsidRDefault="00000000">
      <w:pPr>
        <w:widowControl w:val="0"/>
        <w:tabs>
          <w:tab w:val="left" w:pos="9020"/>
        </w:tabs>
        <w:spacing w:after="0" w:line="240" w:lineRule="auto"/>
        <w:ind w:left="0" w:hanging="2"/>
        <w:rPr>
          <w:rFonts w:ascii="Arial" w:eastAsia="Arial" w:hAnsi="Arial" w:cs="Arial"/>
          <w:sz w:val="16"/>
          <w:szCs w:val="16"/>
        </w:rPr>
      </w:pPr>
      <w:r>
        <w:rPr>
          <w:rFonts w:ascii="Arial" w:eastAsia="Arial" w:hAnsi="Arial" w:cs="Arial"/>
          <w:sz w:val="16"/>
          <w:szCs w:val="16"/>
          <w:vertAlign w:val="superscript"/>
        </w:rPr>
        <w:t>1</w:t>
      </w:r>
      <w:r w:rsidR="00842E97">
        <w:rPr>
          <w:rFonts w:ascii="Arial" w:eastAsia="Arial" w:hAnsi="Arial" w:cs="Arial"/>
          <w:sz w:val="16"/>
          <w:szCs w:val="16"/>
        </w:rPr>
        <w:t xml:space="preserve">Department of Civil Engineering, </w:t>
      </w:r>
      <w:proofErr w:type="spellStart"/>
      <w:r w:rsidR="00842E97">
        <w:rPr>
          <w:rFonts w:ascii="Arial" w:eastAsia="Arial" w:hAnsi="Arial" w:cs="Arial"/>
          <w:sz w:val="16"/>
          <w:szCs w:val="16"/>
        </w:rPr>
        <w:t>Parahyangan</w:t>
      </w:r>
      <w:proofErr w:type="spellEnd"/>
      <w:r w:rsidR="00842E97">
        <w:rPr>
          <w:rFonts w:ascii="Arial" w:eastAsia="Arial" w:hAnsi="Arial" w:cs="Arial"/>
          <w:sz w:val="16"/>
          <w:szCs w:val="16"/>
        </w:rPr>
        <w:t xml:space="preserve"> Catholic University, Indonesia</w:t>
      </w:r>
    </w:p>
    <w:p w14:paraId="5634784E" w14:textId="1025E6C2" w:rsidR="003B18E3" w:rsidRDefault="00000000">
      <w:pPr>
        <w:widowControl w:val="0"/>
        <w:tabs>
          <w:tab w:val="left" w:pos="9020"/>
        </w:tabs>
        <w:spacing w:after="0" w:line="240" w:lineRule="auto"/>
        <w:ind w:left="0" w:hanging="2"/>
        <w:rPr>
          <w:rFonts w:ascii="Arial" w:eastAsia="Arial" w:hAnsi="Arial" w:cs="Arial"/>
          <w:sz w:val="16"/>
          <w:szCs w:val="16"/>
        </w:rPr>
      </w:pPr>
      <w:r>
        <w:rPr>
          <w:rFonts w:ascii="Arial" w:eastAsia="Arial" w:hAnsi="Arial" w:cs="Arial"/>
          <w:sz w:val="16"/>
          <w:szCs w:val="16"/>
          <w:vertAlign w:val="superscript"/>
        </w:rPr>
        <w:t>2</w:t>
      </w:r>
      <w:r w:rsidR="00842E97">
        <w:rPr>
          <w:rFonts w:ascii="Arial" w:eastAsia="Arial" w:hAnsi="Arial" w:cs="Arial"/>
          <w:sz w:val="16"/>
          <w:szCs w:val="16"/>
        </w:rPr>
        <w:t xml:space="preserve">Institute of Water Science and Technology, </w:t>
      </w:r>
      <w:proofErr w:type="spellStart"/>
      <w:r w:rsidR="00842E97">
        <w:rPr>
          <w:rFonts w:ascii="Arial" w:eastAsia="Arial" w:hAnsi="Arial" w:cs="Arial"/>
          <w:sz w:val="16"/>
          <w:szCs w:val="16"/>
        </w:rPr>
        <w:t>Hohai</w:t>
      </w:r>
      <w:proofErr w:type="spellEnd"/>
      <w:r w:rsidR="00842E97">
        <w:rPr>
          <w:rFonts w:ascii="Arial" w:eastAsia="Arial" w:hAnsi="Arial" w:cs="Arial"/>
          <w:sz w:val="16"/>
          <w:szCs w:val="16"/>
        </w:rPr>
        <w:t xml:space="preserve"> University, China</w:t>
      </w:r>
    </w:p>
    <w:p w14:paraId="14109FD6" w14:textId="77777777" w:rsidR="003B18E3" w:rsidRDefault="003B18E3">
      <w:pPr>
        <w:widowControl w:val="0"/>
        <w:tabs>
          <w:tab w:val="left" w:pos="9020"/>
        </w:tabs>
        <w:spacing w:after="0" w:line="240" w:lineRule="auto"/>
        <w:ind w:left="0" w:hanging="2"/>
        <w:rPr>
          <w:rFonts w:ascii="Arial" w:eastAsia="Arial" w:hAnsi="Arial" w:cs="Arial"/>
          <w:sz w:val="20"/>
          <w:szCs w:val="20"/>
        </w:rPr>
      </w:pPr>
      <w:bookmarkStart w:id="0" w:name="_heading=h.gjdgxs" w:colFirst="0" w:colLast="0"/>
      <w:bookmarkEnd w:id="0"/>
    </w:p>
    <w:tbl>
      <w:tblPr>
        <w:tblStyle w:val="a0"/>
        <w:tblW w:w="9071" w:type="dxa"/>
        <w:tblInd w:w="-108" w:type="dxa"/>
        <w:tblBorders>
          <w:top w:val="single" w:sz="12" w:space="0" w:color="000000"/>
          <w:left w:val="nil"/>
          <w:bottom w:val="single" w:sz="12" w:space="0" w:color="000000"/>
          <w:right w:val="nil"/>
          <w:insideH w:val="nil"/>
          <w:insideV w:val="nil"/>
        </w:tblBorders>
        <w:tblLayout w:type="fixed"/>
        <w:tblLook w:val="0000" w:firstRow="0" w:lastRow="0" w:firstColumn="0" w:lastColumn="0" w:noHBand="0" w:noVBand="0"/>
      </w:tblPr>
      <w:tblGrid>
        <w:gridCol w:w="6236"/>
        <w:gridCol w:w="2835"/>
      </w:tblGrid>
      <w:tr w:rsidR="003B18E3" w14:paraId="5CB38EFD" w14:textId="77777777">
        <w:tc>
          <w:tcPr>
            <w:tcW w:w="6236" w:type="dxa"/>
            <w:shd w:val="clear" w:color="auto" w:fill="9CC2E5"/>
          </w:tcPr>
          <w:p w14:paraId="5CD0A391" w14:textId="77777777" w:rsidR="003B18E3" w:rsidRDefault="00000000">
            <w:pPr>
              <w:shd w:val="clear" w:color="auto" w:fill="9CC2E5"/>
              <w:spacing w:before="120" w:after="0" w:line="240" w:lineRule="auto"/>
              <w:ind w:left="0" w:hanging="2"/>
              <w:jc w:val="both"/>
              <w:rPr>
                <w:rFonts w:ascii="Arial" w:eastAsia="Arial" w:hAnsi="Arial" w:cs="Arial"/>
                <w:sz w:val="20"/>
                <w:szCs w:val="20"/>
              </w:rPr>
            </w:pPr>
            <w:r>
              <w:rPr>
                <w:rFonts w:ascii="Arial" w:eastAsia="Arial" w:hAnsi="Arial" w:cs="Arial"/>
                <w:b/>
                <w:i/>
                <w:sz w:val="20"/>
                <w:szCs w:val="20"/>
              </w:rPr>
              <w:t xml:space="preserve">Abstract </w:t>
            </w:r>
          </w:p>
          <w:p w14:paraId="1E4DD2F0" w14:textId="283DC1DB" w:rsidR="003B18E3" w:rsidRDefault="00842E97" w:rsidP="00842E97">
            <w:pPr>
              <w:shd w:val="clear" w:color="auto" w:fill="9CC2E5"/>
              <w:spacing w:after="0" w:line="240" w:lineRule="auto"/>
              <w:ind w:left="0" w:hanging="2"/>
              <w:jc w:val="both"/>
              <w:rPr>
                <w:rFonts w:ascii="Arial" w:eastAsia="Arial" w:hAnsi="Arial" w:cs="Arial"/>
                <w:i/>
                <w:sz w:val="20"/>
                <w:szCs w:val="20"/>
              </w:rPr>
            </w:pPr>
            <w:r w:rsidRPr="00842E97">
              <w:rPr>
                <w:rFonts w:ascii="Arial" w:eastAsia="Arial" w:hAnsi="Arial" w:cs="Arial"/>
                <w:i/>
                <w:sz w:val="20"/>
                <w:szCs w:val="20"/>
              </w:rPr>
              <w:t xml:space="preserve">The poor condition of the </w:t>
            </w:r>
            <w:proofErr w:type="spellStart"/>
            <w:r w:rsidRPr="00842E97">
              <w:rPr>
                <w:rFonts w:ascii="Arial" w:eastAsia="Arial" w:hAnsi="Arial" w:cs="Arial"/>
                <w:i/>
                <w:sz w:val="20"/>
                <w:szCs w:val="20"/>
              </w:rPr>
              <w:t>Citarum</w:t>
            </w:r>
            <w:proofErr w:type="spellEnd"/>
            <w:r w:rsidRPr="00842E97">
              <w:rPr>
                <w:rFonts w:ascii="Arial" w:eastAsia="Arial" w:hAnsi="Arial" w:cs="Arial"/>
                <w:i/>
                <w:sz w:val="20"/>
                <w:szCs w:val="20"/>
              </w:rPr>
              <w:t xml:space="preserve"> River demands more significant pollution control. One alternative for controlling pollution can be limiting the amount of wastewater entering one of the tributaries of the </w:t>
            </w:r>
            <w:proofErr w:type="spellStart"/>
            <w:r w:rsidRPr="00842E97">
              <w:rPr>
                <w:rFonts w:ascii="Arial" w:eastAsia="Arial" w:hAnsi="Arial" w:cs="Arial"/>
                <w:i/>
                <w:sz w:val="20"/>
                <w:szCs w:val="20"/>
              </w:rPr>
              <w:t>Citarum</w:t>
            </w:r>
            <w:proofErr w:type="spellEnd"/>
            <w:r w:rsidRPr="00842E97">
              <w:rPr>
                <w:rFonts w:ascii="Arial" w:eastAsia="Arial" w:hAnsi="Arial" w:cs="Arial"/>
                <w:i/>
                <w:sz w:val="20"/>
                <w:szCs w:val="20"/>
              </w:rPr>
              <w:t xml:space="preserve"> River, namely the </w:t>
            </w:r>
            <w:proofErr w:type="spellStart"/>
            <w:r w:rsidRPr="00842E97">
              <w:rPr>
                <w:rFonts w:ascii="Arial" w:eastAsia="Arial" w:hAnsi="Arial" w:cs="Arial"/>
                <w:i/>
                <w:sz w:val="20"/>
                <w:szCs w:val="20"/>
              </w:rPr>
              <w:t>Cikakembang</w:t>
            </w:r>
            <w:proofErr w:type="spellEnd"/>
            <w:r w:rsidRPr="00842E97">
              <w:rPr>
                <w:rFonts w:ascii="Arial" w:eastAsia="Arial" w:hAnsi="Arial" w:cs="Arial"/>
                <w:i/>
                <w:sz w:val="20"/>
                <w:szCs w:val="20"/>
              </w:rPr>
              <w:t xml:space="preserve"> River. This study is a follow-up study that will model heavy metal parameters in the </w:t>
            </w:r>
            <w:proofErr w:type="spellStart"/>
            <w:r w:rsidRPr="00842E97">
              <w:rPr>
                <w:rFonts w:ascii="Arial" w:eastAsia="Arial" w:hAnsi="Arial" w:cs="Arial"/>
                <w:i/>
                <w:sz w:val="20"/>
                <w:szCs w:val="20"/>
              </w:rPr>
              <w:t>Cikakembang</w:t>
            </w:r>
            <w:proofErr w:type="spellEnd"/>
            <w:r w:rsidRPr="00842E97">
              <w:rPr>
                <w:rFonts w:ascii="Arial" w:eastAsia="Arial" w:hAnsi="Arial" w:cs="Arial"/>
                <w:i/>
                <w:sz w:val="20"/>
                <w:szCs w:val="20"/>
              </w:rPr>
              <w:t xml:space="preserve"> River. Data collection was carried out six times, where the heavy metal parameter detected was copper. Numerical modelling for copper parameters was carried out using MATLAB software with the Runge Kutte-4 </w:t>
            </w:r>
            <w:proofErr w:type="spellStart"/>
            <w:r w:rsidRPr="00842E97">
              <w:rPr>
                <w:rFonts w:ascii="Arial" w:eastAsia="Arial" w:hAnsi="Arial" w:cs="Arial"/>
                <w:i/>
                <w:sz w:val="20"/>
                <w:szCs w:val="20"/>
              </w:rPr>
              <w:t>discretisation</w:t>
            </w:r>
            <w:proofErr w:type="spellEnd"/>
            <w:r w:rsidRPr="00842E97">
              <w:rPr>
                <w:rFonts w:ascii="Arial" w:eastAsia="Arial" w:hAnsi="Arial" w:cs="Arial"/>
                <w:i/>
                <w:sz w:val="20"/>
                <w:szCs w:val="20"/>
              </w:rPr>
              <w:t xml:space="preserve"> scheme. The study location covers 2.36 km upstream of the </w:t>
            </w:r>
            <w:proofErr w:type="spellStart"/>
            <w:r w:rsidRPr="00842E97">
              <w:rPr>
                <w:rFonts w:ascii="Arial" w:eastAsia="Arial" w:hAnsi="Arial" w:cs="Arial"/>
                <w:i/>
                <w:sz w:val="20"/>
                <w:szCs w:val="20"/>
              </w:rPr>
              <w:t>Cikakembang</w:t>
            </w:r>
            <w:proofErr w:type="spellEnd"/>
            <w:r w:rsidRPr="00842E97">
              <w:rPr>
                <w:rFonts w:ascii="Arial" w:eastAsia="Arial" w:hAnsi="Arial" w:cs="Arial"/>
                <w:i/>
                <w:sz w:val="20"/>
                <w:szCs w:val="20"/>
              </w:rPr>
              <w:t xml:space="preserve"> River, with 12 textile industry wastewater disposal points. Numerical modelling results for copper parameters show a settling rate of heavy metal particles of 40 day</w:t>
            </w:r>
            <w:r w:rsidRPr="00F812BF">
              <w:rPr>
                <w:rFonts w:ascii="Arial" w:eastAsia="Arial" w:hAnsi="Arial" w:cs="Arial"/>
                <w:i/>
                <w:sz w:val="20"/>
                <w:szCs w:val="20"/>
                <w:vertAlign w:val="superscript"/>
              </w:rPr>
              <w:t>-1</w:t>
            </w:r>
            <w:r w:rsidRPr="00842E97">
              <w:rPr>
                <w:rFonts w:ascii="Arial" w:eastAsia="Arial" w:hAnsi="Arial" w:cs="Arial"/>
                <w:i/>
                <w:sz w:val="20"/>
                <w:szCs w:val="20"/>
              </w:rPr>
              <w:t xml:space="preserve">, with a maximum RRMSE value of 9.97%. Combining the water quality models for organic and heavy metal parameters created, pollution control simulations can be run in both seasons. The pollution control scenario aims to find the maximum amount that enters the </w:t>
            </w:r>
            <w:proofErr w:type="spellStart"/>
            <w:r w:rsidRPr="00842E97">
              <w:rPr>
                <w:rFonts w:ascii="Arial" w:eastAsia="Arial" w:hAnsi="Arial" w:cs="Arial"/>
                <w:i/>
                <w:sz w:val="20"/>
                <w:szCs w:val="20"/>
              </w:rPr>
              <w:t>Cikakembang</w:t>
            </w:r>
            <w:proofErr w:type="spellEnd"/>
            <w:r w:rsidRPr="00842E97">
              <w:rPr>
                <w:rFonts w:ascii="Arial" w:eastAsia="Arial" w:hAnsi="Arial" w:cs="Arial"/>
                <w:i/>
                <w:sz w:val="20"/>
                <w:szCs w:val="20"/>
              </w:rPr>
              <w:t xml:space="preserve"> River without passing the class four river water quality standards. The selection of the standard is based on the use of </w:t>
            </w:r>
            <w:proofErr w:type="spellStart"/>
            <w:r w:rsidRPr="00842E97">
              <w:rPr>
                <w:rFonts w:ascii="Arial" w:eastAsia="Arial" w:hAnsi="Arial" w:cs="Arial"/>
                <w:i/>
                <w:sz w:val="20"/>
                <w:szCs w:val="20"/>
              </w:rPr>
              <w:t>Cikakembang</w:t>
            </w:r>
            <w:proofErr w:type="spellEnd"/>
            <w:r w:rsidRPr="00842E97">
              <w:rPr>
                <w:rFonts w:ascii="Arial" w:eastAsia="Arial" w:hAnsi="Arial" w:cs="Arial"/>
                <w:i/>
                <w:sz w:val="20"/>
                <w:szCs w:val="20"/>
              </w:rPr>
              <w:t xml:space="preserve"> River water, namely for irrigation purposes. Based on the results of pollution control simulations, the pollutant carrying capacity for BOD, COD and copper parameters in the </w:t>
            </w:r>
            <w:proofErr w:type="spellStart"/>
            <w:r w:rsidRPr="00842E97">
              <w:rPr>
                <w:rFonts w:ascii="Arial" w:eastAsia="Arial" w:hAnsi="Arial" w:cs="Arial"/>
                <w:i/>
                <w:sz w:val="20"/>
                <w:szCs w:val="20"/>
              </w:rPr>
              <w:t>Cikakembang</w:t>
            </w:r>
            <w:proofErr w:type="spellEnd"/>
            <w:r w:rsidRPr="00842E97">
              <w:rPr>
                <w:rFonts w:ascii="Arial" w:eastAsia="Arial" w:hAnsi="Arial" w:cs="Arial"/>
                <w:i/>
                <w:sz w:val="20"/>
                <w:szCs w:val="20"/>
              </w:rPr>
              <w:t xml:space="preserve"> River is 199.43 kg/day, 1103.80 kg/day and 4.06 kg/day, respectively.</w:t>
            </w:r>
            <w:r>
              <w:rPr>
                <w:rFonts w:ascii="Arial" w:eastAsia="Arial" w:hAnsi="Arial" w:cs="Arial"/>
                <w:i/>
                <w:sz w:val="20"/>
                <w:szCs w:val="20"/>
              </w:rPr>
              <w:t xml:space="preserve"> </w:t>
            </w:r>
          </w:p>
          <w:p w14:paraId="6C82971A" w14:textId="77777777" w:rsidR="00842E97" w:rsidRDefault="00842E97" w:rsidP="00842E97">
            <w:pPr>
              <w:shd w:val="clear" w:color="auto" w:fill="9CC2E5"/>
              <w:spacing w:after="0" w:line="240" w:lineRule="auto"/>
              <w:ind w:left="0" w:hanging="2"/>
              <w:jc w:val="both"/>
              <w:rPr>
                <w:rFonts w:ascii="Arial" w:eastAsia="Arial" w:hAnsi="Arial" w:cs="Arial"/>
                <w:sz w:val="20"/>
                <w:szCs w:val="20"/>
              </w:rPr>
            </w:pPr>
          </w:p>
          <w:p w14:paraId="2AA1FEB5" w14:textId="3D948452" w:rsidR="003B18E3" w:rsidRDefault="00000000">
            <w:pPr>
              <w:spacing w:after="0" w:line="240" w:lineRule="auto"/>
              <w:ind w:left="0" w:hanging="2"/>
              <w:jc w:val="right"/>
              <w:rPr>
                <w:rFonts w:ascii="Arial" w:eastAsia="Arial" w:hAnsi="Arial" w:cs="Arial"/>
                <w:sz w:val="20"/>
                <w:szCs w:val="20"/>
              </w:rPr>
            </w:pPr>
            <w:r>
              <w:rPr>
                <w:rFonts w:ascii="Arial" w:eastAsia="Arial" w:hAnsi="Arial" w:cs="Arial"/>
                <w:i/>
                <w:sz w:val="20"/>
                <w:szCs w:val="20"/>
              </w:rPr>
              <w:t xml:space="preserve">This is an open access article under the </w:t>
            </w:r>
            <w:hyperlink r:id="rId10">
              <w:r w:rsidR="003B18E3">
                <w:rPr>
                  <w:rFonts w:ascii="Arial" w:eastAsia="Arial" w:hAnsi="Arial" w:cs="Arial"/>
                  <w:i/>
                  <w:color w:val="0000FF"/>
                  <w:sz w:val="20"/>
                  <w:szCs w:val="20"/>
                  <w:u w:val="single"/>
                </w:rPr>
                <w:t>CC BY-SA</w:t>
              </w:r>
            </w:hyperlink>
            <w:r>
              <w:rPr>
                <w:rFonts w:ascii="Arial" w:eastAsia="Arial" w:hAnsi="Arial" w:cs="Arial"/>
                <w:i/>
                <w:sz w:val="20"/>
                <w:szCs w:val="20"/>
              </w:rPr>
              <w:t xml:space="preserve"> license</w:t>
            </w:r>
          </w:p>
          <w:p w14:paraId="23B51E1A" w14:textId="77777777" w:rsidR="003B18E3" w:rsidRDefault="00000000">
            <w:pPr>
              <w:spacing w:before="60" w:after="60" w:line="240" w:lineRule="auto"/>
              <w:ind w:left="0" w:hanging="2"/>
              <w:jc w:val="right"/>
              <w:rPr>
                <w:rFonts w:ascii="Arial" w:eastAsia="Arial" w:hAnsi="Arial" w:cs="Arial"/>
                <w:sz w:val="20"/>
                <w:szCs w:val="20"/>
              </w:rPr>
            </w:pPr>
            <w:r>
              <w:rPr>
                <w:rFonts w:ascii="Arial" w:eastAsia="Arial" w:hAnsi="Arial" w:cs="Arial"/>
                <w:i/>
                <w:noProof/>
                <w:sz w:val="20"/>
                <w:szCs w:val="20"/>
              </w:rPr>
              <w:drawing>
                <wp:inline distT="0" distB="0" distL="114300" distR="114300" wp14:anchorId="329395CF" wp14:editId="62E6E49D">
                  <wp:extent cx="915670" cy="321310"/>
                  <wp:effectExtent l="0" t="0" r="0" b="0"/>
                  <wp:docPr id="103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a:stretch>
                            <a:fillRect/>
                          </a:stretch>
                        </pic:blipFill>
                        <pic:spPr>
                          <a:xfrm>
                            <a:off x="0" y="0"/>
                            <a:ext cx="915670" cy="321310"/>
                          </a:xfrm>
                          <a:prstGeom prst="rect">
                            <a:avLst/>
                          </a:prstGeom>
                          <a:ln/>
                        </pic:spPr>
                      </pic:pic>
                    </a:graphicData>
                  </a:graphic>
                </wp:inline>
              </w:drawing>
            </w:r>
          </w:p>
        </w:tc>
        <w:tc>
          <w:tcPr>
            <w:tcW w:w="2835" w:type="dxa"/>
            <w:shd w:val="clear" w:color="auto" w:fill="FFFFFF"/>
          </w:tcPr>
          <w:p w14:paraId="765095B2" w14:textId="77777777" w:rsidR="003B18E3" w:rsidRDefault="00000000">
            <w:pPr>
              <w:widowControl w:val="0"/>
              <w:spacing w:before="120" w:after="0" w:line="240" w:lineRule="auto"/>
              <w:ind w:left="0" w:hanging="2"/>
              <w:rPr>
                <w:rFonts w:ascii="Arial" w:eastAsia="Arial" w:hAnsi="Arial" w:cs="Arial"/>
                <w:sz w:val="18"/>
                <w:szCs w:val="18"/>
              </w:rPr>
            </w:pPr>
            <w:r>
              <w:rPr>
                <w:rFonts w:ascii="Arial" w:eastAsia="Arial" w:hAnsi="Arial" w:cs="Arial"/>
                <w:b/>
                <w:i/>
                <w:sz w:val="18"/>
                <w:szCs w:val="18"/>
              </w:rPr>
              <w:t xml:space="preserve">Keywords: </w:t>
            </w:r>
          </w:p>
          <w:p w14:paraId="0C8BCE18" w14:textId="19A28093" w:rsidR="003B18E3" w:rsidRDefault="00842E97">
            <w:pPr>
              <w:widowControl w:val="0"/>
              <w:spacing w:after="0" w:line="240" w:lineRule="auto"/>
              <w:ind w:left="0" w:hanging="2"/>
              <w:rPr>
                <w:rFonts w:ascii="Arial" w:eastAsia="Arial" w:hAnsi="Arial" w:cs="Arial"/>
                <w:sz w:val="18"/>
                <w:szCs w:val="18"/>
              </w:rPr>
            </w:pPr>
            <w:proofErr w:type="spellStart"/>
            <w:r>
              <w:rPr>
                <w:rFonts w:ascii="Arial" w:eastAsia="Arial" w:hAnsi="Arial" w:cs="Arial"/>
                <w:i/>
                <w:sz w:val="18"/>
                <w:szCs w:val="18"/>
              </w:rPr>
              <w:t>Cikakembang</w:t>
            </w:r>
            <w:proofErr w:type="spellEnd"/>
            <w:r>
              <w:rPr>
                <w:rFonts w:ascii="Arial" w:eastAsia="Arial" w:hAnsi="Arial" w:cs="Arial"/>
                <w:i/>
                <w:sz w:val="18"/>
                <w:szCs w:val="18"/>
              </w:rPr>
              <w:t xml:space="preserve"> River; </w:t>
            </w:r>
          </w:p>
          <w:p w14:paraId="6A6E2F14" w14:textId="12D51E14" w:rsidR="003B18E3" w:rsidRDefault="00842E97">
            <w:pPr>
              <w:widowControl w:val="0"/>
              <w:spacing w:after="0" w:line="240" w:lineRule="auto"/>
              <w:ind w:left="0" w:hanging="2"/>
              <w:rPr>
                <w:rFonts w:ascii="Arial" w:eastAsia="Arial" w:hAnsi="Arial" w:cs="Arial"/>
                <w:sz w:val="18"/>
                <w:szCs w:val="18"/>
              </w:rPr>
            </w:pPr>
            <w:r>
              <w:rPr>
                <w:rFonts w:ascii="Arial" w:eastAsia="Arial" w:hAnsi="Arial" w:cs="Arial"/>
                <w:i/>
                <w:sz w:val="18"/>
                <w:szCs w:val="18"/>
              </w:rPr>
              <w:t xml:space="preserve">Copper; </w:t>
            </w:r>
          </w:p>
          <w:p w14:paraId="20111398" w14:textId="30747E7A" w:rsidR="003B18E3" w:rsidRDefault="00842E97">
            <w:pPr>
              <w:widowControl w:val="0"/>
              <w:spacing w:after="0" w:line="240" w:lineRule="auto"/>
              <w:ind w:left="0" w:hanging="2"/>
              <w:rPr>
                <w:rFonts w:ascii="Arial" w:eastAsia="Arial" w:hAnsi="Arial" w:cs="Arial"/>
                <w:i/>
                <w:sz w:val="18"/>
                <w:szCs w:val="18"/>
              </w:rPr>
            </w:pPr>
            <w:r>
              <w:rPr>
                <w:rFonts w:ascii="Arial" w:eastAsia="Arial" w:hAnsi="Arial" w:cs="Arial"/>
                <w:i/>
                <w:sz w:val="18"/>
                <w:szCs w:val="18"/>
              </w:rPr>
              <w:t>MATLAB;</w:t>
            </w:r>
          </w:p>
          <w:p w14:paraId="222AA73C" w14:textId="0A3F52D4" w:rsidR="00842E97" w:rsidRDefault="00842E97">
            <w:pPr>
              <w:widowControl w:val="0"/>
              <w:spacing w:after="0" w:line="240" w:lineRule="auto"/>
              <w:ind w:left="0" w:hanging="2"/>
              <w:rPr>
                <w:rFonts w:ascii="Arial" w:eastAsia="Arial" w:hAnsi="Arial" w:cs="Arial"/>
                <w:i/>
                <w:sz w:val="18"/>
                <w:szCs w:val="18"/>
              </w:rPr>
            </w:pPr>
            <w:r>
              <w:rPr>
                <w:rFonts w:ascii="Arial" w:eastAsia="Arial" w:hAnsi="Arial" w:cs="Arial"/>
                <w:i/>
                <w:sz w:val="18"/>
                <w:szCs w:val="18"/>
              </w:rPr>
              <w:t>Pollutant Carrying Capacity;</w:t>
            </w:r>
          </w:p>
          <w:p w14:paraId="0BF43D7C" w14:textId="03964B03" w:rsidR="00842E97" w:rsidRDefault="00842E97">
            <w:pPr>
              <w:widowControl w:val="0"/>
              <w:spacing w:after="0" w:line="240" w:lineRule="auto"/>
              <w:ind w:left="0" w:hanging="2"/>
              <w:rPr>
                <w:rFonts w:ascii="Arial" w:eastAsia="Arial" w:hAnsi="Arial" w:cs="Arial"/>
                <w:sz w:val="18"/>
                <w:szCs w:val="18"/>
              </w:rPr>
            </w:pPr>
            <w:r>
              <w:rPr>
                <w:rFonts w:ascii="Arial" w:eastAsia="Arial" w:hAnsi="Arial" w:cs="Arial"/>
                <w:i/>
                <w:sz w:val="18"/>
                <w:szCs w:val="18"/>
              </w:rPr>
              <w:t>Pollution Control</w:t>
            </w:r>
          </w:p>
          <w:p w14:paraId="3386D974" w14:textId="77777777" w:rsidR="003B18E3" w:rsidRDefault="003B18E3">
            <w:pPr>
              <w:widowControl w:val="0"/>
              <w:tabs>
                <w:tab w:val="left" w:pos="9020"/>
              </w:tabs>
              <w:spacing w:after="0" w:line="240" w:lineRule="auto"/>
              <w:ind w:left="0" w:hanging="2"/>
              <w:rPr>
                <w:rFonts w:ascii="Arial" w:eastAsia="Arial" w:hAnsi="Arial" w:cs="Arial"/>
                <w:sz w:val="18"/>
                <w:szCs w:val="18"/>
              </w:rPr>
            </w:pPr>
          </w:p>
          <w:p w14:paraId="57510AFC" w14:textId="77777777" w:rsidR="003B18E3" w:rsidRDefault="00000000">
            <w:pPr>
              <w:widowControl w:val="0"/>
              <w:tabs>
                <w:tab w:val="left" w:pos="9020"/>
              </w:tabs>
              <w:spacing w:after="0" w:line="240" w:lineRule="auto"/>
              <w:ind w:left="0" w:hanging="2"/>
              <w:rPr>
                <w:rFonts w:ascii="Arial" w:eastAsia="Arial" w:hAnsi="Arial" w:cs="Arial"/>
                <w:sz w:val="18"/>
                <w:szCs w:val="18"/>
              </w:rPr>
            </w:pPr>
            <w:r>
              <w:rPr>
                <w:rFonts w:ascii="Arial" w:eastAsia="Arial" w:hAnsi="Arial" w:cs="Arial"/>
                <w:b/>
                <w:i/>
                <w:sz w:val="18"/>
                <w:szCs w:val="18"/>
              </w:rPr>
              <w:t>Article History:</w:t>
            </w:r>
          </w:p>
          <w:p w14:paraId="5B1F4933" w14:textId="37C870CE" w:rsidR="003B18E3" w:rsidRDefault="00000000">
            <w:pPr>
              <w:widowControl w:val="0"/>
              <w:tabs>
                <w:tab w:val="left" w:pos="9020"/>
              </w:tabs>
              <w:spacing w:after="0" w:line="240" w:lineRule="auto"/>
              <w:ind w:left="0" w:hanging="2"/>
              <w:rPr>
                <w:rFonts w:ascii="Arial" w:eastAsia="Arial" w:hAnsi="Arial" w:cs="Arial"/>
                <w:sz w:val="18"/>
                <w:szCs w:val="18"/>
              </w:rPr>
            </w:pPr>
            <w:r>
              <w:rPr>
                <w:rFonts w:ascii="Arial" w:eastAsia="Arial" w:hAnsi="Arial" w:cs="Arial"/>
                <w:i/>
                <w:sz w:val="18"/>
                <w:szCs w:val="18"/>
              </w:rPr>
              <w:t xml:space="preserve">Received: </w:t>
            </w:r>
          </w:p>
          <w:p w14:paraId="5A4819B2" w14:textId="1F9C69F3" w:rsidR="003B18E3" w:rsidRDefault="00000000">
            <w:pPr>
              <w:widowControl w:val="0"/>
              <w:tabs>
                <w:tab w:val="left" w:pos="9020"/>
              </w:tabs>
              <w:spacing w:after="0" w:line="240" w:lineRule="auto"/>
              <w:ind w:left="0" w:hanging="2"/>
              <w:rPr>
                <w:rFonts w:ascii="Arial" w:eastAsia="Arial" w:hAnsi="Arial" w:cs="Arial"/>
                <w:sz w:val="18"/>
                <w:szCs w:val="18"/>
              </w:rPr>
            </w:pPr>
            <w:r>
              <w:rPr>
                <w:rFonts w:ascii="Arial" w:eastAsia="Arial" w:hAnsi="Arial" w:cs="Arial"/>
                <w:i/>
                <w:sz w:val="18"/>
                <w:szCs w:val="18"/>
              </w:rPr>
              <w:t xml:space="preserve">Revised: </w:t>
            </w:r>
          </w:p>
          <w:p w14:paraId="1B0E9849" w14:textId="4E996452" w:rsidR="003B18E3" w:rsidRDefault="00000000">
            <w:pPr>
              <w:widowControl w:val="0"/>
              <w:tabs>
                <w:tab w:val="left" w:pos="9020"/>
              </w:tabs>
              <w:spacing w:after="0" w:line="240" w:lineRule="auto"/>
              <w:ind w:left="0" w:hanging="2"/>
              <w:rPr>
                <w:rFonts w:ascii="Arial" w:eastAsia="Arial" w:hAnsi="Arial" w:cs="Arial"/>
                <w:sz w:val="18"/>
                <w:szCs w:val="18"/>
              </w:rPr>
            </w:pPr>
            <w:r>
              <w:rPr>
                <w:rFonts w:ascii="Arial" w:eastAsia="Arial" w:hAnsi="Arial" w:cs="Arial"/>
                <w:i/>
                <w:sz w:val="18"/>
                <w:szCs w:val="18"/>
              </w:rPr>
              <w:t xml:space="preserve">Accepted: </w:t>
            </w:r>
          </w:p>
          <w:p w14:paraId="19F4DB19" w14:textId="6DAA7DD8" w:rsidR="003B18E3" w:rsidRDefault="00000000">
            <w:pPr>
              <w:widowControl w:val="0"/>
              <w:tabs>
                <w:tab w:val="left" w:pos="9020"/>
              </w:tabs>
              <w:spacing w:after="0" w:line="240" w:lineRule="auto"/>
              <w:ind w:left="0" w:hanging="2"/>
              <w:rPr>
                <w:rFonts w:ascii="Arial" w:eastAsia="Arial" w:hAnsi="Arial" w:cs="Arial"/>
                <w:sz w:val="18"/>
                <w:szCs w:val="18"/>
              </w:rPr>
            </w:pPr>
            <w:r>
              <w:rPr>
                <w:rFonts w:ascii="Arial" w:eastAsia="Arial" w:hAnsi="Arial" w:cs="Arial"/>
                <w:i/>
                <w:sz w:val="18"/>
                <w:szCs w:val="18"/>
              </w:rPr>
              <w:t xml:space="preserve">Published: </w:t>
            </w:r>
          </w:p>
          <w:p w14:paraId="618618DC" w14:textId="77777777" w:rsidR="003B18E3" w:rsidRDefault="003B18E3">
            <w:pPr>
              <w:widowControl w:val="0"/>
              <w:tabs>
                <w:tab w:val="left" w:pos="9020"/>
              </w:tabs>
              <w:spacing w:after="0" w:line="240" w:lineRule="auto"/>
              <w:ind w:left="0" w:hanging="2"/>
              <w:rPr>
                <w:rFonts w:ascii="Arial" w:eastAsia="Arial" w:hAnsi="Arial" w:cs="Arial"/>
                <w:sz w:val="18"/>
                <w:szCs w:val="18"/>
              </w:rPr>
            </w:pPr>
          </w:p>
          <w:p w14:paraId="70749466" w14:textId="77777777" w:rsidR="003B18E3" w:rsidRDefault="00000000">
            <w:pPr>
              <w:widowControl w:val="0"/>
              <w:tabs>
                <w:tab w:val="left" w:pos="9020"/>
              </w:tabs>
              <w:spacing w:after="0" w:line="240" w:lineRule="auto"/>
              <w:ind w:left="0" w:hanging="2"/>
              <w:rPr>
                <w:rFonts w:ascii="Arial" w:eastAsia="Arial" w:hAnsi="Arial" w:cs="Arial"/>
                <w:sz w:val="18"/>
                <w:szCs w:val="18"/>
              </w:rPr>
            </w:pPr>
            <w:r>
              <w:rPr>
                <w:rFonts w:ascii="Arial" w:eastAsia="Arial" w:hAnsi="Arial" w:cs="Arial"/>
                <w:b/>
                <w:i/>
                <w:sz w:val="18"/>
                <w:szCs w:val="18"/>
              </w:rPr>
              <w:t>Corresponding Author:</w:t>
            </w:r>
          </w:p>
          <w:p w14:paraId="436DFD26" w14:textId="0D3307B0" w:rsidR="003B18E3" w:rsidRDefault="00842E97">
            <w:pPr>
              <w:widowControl w:val="0"/>
              <w:tabs>
                <w:tab w:val="left" w:pos="9020"/>
              </w:tabs>
              <w:spacing w:after="0" w:line="240" w:lineRule="auto"/>
              <w:ind w:left="0" w:hanging="2"/>
              <w:rPr>
                <w:rFonts w:ascii="Arial" w:eastAsia="Arial" w:hAnsi="Arial" w:cs="Arial"/>
                <w:sz w:val="18"/>
                <w:szCs w:val="18"/>
              </w:rPr>
            </w:pPr>
            <w:r>
              <w:rPr>
                <w:rFonts w:ascii="Arial" w:eastAsia="Arial" w:hAnsi="Arial" w:cs="Arial"/>
                <w:i/>
                <w:sz w:val="18"/>
                <w:szCs w:val="18"/>
              </w:rPr>
              <w:t xml:space="preserve">Doddi </w:t>
            </w:r>
            <w:proofErr w:type="spellStart"/>
            <w:r>
              <w:rPr>
                <w:rFonts w:ascii="Arial" w:eastAsia="Arial" w:hAnsi="Arial" w:cs="Arial"/>
                <w:i/>
                <w:sz w:val="18"/>
                <w:szCs w:val="18"/>
              </w:rPr>
              <w:t>Yudianto</w:t>
            </w:r>
            <w:proofErr w:type="spellEnd"/>
          </w:p>
          <w:p w14:paraId="6D956A73" w14:textId="48439E19" w:rsidR="003B18E3" w:rsidRDefault="00842E97">
            <w:pPr>
              <w:pBdr>
                <w:top w:val="nil"/>
                <w:left w:val="nil"/>
                <w:bottom w:val="nil"/>
                <w:right w:val="nil"/>
                <w:between w:val="nil"/>
              </w:pBdr>
              <w:tabs>
                <w:tab w:val="left" w:pos="0"/>
              </w:tabs>
              <w:spacing w:after="0" w:line="240" w:lineRule="auto"/>
              <w:ind w:left="0" w:hanging="2"/>
              <w:rPr>
                <w:rFonts w:ascii="Arial" w:eastAsia="Arial" w:hAnsi="Arial" w:cs="Arial"/>
                <w:color w:val="000000"/>
                <w:sz w:val="18"/>
                <w:szCs w:val="18"/>
              </w:rPr>
            </w:pPr>
            <w:r>
              <w:rPr>
                <w:rFonts w:ascii="Arial" w:eastAsia="Arial" w:hAnsi="Arial" w:cs="Arial"/>
                <w:i/>
                <w:color w:val="000000"/>
                <w:sz w:val="18"/>
                <w:szCs w:val="18"/>
              </w:rPr>
              <w:t xml:space="preserve">Civil Engineering Department, </w:t>
            </w:r>
            <w:proofErr w:type="spellStart"/>
            <w:r>
              <w:rPr>
                <w:rFonts w:ascii="Arial" w:eastAsia="Arial" w:hAnsi="Arial" w:cs="Arial"/>
                <w:i/>
                <w:color w:val="000000"/>
                <w:sz w:val="18"/>
                <w:szCs w:val="18"/>
              </w:rPr>
              <w:t>Parahyangan</w:t>
            </w:r>
            <w:proofErr w:type="spellEnd"/>
            <w:r>
              <w:rPr>
                <w:rFonts w:ascii="Arial" w:eastAsia="Arial" w:hAnsi="Arial" w:cs="Arial"/>
                <w:i/>
                <w:color w:val="000000"/>
                <w:sz w:val="18"/>
                <w:szCs w:val="18"/>
              </w:rPr>
              <w:t xml:space="preserve"> Catholic University, Indonesia</w:t>
            </w:r>
          </w:p>
          <w:p w14:paraId="1821C134" w14:textId="05A523EC" w:rsidR="003B18E3" w:rsidRDefault="00000000">
            <w:pPr>
              <w:pBdr>
                <w:top w:val="nil"/>
                <w:left w:val="nil"/>
                <w:bottom w:val="nil"/>
                <w:right w:val="nil"/>
                <w:between w:val="nil"/>
              </w:pBdr>
              <w:tabs>
                <w:tab w:val="left" w:pos="0"/>
              </w:tabs>
              <w:spacing w:after="0" w:line="240" w:lineRule="auto"/>
              <w:ind w:left="0" w:hanging="2"/>
              <w:rPr>
                <w:rFonts w:ascii="Arial" w:eastAsia="Arial" w:hAnsi="Arial" w:cs="Arial"/>
                <w:color w:val="000000"/>
                <w:sz w:val="18"/>
                <w:szCs w:val="18"/>
              </w:rPr>
            </w:pPr>
            <w:r>
              <w:rPr>
                <w:rFonts w:ascii="Arial" w:eastAsia="Arial" w:hAnsi="Arial" w:cs="Arial"/>
                <w:i/>
                <w:color w:val="000000"/>
                <w:sz w:val="18"/>
                <w:szCs w:val="18"/>
              </w:rPr>
              <w:t xml:space="preserve">Email: </w:t>
            </w:r>
            <w:hyperlink r:id="rId12" w:history="1">
              <w:r w:rsidR="00842E97" w:rsidRPr="008C2429">
                <w:rPr>
                  <w:rStyle w:val="Hyperlink"/>
                  <w:rFonts w:ascii="Arial" w:eastAsia="Arial" w:hAnsi="Arial" w:cs="Arial"/>
                  <w:i/>
                  <w:sz w:val="18"/>
                  <w:szCs w:val="18"/>
                </w:rPr>
                <w:t>doddi_yd@unpar.ac.id</w:t>
              </w:r>
            </w:hyperlink>
            <w:r w:rsidR="00842E97">
              <w:rPr>
                <w:rFonts w:ascii="Arial" w:eastAsia="Arial" w:hAnsi="Arial" w:cs="Arial"/>
                <w:i/>
                <w:color w:val="000000"/>
                <w:sz w:val="18"/>
                <w:szCs w:val="18"/>
              </w:rPr>
              <w:br/>
            </w:r>
            <w:r>
              <w:rPr>
                <w:rFonts w:ascii="Arial" w:eastAsia="Arial" w:hAnsi="Arial" w:cs="Arial"/>
                <w:i/>
                <w:color w:val="000000"/>
                <w:sz w:val="18"/>
                <w:szCs w:val="18"/>
              </w:rPr>
              <w:t xml:space="preserve"> </w:t>
            </w:r>
          </w:p>
          <w:p w14:paraId="61FDB271" w14:textId="77777777" w:rsidR="003B18E3" w:rsidRDefault="003B18E3">
            <w:pPr>
              <w:widowControl w:val="0"/>
              <w:tabs>
                <w:tab w:val="left" w:pos="9020"/>
              </w:tabs>
              <w:spacing w:after="0" w:line="240" w:lineRule="auto"/>
              <w:ind w:left="0" w:hanging="2"/>
              <w:rPr>
                <w:rFonts w:ascii="Arial" w:eastAsia="Arial" w:hAnsi="Arial" w:cs="Arial"/>
                <w:sz w:val="18"/>
                <w:szCs w:val="18"/>
              </w:rPr>
            </w:pPr>
          </w:p>
        </w:tc>
      </w:tr>
    </w:tbl>
    <w:p w14:paraId="6F815600" w14:textId="77777777" w:rsidR="003B18E3" w:rsidRDefault="003B18E3">
      <w:pPr>
        <w:widowControl w:val="0"/>
        <w:tabs>
          <w:tab w:val="left" w:pos="9020"/>
        </w:tabs>
        <w:spacing w:after="0" w:line="240" w:lineRule="auto"/>
        <w:ind w:left="0" w:hanging="2"/>
        <w:jc w:val="center"/>
        <w:rPr>
          <w:rFonts w:ascii="Arial" w:eastAsia="Arial" w:hAnsi="Arial" w:cs="Arial"/>
          <w:sz w:val="20"/>
          <w:szCs w:val="20"/>
        </w:rPr>
        <w:sectPr w:rsidR="003B18E3">
          <w:headerReference w:type="even" r:id="rId13"/>
          <w:headerReference w:type="default" r:id="rId14"/>
          <w:footerReference w:type="even" r:id="rId15"/>
          <w:footerReference w:type="default" r:id="rId16"/>
          <w:headerReference w:type="first" r:id="rId17"/>
          <w:footerReference w:type="first" r:id="rId18"/>
          <w:pgSz w:w="11907" w:h="16840"/>
          <w:pgMar w:top="1701" w:right="1134" w:bottom="1701" w:left="1701" w:header="680" w:footer="680" w:gutter="0"/>
          <w:pgNumType w:start="1"/>
          <w:cols w:space="720"/>
          <w:titlePg/>
        </w:sectPr>
      </w:pPr>
    </w:p>
    <w:p w14:paraId="4FCD32E3" w14:textId="00D9BBE9" w:rsidR="003B18E3" w:rsidRDefault="00000000">
      <w:pPr>
        <w:widowControl w:val="0"/>
        <w:spacing w:after="0" w:line="240" w:lineRule="auto"/>
        <w:ind w:left="0" w:hanging="2"/>
        <w:jc w:val="both"/>
        <w:rPr>
          <w:rFonts w:ascii="Arial" w:eastAsia="Arial" w:hAnsi="Arial" w:cs="Arial"/>
          <w:color w:val="1F4E79"/>
          <w:sz w:val="20"/>
          <w:szCs w:val="20"/>
        </w:rPr>
      </w:pPr>
      <w:r>
        <w:rPr>
          <w:rFonts w:ascii="Arial" w:eastAsia="Arial" w:hAnsi="Arial" w:cs="Arial"/>
          <w:b/>
          <w:color w:val="1F4E79"/>
          <w:sz w:val="20"/>
          <w:szCs w:val="20"/>
        </w:rPr>
        <w:t>INTRODUCTION</w:t>
      </w:r>
    </w:p>
    <w:p w14:paraId="78FF27DA" w14:textId="24E7FD5E" w:rsidR="00F812BF" w:rsidRPr="00F812BF" w:rsidRDefault="00F812BF" w:rsidP="00363742">
      <w:pPr>
        <w:spacing w:after="0" w:line="240" w:lineRule="auto"/>
        <w:ind w:leftChars="0" w:left="0" w:firstLineChars="0" w:firstLine="720"/>
        <w:jc w:val="both"/>
        <w:rPr>
          <w:rFonts w:ascii="Arial" w:eastAsia="Arial" w:hAnsi="Arial" w:cs="Arial"/>
          <w:sz w:val="20"/>
          <w:szCs w:val="20"/>
        </w:rPr>
      </w:pPr>
      <w:r w:rsidRPr="00F812BF">
        <w:rPr>
          <w:rFonts w:ascii="Arial" w:eastAsia="Arial" w:hAnsi="Arial" w:cs="Arial"/>
          <w:sz w:val="20"/>
          <w:szCs w:val="20"/>
        </w:rPr>
        <w:t xml:space="preserve">The </w:t>
      </w:r>
      <w:proofErr w:type="spellStart"/>
      <w:r w:rsidRPr="00F812BF">
        <w:rPr>
          <w:rFonts w:ascii="Arial" w:eastAsia="Arial" w:hAnsi="Arial" w:cs="Arial"/>
          <w:sz w:val="20"/>
          <w:szCs w:val="20"/>
        </w:rPr>
        <w:t>Citarum</w:t>
      </w:r>
      <w:proofErr w:type="spellEnd"/>
      <w:r w:rsidRPr="00F812BF">
        <w:rPr>
          <w:rFonts w:ascii="Arial" w:eastAsia="Arial" w:hAnsi="Arial" w:cs="Arial"/>
          <w:sz w:val="20"/>
          <w:szCs w:val="20"/>
        </w:rPr>
        <w:t xml:space="preserve"> River is the largest in West Java province, flowing from the </w:t>
      </w:r>
      <w:proofErr w:type="spellStart"/>
      <w:r w:rsidRPr="00F812BF">
        <w:rPr>
          <w:rFonts w:ascii="Arial" w:eastAsia="Arial" w:hAnsi="Arial" w:cs="Arial"/>
          <w:sz w:val="20"/>
          <w:szCs w:val="20"/>
        </w:rPr>
        <w:t>Cisanti</w:t>
      </w:r>
      <w:proofErr w:type="spellEnd"/>
      <w:r w:rsidRPr="00F812BF">
        <w:rPr>
          <w:rFonts w:ascii="Arial" w:eastAsia="Arial" w:hAnsi="Arial" w:cs="Arial"/>
          <w:sz w:val="20"/>
          <w:szCs w:val="20"/>
        </w:rPr>
        <w:t xml:space="preserve"> spring and emptying into the Java Sea </w:t>
      </w:r>
      <w:sdt>
        <w:sdtPr>
          <w:rPr>
            <w:rFonts w:ascii="Arial" w:eastAsia="Arial" w:hAnsi="Arial" w:cs="Arial"/>
            <w:color w:val="000000"/>
            <w:sz w:val="20"/>
            <w:szCs w:val="20"/>
          </w:rPr>
          <w:tag w:val="MENDELEY_CITATION_v3_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"/>
          <w:id w:val="-1409839650"/>
          <w:placeholder>
            <w:docPart w:val="DefaultPlaceholder_-1854013440"/>
          </w:placeholder>
        </w:sdtPr>
        <w:sdtContent>
          <w:r w:rsidR="008743B1" w:rsidRPr="008743B1">
            <w:rPr>
              <w:rFonts w:ascii="Arial" w:eastAsia="Arial" w:hAnsi="Arial" w:cs="Arial"/>
              <w:color w:val="000000"/>
              <w:sz w:val="20"/>
              <w:szCs w:val="20"/>
            </w:rPr>
            <w:t>[1]</w:t>
          </w:r>
        </w:sdtContent>
      </w:sdt>
      <w:r w:rsidRPr="00F812BF">
        <w:rPr>
          <w:rFonts w:ascii="Arial" w:eastAsia="Arial" w:hAnsi="Arial" w:cs="Arial"/>
          <w:sz w:val="20"/>
          <w:szCs w:val="20"/>
        </w:rPr>
        <w:t xml:space="preserve">. The large area covered by the </w:t>
      </w:r>
      <w:proofErr w:type="spellStart"/>
      <w:r w:rsidRPr="00F812BF">
        <w:rPr>
          <w:rFonts w:ascii="Arial" w:eastAsia="Arial" w:hAnsi="Arial" w:cs="Arial"/>
          <w:sz w:val="20"/>
          <w:szCs w:val="20"/>
        </w:rPr>
        <w:t>Citarum</w:t>
      </w:r>
      <w:proofErr w:type="spellEnd"/>
      <w:r w:rsidRPr="00F812BF">
        <w:rPr>
          <w:rFonts w:ascii="Arial" w:eastAsia="Arial" w:hAnsi="Arial" w:cs="Arial"/>
          <w:sz w:val="20"/>
          <w:szCs w:val="20"/>
        </w:rPr>
        <w:t xml:space="preserve"> River means that the management of the </w:t>
      </w:r>
      <w:proofErr w:type="spellStart"/>
      <w:r w:rsidRPr="00F812BF">
        <w:rPr>
          <w:rFonts w:ascii="Arial" w:eastAsia="Arial" w:hAnsi="Arial" w:cs="Arial"/>
          <w:sz w:val="20"/>
          <w:szCs w:val="20"/>
        </w:rPr>
        <w:t>Citarum</w:t>
      </w:r>
      <w:proofErr w:type="spellEnd"/>
      <w:r w:rsidRPr="00F812BF">
        <w:rPr>
          <w:rFonts w:ascii="Arial" w:eastAsia="Arial" w:hAnsi="Arial" w:cs="Arial"/>
          <w:sz w:val="20"/>
          <w:szCs w:val="20"/>
        </w:rPr>
        <w:t xml:space="preserve"> watershed is divided into three areas: upper, middle, and lower </w:t>
      </w:r>
      <w:sdt>
        <w:sdtPr>
          <w:rPr>
            <w:rFonts w:ascii="Arial" w:eastAsia="Arial" w:hAnsi="Arial" w:cs="Arial"/>
            <w:color w:val="000000"/>
            <w:sz w:val="20"/>
            <w:szCs w:val="20"/>
          </w:rPr>
          <w:tag w:val="MENDELEY_CITATION_v3_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"/>
          <w:id w:val="1910493874"/>
          <w:placeholder>
            <w:docPart w:val="DefaultPlaceholder_-1854013440"/>
          </w:placeholder>
        </w:sdtPr>
        <w:sdtContent>
          <w:r w:rsidR="008743B1" w:rsidRPr="008743B1">
            <w:rPr>
              <w:rFonts w:ascii="Arial" w:eastAsia="Arial" w:hAnsi="Arial" w:cs="Arial"/>
              <w:color w:val="000000"/>
              <w:sz w:val="20"/>
              <w:szCs w:val="20"/>
            </w:rPr>
            <w:t>[2]</w:t>
          </w:r>
        </w:sdtContent>
      </w:sdt>
      <w:r w:rsidRPr="00F812BF">
        <w:rPr>
          <w:rFonts w:ascii="Arial" w:eastAsia="Arial" w:hAnsi="Arial" w:cs="Arial"/>
          <w:sz w:val="20"/>
          <w:szCs w:val="20"/>
        </w:rPr>
        <w:t xml:space="preserve">. Some of the functions supported by the </w:t>
      </w:r>
      <w:proofErr w:type="spellStart"/>
      <w:r w:rsidRPr="00F812BF">
        <w:rPr>
          <w:rFonts w:ascii="Arial" w:eastAsia="Arial" w:hAnsi="Arial" w:cs="Arial"/>
          <w:sz w:val="20"/>
          <w:szCs w:val="20"/>
        </w:rPr>
        <w:t>Citarum</w:t>
      </w:r>
      <w:proofErr w:type="spellEnd"/>
      <w:r w:rsidRPr="00F812BF">
        <w:rPr>
          <w:rFonts w:ascii="Arial" w:eastAsia="Arial" w:hAnsi="Arial" w:cs="Arial"/>
          <w:sz w:val="20"/>
          <w:szCs w:val="20"/>
        </w:rPr>
        <w:t xml:space="preserve"> River are as an electrical energy generator, fulfilling Jakarta's raw water needs by 80%, and supporting irrigation water needs</w:t>
      </w:r>
      <w:r w:rsidR="002272B2">
        <w:rPr>
          <w:rFonts w:ascii="Arial" w:eastAsia="Arial" w:hAnsi="Arial" w:cs="Arial"/>
          <w:sz w:val="20"/>
          <w:szCs w:val="20"/>
        </w:rPr>
        <w:t xml:space="preserve"> </w:t>
      </w:r>
      <w:r w:rsidR="002272B2" w:rsidRPr="00F812BF">
        <w:rPr>
          <w:rFonts w:ascii="Arial" w:eastAsia="Arial" w:hAnsi="Arial" w:cs="Arial"/>
          <w:sz w:val="20"/>
          <w:szCs w:val="20"/>
        </w:rPr>
        <w:t>covering an area of 420 thousand hectares</w:t>
      </w:r>
      <w:r w:rsidR="00717F19">
        <w:rPr>
          <w:rFonts w:ascii="Arial" w:eastAsia="Arial" w:hAnsi="Arial" w:cs="Arial"/>
          <w:sz w:val="20"/>
          <w:szCs w:val="20"/>
        </w:rPr>
        <w:t xml:space="preserve"> </w:t>
      </w:r>
      <w:sdt>
        <w:sdtPr>
          <w:rPr>
            <w:rFonts w:ascii="Arial" w:eastAsia="Arial" w:hAnsi="Arial" w:cs="Arial"/>
            <w:color w:val="000000"/>
            <w:sz w:val="20"/>
            <w:szCs w:val="20"/>
          </w:rPr>
          <w:tag w:val="MENDELEY_CITATION_v3_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"/>
          <w:id w:val="-8832960"/>
          <w:placeholder>
            <w:docPart w:val="DefaultPlaceholder_-1854013440"/>
          </w:placeholder>
        </w:sdtPr>
        <w:sdtContent>
          <w:r w:rsidR="008743B1" w:rsidRPr="008743B1">
            <w:rPr>
              <w:rFonts w:ascii="Arial" w:eastAsia="Arial" w:hAnsi="Arial" w:cs="Arial"/>
              <w:color w:val="000000"/>
              <w:sz w:val="20"/>
              <w:szCs w:val="20"/>
            </w:rPr>
            <w:t>[3], [4]</w:t>
          </w:r>
        </w:sdtContent>
      </w:sdt>
      <w:r w:rsidRPr="00F812BF">
        <w:rPr>
          <w:rFonts w:ascii="Arial" w:eastAsia="Arial" w:hAnsi="Arial" w:cs="Arial"/>
          <w:sz w:val="20"/>
          <w:szCs w:val="20"/>
        </w:rPr>
        <w:t xml:space="preserve">. Even though the benefits of the </w:t>
      </w:r>
      <w:proofErr w:type="spellStart"/>
      <w:r w:rsidRPr="00F812BF">
        <w:rPr>
          <w:rFonts w:ascii="Arial" w:eastAsia="Arial" w:hAnsi="Arial" w:cs="Arial"/>
          <w:sz w:val="20"/>
          <w:szCs w:val="20"/>
        </w:rPr>
        <w:t>Citarum</w:t>
      </w:r>
      <w:proofErr w:type="spellEnd"/>
      <w:r w:rsidRPr="00F812BF">
        <w:rPr>
          <w:rFonts w:ascii="Arial" w:eastAsia="Arial" w:hAnsi="Arial" w:cs="Arial"/>
          <w:sz w:val="20"/>
          <w:szCs w:val="20"/>
        </w:rPr>
        <w:t xml:space="preserve"> River are so great, the water quality of the Upstream </w:t>
      </w:r>
      <w:proofErr w:type="spellStart"/>
      <w:r w:rsidRPr="00F812BF">
        <w:rPr>
          <w:rFonts w:ascii="Arial" w:eastAsia="Arial" w:hAnsi="Arial" w:cs="Arial"/>
          <w:sz w:val="20"/>
          <w:szCs w:val="20"/>
        </w:rPr>
        <w:t>Citarum</w:t>
      </w:r>
      <w:proofErr w:type="spellEnd"/>
      <w:r w:rsidRPr="00F812BF">
        <w:rPr>
          <w:rFonts w:ascii="Arial" w:eastAsia="Arial" w:hAnsi="Arial" w:cs="Arial"/>
          <w:sz w:val="20"/>
          <w:szCs w:val="20"/>
        </w:rPr>
        <w:t xml:space="preserve"> River was </w:t>
      </w:r>
      <w:r w:rsidRPr="00F812BF">
        <w:rPr>
          <w:rFonts w:ascii="Arial" w:eastAsia="Arial" w:hAnsi="Arial" w:cs="Arial"/>
          <w:sz w:val="20"/>
          <w:szCs w:val="20"/>
        </w:rPr>
        <w:t xml:space="preserve">named one of the most polluted </w:t>
      </w:r>
      <w:r w:rsidR="002272B2" w:rsidRPr="00F812BF">
        <w:rPr>
          <w:rFonts w:ascii="Arial" w:eastAsia="Arial" w:hAnsi="Arial" w:cs="Arial"/>
          <w:sz w:val="20"/>
          <w:szCs w:val="20"/>
        </w:rPr>
        <w:t xml:space="preserve">rivers in 2013 </w:t>
      </w:r>
      <w:sdt>
        <w:sdtPr>
          <w:rPr>
            <w:rFonts w:ascii="Arial" w:eastAsia="Arial" w:hAnsi="Arial" w:cs="Arial"/>
            <w:color w:val="000000"/>
            <w:sz w:val="20"/>
            <w:szCs w:val="20"/>
          </w:rPr>
          <w:tag w:val="MENDELEY_CITATION_v3_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"/>
          <w:id w:val="-401905931"/>
          <w:placeholder>
            <w:docPart w:val="DefaultPlaceholder_-1854013440"/>
          </w:placeholder>
        </w:sdtPr>
        <w:sdtContent>
          <w:r w:rsidR="008743B1" w:rsidRPr="008743B1">
            <w:rPr>
              <w:rFonts w:ascii="Arial" w:eastAsia="Arial" w:hAnsi="Arial" w:cs="Arial"/>
              <w:color w:val="000000"/>
              <w:sz w:val="20"/>
              <w:szCs w:val="20"/>
            </w:rPr>
            <w:t>[5]</w:t>
          </w:r>
        </w:sdtContent>
      </w:sdt>
      <w:r w:rsidRPr="00F812BF">
        <w:rPr>
          <w:rFonts w:ascii="Arial" w:eastAsia="Arial" w:hAnsi="Arial" w:cs="Arial"/>
          <w:sz w:val="20"/>
          <w:szCs w:val="20"/>
        </w:rPr>
        <w:t xml:space="preserve">. The study conducted by </w:t>
      </w:r>
      <w:sdt>
        <w:sdtPr>
          <w:rPr>
            <w:rFonts w:ascii="Arial" w:eastAsia="Arial" w:hAnsi="Arial" w:cs="Arial"/>
            <w:color w:val="000000"/>
            <w:sz w:val="20"/>
            <w:szCs w:val="20"/>
          </w:rPr>
          <w:tag w:val="MENDELEY_CITATION_v3_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"/>
          <w:id w:val="322548776"/>
          <w:placeholder>
            <w:docPart w:val="DefaultPlaceholder_-1854013440"/>
          </w:placeholder>
        </w:sdtPr>
        <w:sdtContent>
          <w:r w:rsidR="008743B1" w:rsidRPr="008743B1">
            <w:rPr>
              <w:rFonts w:ascii="Arial" w:eastAsia="Arial" w:hAnsi="Arial" w:cs="Arial"/>
              <w:color w:val="000000"/>
              <w:sz w:val="20"/>
              <w:szCs w:val="20"/>
            </w:rPr>
            <w:t>[6]</w:t>
          </w:r>
        </w:sdtContent>
      </w:sdt>
      <w:r w:rsidRPr="00F812BF">
        <w:rPr>
          <w:rFonts w:ascii="Arial" w:eastAsia="Arial" w:hAnsi="Arial" w:cs="Arial"/>
          <w:sz w:val="20"/>
          <w:szCs w:val="20"/>
        </w:rPr>
        <w:t xml:space="preserve"> </w:t>
      </w:r>
      <w:proofErr w:type="spellStart"/>
      <w:r w:rsidRPr="00F812BF">
        <w:rPr>
          <w:rFonts w:ascii="Arial" w:eastAsia="Arial" w:hAnsi="Arial" w:cs="Arial"/>
          <w:sz w:val="20"/>
          <w:szCs w:val="20"/>
        </w:rPr>
        <w:t>analysed</w:t>
      </w:r>
      <w:proofErr w:type="spellEnd"/>
      <w:r w:rsidRPr="00F812BF">
        <w:rPr>
          <w:rFonts w:ascii="Arial" w:eastAsia="Arial" w:hAnsi="Arial" w:cs="Arial"/>
          <w:sz w:val="20"/>
          <w:szCs w:val="20"/>
        </w:rPr>
        <w:t xml:space="preserve"> the Water Quality Index (WQI) in the upper </w:t>
      </w:r>
      <w:proofErr w:type="spellStart"/>
      <w:r w:rsidRPr="00F812BF">
        <w:rPr>
          <w:rFonts w:ascii="Arial" w:eastAsia="Arial" w:hAnsi="Arial" w:cs="Arial"/>
          <w:sz w:val="20"/>
          <w:szCs w:val="20"/>
        </w:rPr>
        <w:t>Citarum</w:t>
      </w:r>
      <w:proofErr w:type="spellEnd"/>
      <w:r w:rsidRPr="00F812BF">
        <w:rPr>
          <w:rFonts w:ascii="Arial" w:eastAsia="Arial" w:hAnsi="Arial" w:cs="Arial"/>
          <w:sz w:val="20"/>
          <w:szCs w:val="20"/>
        </w:rPr>
        <w:t xml:space="preserve"> watershed from 2011 to 2019. The WQI value in the upper </w:t>
      </w:r>
      <w:proofErr w:type="spellStart"/>
      <w:r w:rsidRPr="00F812BF">
        <w:rPr>
          <w:rFonts w:ascii="Arial" w:eastAsia="Arial" w:hAnsi="Arial" w:cs="Arial"/>
          <w:sz w:val="20"/>
          <w:szCs w:val="20"/>
        </w:rPr>
        <w:t>Citarum</w:t>
      </w:r>
      <w:proofErr w:type="spellEnd"/>
      <w:r w:rsidRPr="00F812BF">
        <w:rPr>
          <w:rFonts w:ascii="Arial" w:eastAsia="Arial" w:hAnsi="Arial" w:cs="Arial"/>
          <w:sz w:val="20"/>
          <w:szCs w:val="20"/>
        </w:rPr>
        <w:t xml:space="preserve"> watershed ranged from 11,528 to 62,348, so the status was very poor to fair</w:t>
      </w:r>
      <w:r w:rsidR="000E13C8">
        <w:rPr>
          <w:rFonts w:ascii="Arial" w:eastAsia="Arial" w:hAnsi="Arial" w:cs="Arial"/>
          <w:sz w:val="20"/>
          <w:szCs w:val="20"/>
        </w:rPr>
        <w:t xml:space="preserve"> </w:t>
      </w:r>
      <w:sdt>
        <w:sdtPr>
          <w:rPr>
            <w:rFonts w:ascii="Arial" w:eastAsia="Arial" w:hAnsi="Arial" w:cs="Arial"/>
            <w:color w:val="000000"/>
            <w:sz w:val="20"/>
            <w:szCs w:val="20"/>
          </w:rPr>
          <w:tag w:val="MENDELEY_CITATION_v3_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"/>
          <w:id w:val="645482265"/>
          <w:placeholder>
            <w:docPart w:val="DefaultPlaceholder_-1854013440"/>
          </w:placeholder>
        </w:sdtPr>
        <w:sdtContent>
          <w:r w:rsidR="008743B1" w:rsidRPr="008743B1">
            <w:rPr>
              <w:rFonts w:ascii="Arial" w:eastAsia="Arial" w:hAnsi="Arial" w:cs="Arial"/>
              <w:color w:val="000000"/>
              <w:sz w:val="20"/>
              <w:szCs w:val="20"/>
            </w:rPr>
            <w:t>[6]</w:t>
          </w:r>
        </w:sdtContent>
      </w:sdt>
      <w:r w:rsidRPr="00F812BF">
        <w:rPr>
          <w:rFonts w:ascii="Arial" w:eastAsia="Arial" w:hAnsi="Arial" w:cs="Arial"/>
          <w:sz w:val="20"/>
          <w:szCs w:val="20"/>
        </w:rPr>
        <w:t>.</w:t>
      </w:r>
    </w:p>
    <w:p w14:paraId="6FA8DD4A" w14:textId="00C56454" w:rsidR="00F812BF" w:rsidRPr="00F812BF" w:rsidRDefault="00F812BF" w:rsidP="00363742">
      <w:pPr>
        <w:spacing w:after="0" w:line="240" w:lineRule="auto"/>
        <w:ind w:leftChars="0" w:left="0" w:firstLineChars="0" w:firstLine="720"/>
        <w:jc w:val="both"/>
        <w:rPr>
          <w:rFonts w:ascii="Arial" w:eastAsia="Arial" w:hAnsi="Arial" w:cs="Arial"/>
          <w:sz w:val="20"/>
          <w:szCs w:val="20"/>
        </w:rPr>
      </w:pPr>
      <w:r w:rsidRPr="00F812BF">
        <w:rPr>
          <w:rFonts w:ascii="Arial" w:eastAsia="Arial" w:hAnsi="Arial" w:cs="Arial"/>
          <w:sz w:val="20"/>
          <w:szCs w:val="20"/>
        </w:rPr>
        <w:t xml:space="preserve">One factor that has the potential to worsen the water quality of the </w:t>
      </w:r>
      <w:proofErr w:type="spellStart"/>
      <w:r w:rsidRPr="00F812BF">
        <w:rPr>
          <w:rFonts w:ascii="Arial" w:eastAsia="Arial" w:hAnsi="Arial" w:cs="Arial"/>
          <w:sz w:val="20"/>
          <w:szCs w:val="20"/>
        </w:rPr>
        <w:t>Citarum</w:t>
      </w:r>
      <w:proofErr w:type="spellEnd"/>
      <w:r w:rsidRPr="00F812BF">
        <w:rPr>
          <w:rFonts w:ascii="Arial" w:eastAsia="Arial" w:hAnsi="Arial" w:cs="Arial"/>
          <w:sz w:val="20"/>
          <w:szCs w:val="20"/>
        </w:rPr>
        <w:t xml:space="preserve"> River significantly is textile industry wastewater discharge in the </w:t>
      </w:r>
      <w:proofErr w:type="spellStart"/>
      <w:r w:rsidRPr="00F812BF">
        <w:rPr>
          <w:rFonts w:ascii="Arial" w:eastAsia="Arial" w:hAnsi="Arial" w:cs="Arial"/>
          <w:sz w:val="20"/>
          <w:szCs w:val="20"/>
        </w:rPr>
        <w:t>Majalaya</w:t>
      </w:r>
      <w:proofErr w:type="spellEnd"/>
      <w:r w:rsidRPr="00F812BF">
        <w:rPr>
          <w:rFonts w:ascii="Arial" w:eastAsia="Arial" w:hAnsi="Arial" w:cs="Arial"/>
          <w:sz w:val="20"/>
          <w:szCs w:val="20"/>
        </w:rPr>
        <w:t xml:space="preserve"> District. The textile industry in this area accounts for 40% of the total textile industry in Indonesia</w:t>
      </w:r>
      <w:r w:rsidR="000E13C8">
        <w:rPr>
          <w:rFonts w:ascii="Arial" w:eastAsia="Arial" w:hAnsi="Arial" w:cs="Arial"/>
          <w:sz w:val="20"/>
          <w:szCs w:val="20"/>
        </w:rPr>
        <w:t xml:space="preserve"> </w:t>
      </w:r>
      <w:sdt>
        <w:sdtPr>
          <w:rPr>
            <w:rFonts w:ascii="Arial" w:eastAsia="Arial" w:hAnsi="Arial" w:cs="Arial"/>
            <w:color w:val="000000"/>
            <w:sz w:val="20"/>
            <w:szCs w:val="20"/>
          </w:rPr>
          <w:tag w:val="MENDELEY_CITATION_v3_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"/>
          <w:id w:val="-506438542"/>
          <w:placeholder>
            <w:docPart w:val="DefaultPlaceholder_-1854013440"/>
          </w:placeholder>
        </w:sdtPr>
        <w:sdtContent>
          <w:r w:rsidR="008743B1" w:rsidRPr="008743B1">
            <w:rPr>
              <w:rFonts w:ascii="Arial" w:eastAsia="Arial" w:hAnsi="Arial" w:cs="Arial"/>
              <w:color w:val="000000"/>
              <w:sz w:val="20"/>
              <w:szCs w:val="20"/>
            </w:rPr>
            <w:t>[7]</w:t>
          </w:r>
        </w:sdtContent>
      </w:sdt>
      <w:r w:rsidRPr="00F812BF">
        <w:rPr>
          <w:rFonts w:ascii="Arial" w:eastAsia="Arial" w:hAnsi="Arial" w:cs="Arial"/>
          <w:sz w:val="20"/>
          <w:szCs w:val="20"/>
        </w:rPr>
        <w:t xml:space="preserve">. The resulting textile industry wastewater is discharged into the </w:t>
      </w:r>
      <w:proofErr w:type="spellStart"/>
      <w:r w:rsidRPr="00F812BF">
        <w:rPr>
          <w:rFonts w:ascii="Arial" w:eastAsia="Arial" w:hAnsi="Arial" w:cs="Arial"/>
          <w:sz w:val="20"/>
          <w:szCs w:val="20"/>
        </w:rPr>
        <w:t>Cikakembang</w:t>
      </w:r>
      <w:proofErr w:type="spellEnd"/>
      <w:r w:rsidRPr="00F812BF">
        <w:rPr>
          <w:rFonts w:ascii="Arial" w:eastAsia="Arial" w:hAnsi="Arial" w:cs="Arial"/>
          <w:sz w:val="20"/>
          <w:szCs w:val="20"/>
        </w:rPr>
        <w:t xml:space="preserve"> tributary, which flows into the </w:t>
      </w:r>
      <w:proofErr w:type="spellStart"/>
      <w:r w:rsidRPr="00F812BF">
        <w:rPr>
          <w:rFonts w:ascii="Arial" w:eastAsia="Arial" w:hAnsi="Arial" w:cs="Arial"/>
          <w:sz w:val="20"/>
          <w:szCs w:val="20"/>
        </w:rPr>
        <w:t>Citarum</w:t>
      </w:r>
      <w:proofErr w:type="spellEnd"/>
      <w:r w:rsidRPr="00F812BF">
        <w:rPr>
          <w:rFonts w:ascii="Arial" w:eastAsia="Arial" w:hAnsi="Arial" w:cs="Arial"/>
          <w:sz w:val="20"/>
          <w:szCs w:val="20"/>
        </w:rPr>
        <w:t xml:space="preserve"> River. The </w:t>
      </w:r>
      <w:r w:rsidRPr="00F812BF">
        <w:rPr>
          <w:rFonts w:ascii="Arial" w:eastAsia="Arial" w:hAnsi="Arial" w:cs="Arial"/>
          <w:sz w:val="20"/>
          <w:szCs w:val="20"/>
        </w:rPr>
        <w:lastRenderedPageBreak/>
        <w:t>characteristics of textile industry wastewater are that it contains low concentrations of Dissolved Oxygen (DO) with high concentrations of Biological Oxygen Demand (BOD) and Chemical Oxygen Demand (COD)</w:t>
      </w:r>
      <w:r w:rsidR="000E13C8">
        <w:rPr>
          <w:rFonts w:ascii="Arial" w:eastAsia="Arial" w:hAnsi="Arial" w:cs="Arial"/>
          <w:sz w:val="20"/>
          <w:szCs w:val="20"/>
        </w:rPr>
        <w:t xml:space="preserve"> </w:t>
      </w:r>
      <w:sdt>
        <w:sdtPr>
          <w:rPr>
            <w:rFonts w:ascii="Arial" w:eastAsia="Arial" w:hAnsi="Arial" w:cs="Arial"/>
            <w:color w:val="000000"/>
            <w:sz w:val="20"/>
            <w:szCs w:val="20"/>
          </w:rPr>
          <w:tag w:val="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"/>
          <w:id w:val="-1924949638"/>
          <w:placeholder>
            <w:docPart w:val="DefaultPlaceholder_-1854013440"/>
          </w:placeholder>
        </w:sdtPr>
        <w:sdtContent>
          <w:r w:rsidR="008743B1" w:rsidRPr="008743B1">
            <w:rPr>
              <w:rFonts w:ascii="Arial" w:eastAsia="Arial" w:hAnsi="Arial" w:cs="Arial"/>
              <w:color w:val="000000"/>
              <w:sz w:val="20"/>
              <w:szCs w:val="20"/>
            </w:rPr>
            <w:t>[8], [9], [10]</w:t>
          </w:r>
        </w:sdtContent>
      </w:sdt>
      <w:r w:rsidRPr="00F812BF">
        <w:rPr>
          <w:rFonts w:ascii="Arial" w:eastAsia="Arial" w:hAnsi="Arial" w:cs="Arial"/>
          <w:sz w:val="20"/>
          <w:szCs w:val="20"/>
        </w:rPr>
        <w:t xml:space="preserve">. Some textile industry waste also contains heavy metals, such as zinc, chromium, copper and lead </w:t>
      </w:r>
      <w:sdt>
        <w:sdtPr>
          <w:rPr>
            <w:rFonts w:ascii="Arial" w:eastAsia="Arial" w:hAnsi="Arial" w:cs="Arial"/>
            <w:color w:val="000000"/>
            <w:sz w:val="20"/>
            <w:szCs w:val="20"/>
          </w:rPr>
          <w:tag w:val="MENDELEY_CITATION_v3_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"/>
          <w:id w:val="-628013643"/>
          <w:placeholder>
            <w:docPart w:val="DefaultPlaceholder_-1854013440"/>
          </w:placeholder>
        </w:sdtPr>
        <w:sdtContent>
          <w:r w:rsidR="008743B1" w:rsidRPr="008743B1">
            <w:rPr>
              <w:rFonts w:ascii="Arial" w:eastAsia="Arial" w:hAnsi="Arial" w:cs="Arial"/>
              <w:color w:val="000000"/>
              <w:sz w:val="20"/>
              <w:szCs w:val="20"/>
            </w:rPr>
            <w:t>[11], [12]</w:t>
          </w:r>
        </w:sdtContent>
      </w:sdt>
      <w:r w:rsidRPr="00F812BF">
        <w:rPr>
          <w:rFonts w:ascii="Arial" w:eastAsia="Arial" w:hAnsi="Arial" w:cs="Arial"/>
          <w:sz w:val="20"/>
          <w:szCs w:val="20"/>
        </w:rPr>
        <w:t xml:space="preserve">. Concentrations of BOD, COD and heavy metals parameters that exceed standards will damage the local aquatic ecosystem; if consumed by humans, they will be lethal </w:t>
      </w:r>
      <w:sdt>
        <w:sdtPr>
          <w:rPr>
            <w:rFonts w:ascii="Arial" w:eastAsia="Arial" w:hAnsi="Arial" w:cs="Arial"/>
            <w:color w:val="000000"/>
            <w:sz w:val="20"/>
            <w:szCs w:val="20"/>
          </w:rPr>
          <w:tag w:val="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"/>
          <w:id w:val="-1236697512"/>
          <w:placeholder>
            <w:docPart w:val="DefaultPlaceholder_-1854013440"/>
          </w:placeholder>
        </w:sdtPr>
        <w:sdtContent>
          <w:r w:rsidR="008743B1" w:rsidRPr="008743B1">
            <w:rPr>
              <w:rFonts w:ascii="Arial" w:eastAsia="Arial" w:hAnsi="Arial" w:cs="Arial"/>
              <w:color w:val="000000"/>
              <w:sz w:val="20"/>
              <w:szCs w:val="20"/>
            </w:rPr>
            <w:t>[13], [14]</w:t>
          </w:r>
        </w:sdtContent>
      </w:sdt>
      <w:r w:rsidRPr="00F812BF">
        <w:rPr>
          <w:rFonts w:ascii="Arial" w:eastAsia="Arial" w:hAnsi="Arial" w:cs="Arial"/>
          <w:sz w:val="20"/>
          <w:szCs w:val="20"/>
        </w:rPr>
        <w:t>.</w:t>
      </w:r>
    </w:p>
    <w:p w14:paraId="3F134446" w14:textId="1933CDD9" w:rsidR="003B18E3" w:rsidRDefault="00F812BF" w:rsidP="00363742">
      <w:pPr>
        <w:spacing w:after="0" w:line="240" w:lineRule="auto"/>
        <w:ind w:leftChars="0" w:left="0" w:firstLineChars="0" w:firstLine="720"/>
        <w:jc w:val="both"/>
        <w:rPr>
          <w:rFonts w:ascii="Arial" w:eastAsia="Arial" w:hAnsi="Arial" w:cs="Arial"/>
          <w:sz w:val="20"/>
          <w:szCs w:val="20"/>
        </w:rPr>
      </w:pPr>
      <w:r w:rsidRPr="00F812BF">
        <w:rPr>
          <w:rFonts w:ascii="Arial" w:eastAsia="Arial" w:hAnsi="Arial" w:cs="Arial"/>
          <w:sz w:val="20"/>
          <w:szCs w:val="20"/>
        </w:rPr>
        <w:t xml:space="preserve">Previous studies conducted numerical modelling on the </w:t>
      </w:r>
      <w:proofErr w:type="spellStart"/>
      <w:r w:rsidRPr="00F812BF">
        <w:rPr>
          <w:rFonts w:ascii="Arial" w:eastAsia="Arial" w:hAnsi="Arial" w:cs="Arial"/>
          <w:sz w:val="20"/>
          <w:szCs w:val="20"/>
        </w:rPr>
        <w:t>Cikakembang</w:t>
      </w:r>
      <w:proofErr w:type="spellEnd"/>
      <w:r w:rsidRPr="00F812BF">
        <w:rPr>
          <w:rFonts w:ascii="Arial" w:eastAsia="Arial" w:hAnsi="Arial" w:cs="Arial"/>
          <w:sz w:val="20"/>
          <w:szCs w:val="20"/>
        </w:rPr>
        <w:t xml:space="preserve"> River using data-driven models for three organic parameters: DO, BOD, and COD </w:t>
      </w:r>
      <w:sdt>
        <w:sdtPr>
          <w:rPr>
            <w:rFonts w:ascii="Arial" w:eastAsia="Arial" w:hAnsi="Arial" w:cs="Arial"/>
            <w:color w:val="000000"/>
            <w:sz w:val="20"/>
            <w:szCs w:val="20"/>
          </w:rPr>
          <w:tag w:val="MENDELEY_CITATION_v3_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"/>
          <w:id w:val="1241752183"/>
          <w:placeholder>
            <w:docPart w:val="DefaultPlaceholder_-1854013440"/>
          </w:placeholder>
        </w:sdtPr>
        <w:sdtContent>
          <w:r w:rsidR="008743B1" w:rsidRPr="008743B1">
            <w:rPr>
              <w:rFonts w:ascii="Arial" w:eastAsia="Arial" w:hAnsi="Arial" w:cs="Arial"/>
              <w:color w:val="000000"/>
              <w:sz w:val="20"/>
              <w:szCs w:val="20"/>
            </w:rPr>
            <w:t>[15]</w:t>
          </w:r>
        </w:sdtContent>
      </w:sdt>
      <w:r w:rsidRPr="00F812BF">
        <w:rPr>
          <w:rFonts w:ascii="Arial" w:eastAsia="Arial" w:hAnsi="Arial" w:cs="Arial"/>
          <w:sz w:val="20"/>
          <w:szCs w:val="20"/>
        </w:rPr>
        <w:t xml:space="preserve">. This study will focus on two things, namely, modelling heavy metal parameters from textile industry wastewater and developing a pollution control program for the detected DO, BOD, COD and heavy metals parameters. Previously, the parameters of heavy metals that are pollutants will be identified. Numerical modelling will be made for the identified heavy metal parameters. Afterwards, the developed model will simulate several pollution control scenarios. This study will limit the pollutant values that the </w:t>
      </w:r>
      <w:proofErr w:type="spellStart"/>
      <w:r w:rsidRPr="00F812BF">
        <w:rPr>
          <w:rFonts w:ascii="Arial" w:eastAsia="Arial" w:hAnsi="Arial" w:cs="Arial"/>
          <w:sz w:val="20"/>
          <w:szCs w:val="20"/>
        </w:rPr>
        <w:t>Cikakembang</w:t>
      </w:r>
      <w:proofErr w:type="spellEnd"/>
      <w:r w:rsidRPr="00F812BF">
        <w:rPr>
          <w:rFonts w:ascii="Arial" w:eastAsia="Arial" w:hAnsi="Arial" w:cs="Arial"/>
          <w:sz w:val="20"/>
          <w:szCs w:val="20"/>
        </w:rPr>
        <w:t xml:space="preserve"> River can accommodate without exceeding the applicable quality standards. The results obtained can be used as a reference to determine more effective pollution control policies for the </w:t>
      </w:r>
      <w:proofErr w:type="spellStart"/>
      <w:r w:rsidRPr="00F812BF">
        <w:rPr>
          <w:rFonts w:ascii="Arial" w:eastAsia="Arial" w:hAnsi="Arial" w:cs="Arial"/>
          <w:sz w:val="20"/>
          <w:szCs w:val="20"/>
        </w:rPr>
        <w:t>Citarum</w:t>
      </w:r>
      <w:proofErr w:type="spellEnd"/>
      <w:r w:rsidRPr="00F812BF">
        <w:rPr>
          <w:rFonts w:ascii="Arial" w:eastAsia="Arial" w:hAnsi="Arial" w:cs="Arial"/>
          <w:sz w:val="20"/>
          <w:szCs w:val="20"/>
        </w:rPr>
        <w:t xml:space="preserve"> River.</w:t>
      </w:r>
      <w:r w:rsidRPr="00F812BF">
        <w:rPr>
          <w:rFonts w:ascii="Arial" w:eastAsia="Arial" w:hAnsi="Arial" w:cs="Arial"/>
          <w:color w:val="FF0000"/>
          <w:sz w:val="20"/>
          <w:szCs w:val="20"/>
        </w:rPr>
        <w:t xml:space="preserve">  </w:t>
      </w:r>
    </w:p>
    <w:p w14:paraId="612F0F80" w14:textId="77777777" w:rsidR="003B18E3" w:rsidRDefault="003B18E3">
      <w:pPr>
        <w:spacing w:after="0" w:line="240" w:lineRule="auto"/>
        <w:ind w:left="0" w:hanging="2"/>
        <w:jc w:val="both"/>
        <w:rPr>
          <w:rFonts w:ascii="Arial" w:eastAsia="Arial" w:hAnsi="Arial" w:cs="Arial"/>
          <w:sz w:val="20"/>
          <w:szCs w:val="20"/>
        </w:rPr>
      </w:pPr>
    </w:p>
    <w:p w14:paraId="45F9DA75" w14:textId="47DCE30D" w:rsidR="003B18E3" w:rsidRPr="007732E7" w:rsidRDefault="00000000" w:rsidP="007732E7">
      <w:pPr>
        <w:spacing w:after="0" w:line="240" w:lineRule="auto"/>
        <w:ind w:left="0" w:hanging="2"/>
        <w:jc w:val="both"/>
        <w:rPr>
          <w:rFonts w:ascii="Arial" w:eastAsia="Arial" w:hAnsi="Arial" w:cs="Arial"/>
          <w:color w:val="1F4E79"/>
          <w:sz w:val="20"/>
          <w:szCs w:val="20"/>
        </w:rPr>
      </w:pPr>
      <w:r>
        <w:rPr>
          <w:rFonts w:ascii="Arial" w:eastAsia="Arial" w:hAnsi="Arial" w:cs="Arial"/>
          <w:b/>
          <w:color w:val="1F4E79"/>
          <w:sz w:val="20"/>
          <w:szCs w:val="20"/>
        </w:rPr>
        <w:t>METHOD</w:t>
      </w:r>
    </w:p>
    <w:p w14:paraId="1D3EA56E" w14:textId="3198D2DA" w:rsidR="003B18E3" w:rsidRDefault="00F812BF">
      <w:pPr>
        <w:spacing w:after="0" w:line="240" w:lineRule="auto"/>
        <w:ind w:left="0" w:hanging="2"/>
        <w:jc w:val="both"/>
        <w:rPr>
          <w:rFonts w:ascii="Arial" w:eastAsia="Arial" w:hAnsi="Arial" w:cs="Arial"/>
          <w:color w:val="1F4E79"/>
          <w:sz w:val="20"/>
          <w:szCs w:val="20"/>
        </w:rPr>
      </w:pPr>
      <w:r>
        <w:rPr>
          <w:rFonts w:ascii="Arial" w:eastAsia="Arial" w:hAnsi="Arial" w:cs="Arial"/>
          <w:b/>
          <w:color w:val="1F4E79"/>
          <w:sz w:val="20"/>
          <w:szCs w:val="20"/>
        </w:rPr>
        <w:t>Study Location</w:t>
      </w:r>
    </w:p>
    <w:p w14:paraId="20CA4F8D" w14:textId="23D1BC4A" w:rsidR="003B18E3" w:rsidRDefault="007732E7" w:rsidP="00363742">
      <w:pPr>
        <w:spacing w:after="0" w:line="240" w:lineRule="auto"/>
        <w:ind w:leftChars="0" w:left="0" w:firstLineChars="0" w:firstLine="720"/>
        <w:jc w:val="both"/>
        <w:rPr>
          <w:rFonts w:ascii="Arial" w:eastAsia="Arial" w:hAnsi="Arial" w:cs="Arial"/>
          <w:sz w:val="20"/>
          <w:szCs w:val="20"/>
        </w:rPr>
      </w:pPr>
      <w:r w:rsidRPr="007732E7">
        <w:rPr>
          <w:rFonts w:ascii="Arial" w:eastAsia="Arial" w:hAnsi="Arial" w:cs="Arial"/>
          <w:sz w:val="20"/>
          <w:szCs w:val="20"/>
        </w:rPr>
        <w:t xml:space="preserve">This study covers a modelling area of 2.36 km upstream of the </w:t>
      </w:r>
      <w:proofErr w:type="spellStart"/>
      <w:r w:rsidRPr="007732E7">
        <w:rPr>
          <w:rFonts w:ascii="Arial" w:eastAsia="Arial" w:hAnsi="Arial" w:cs="Arial"/>
          <w:sz w:val="20"/>
          <w:szCs w:val="20"/>
        </w:rPr>
        <w:t>Cikakembang</w:t>
      </w:r>
      <w:proofErr w:type="spellEnd"/>
      <w:r w:rsidRPr="007732E7">
        <w:rPr>
          <w:rFonts w:ascii="Arial" w:eastAsia="Arial" w:hAnsi="Arial" w:cs="Arial"/>
          <w:sz w:val="20"/>
          <w:szCs w:val="20"/>
        </w:rPr>
        <w:t xml:space="preserve"> River, as shown in Figure 1. A total of 36 points in the location study were measured bathymetrically to obtain the river cross-sectional area. Then, water sampling was carried out at three locations, with detailed coordinates shown in Table 1. Each sampling location point had its reasons for selecting the location. The first sampling point is the upstream area of the </w:t>
      </w:r>
      <w:proofErr w:type="spellStart"/>
      <w:r w:rsidRPr="007732E7">
        <w:rPr>
          <w:rFonts w:ascii="Arial" w:eastAsia="Arial" w:hAnsi="Arial" w:cs="Arial"/>
          <w:sz w:val="20"/>
          <w:szCs w:val="20"/>
        </w:rPr>
        <w:t>Cikakembang</w:t>
      </w:r>
      <w:proofErr w:type="spellEnd"/>
      <w:r w:rsidRPr="007732E7">
        <w:rPr>
          <w:rFonts w:ascii="Arial" w:eastAsia="Arial" w:hAnsi="Arial" w:cs="Arial"/>
          <w:sz w:val="20"/>
          <w:szCs w:val="20"/>
        </w:rPr>
        <w:t xml:space="preserve"> River, where the dominant wastewater entering comes from domestic effluent. The second sampling point is in the middle of the </w:t>
      </w:r>
      <w:proofErr w:type="spellStart"/>
      <w:r w:rsidRPr="007732E7">
        <w:rPr>
          <w:rFonts w:ascii="Arial" w:eastAsia="Arial" w:hAnsi="Arial" w:cs="Arial"/>
          <w:sz w:val="20"/>
          <w:szCs w:val="20"/>
        </w:rPr>
        <w:t>Cikakembang</w:t>
      </w:r>
      <w:proofErr w:type="spellEnd"/>
      <w:r w:rsidRPr="007732E7">
        <w:rPr>
          <w:rFonts w:ascii="Arial" w:eastAsia="Arial" w:hAnsi="Arial" w:cs="Arial"/>
          <w:sz w:val="20"/>
          <w:szCs w:val="20"/>
        </w:rPr>
        <w:t xml:space="preserve"> River study location. Meanwhile, the third sampling point is downstream of the river, with the dominant type of wastewater being textile industry effluent.</w:t>
      </w:r>
    </w:p>
    <w:p w14:paraId="381F22FB" w14:textId="75B553DA" w:rsidR="007732E7" w:rsidRDefault="007732E7">
      <w:pPr>
        <w:spacing w:after="0" w:line="240" w:lineRule="auto"/>
        <w:ind w:left="0" w:hanging="2"/>
        <w:jc w:val="both"/>
        <w:rPr>
          <w:rFonts w:ascii="Arial" w:eastAsia="Arial" w:hAnsi="Arial" w:cs="Arial"/>
          <w:sz w:val="20"/>
          <w:szCs w:val="20"/>
        </w:rPr>
      </w:pPr>
      <w:r w:rsidRPr="005962A1">
        <w:rPr>
          <w:rFonts w:ascii="Cambria" w:eastAsia="Cambria" w:hAnsi="Cambria" w:cs="Cambria"/>
          <w:noProof/>
          <w:color w:val="000000"/>
        </w:rPr>
        <w:drawing>
          <wp:inline distT="0" distB="0" distL="0" distR="0" wp14:anchorId="485EC882" wp14:editId="78D33699">
            <wp:extent cx="2761307" cy="2164251"/>
            <wp:effectExtent l="0" t="0" r="1270" b="7620"/>
            <wp:docPr id="20893354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335469" name=""/>
                    <pic:cNvPicPr/>
                  </pic:nvPicPr>
                  <pic:blipFill>
                    <a:blip r:embed="rId19"/>
                    <a:stretch>
                      <a:fillRect/>
                    </a:stretch>
                  </pic:blipFill>
                  <pic:spPr>
                    <a:xfrm>
                      <a:off x="0" y="0"/>
                      <a:ext cx="2767102" cy="2168793"/>
                    </a:xfrm>
                    <a:prstGeom prst="rect">
                      <a:avLst/>
                    </a:prstGeom>
                  </pic:spPr>
                </pic:pic>
              </a:graphicData>
            </a:graphic>
          </wp:inline>
        </w:drawing>
      </w:r>
    </w:p>
    <w:p w14:paraId="42CF378B" w14:textId="50CFCF33" w:rsidR="007732E7" w:rsidRDefault="007732E7" w:rsidP="007732E7">
      <w:pPr>
        <w:keepNext/>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t xml:space="preserve">Figure 1. </w:t>
      </w:r>
      <w:r w:rsidRPr="007732E7">
        <w:rPr>
          <w:rFonts w:ascii="Arial" w:eastAsia="Arial" w:hAnsi="Arial" w:cs="Arial"/>
          <w:color w:val="000000"/>
          <w:sz w:val="20"/>
          <w:szCs w:val="20"/>
        </w:rPr>
        <w:t>Research area</w:t>
      </w:r>
    </w:p>
    <w:p w14:paraId="1DA0BADA" w14:textId="7CBC79D4" w:rsidR="007732E7" w:rsidRDefault="007732E7" w:rsidP="007732E7">
      <w:pPr>
        <w:keepNext/>
        <w:pBdr>
          <w:top w:val="nil"/>
          <w:left w:val="nil"/>
          <w:bottom w:val="nil"/>
          <w:right w:val="nil"/>
          <w:between w:val="nil"/>
        </w:pBdr>
        <w:spacing w:after="0"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t xml:space="preserve">Table 1. </w:t>
      </w:r>
      <w:r w:rsidRPr="007732E7">
        <w:rPr>
          <w:rFonts w:ascii="Arial" w:eastAsia="Arial" w:hAnsi="Arial" w:cs="Arial"/>
          <w:color w:val="000000"/>
          <w:sz w:val="20"/>
          <w:szCs w:val="20"/>
        </w:rPr>
        <w:t>Coordinates of sampling locations</w:t>
      </w:r>
    </w:p>
    <w:tbl>
      <w:tblPr>
        <w:tblW w:w="3840" w:type="dxa"/>
        <w:jc w:val="center"/>
        <w:tblLook w:val="04A0" w:firstRow="1" w:lastRow="0" w:firstColumn="1" w:lastColumn="0" w:noHBand="0" w:noVBand="1"/>
      </w:tblPr>
      <w:tblGrid>
        <w:gridCol w:w="960"/>
        <w:gridCol w:w="960"/>
        <w:gridCol w:w="988"/>
        <w:gridCol w:w="932"/>
      </w:tblGrid>
      <w:tr w:rsidR="007732E7" w:rsidRPr="007732E7" w14:paraId="06D5271C" w14:textId="77777777" w:rsidTr="001A6BF6">
        <w:trPr>
          <w:trHeight w:val="412"/>
          <w:jc w:val="center"/>
        </w:trPr>
        <w:tc>
          <w:tcPr>
            <w:tcW w:w="960" w:type="dxa"/>
            <w:tcBorders>
              <w:top w:val="single" w:sz="8" w:space="0" w:color="auto"/>
              <w:left w:val="nil"/>
              <w:bottom w:val="single" w:sz="8" w:space="0" w:color="auto"/>
              <w:right w:val="nil"/>
            </w:tcBorders>
            <w:shd w:val="clear" w:color="auto" w:fill="auto"/>
            <w:vAlign w:val="center"/>
            <w:hideMark/>
          </w:tcPr>
          <w:p w14:paraId="70185787" w14:textId="77777777" w:rsidR="007732E7" w:rsidRPr="007732E7" w:rsidRDefault="007732E7" w:rsidP="001A6BF6">
            <w:pPr>
              <w:spacing w:after="0"/>
              <w:ind w:left="0" w:hanging="2"/>
              <w:jc w:val="center"/>
              <w:rPr>
                <w:rFonts w:ascii="Arial" w:eastAsia="Times New Roman" w:hAnsi="Arial" w:cs="Arial"/>
                <w:b/>
                <w:bCs/>
                <w:color w:val="000000"/>
                <w:sz w:val="16"/>
                <w:szCs w:val="16"/>
                <w:lang w:val="en-GB"/>
              </w:rPr>
            </w:pPr>
            <w:r w:rsidRPr="007732E7">
              <w:rPr>
                <w:rFonts w:ascii="Arial" w:eastAsia="Times New Roman" w:hAnsi="Arial" w:cs="Arial"/>
                <w:b/>
                <w:bCs/>
                <w:color w:val="000000"/>
                <w:sz w:val="16"/>
                <w:szCs w:val="16"/>
                <w:lang w:val="en-GB"/>
              </w:rPr>
              <w:t>Location Details</w:t>
            </w:r>
          </w:p>
        </w:tc>
        <w:tc>
          <w:tcPr>
            <w:tcW w:w="960" w:type="dxa"/>
            <w:tcBorders>
              <w:top w:val="single" w:sz="8" w:space="0" w:color="auto"/>
              <w:left w:val="nil"/>
              <w:bottom w:val="single" w:sz="8" w:space="0" w:color="auto"/>
              <w:right w:val="nil"/>
            </w:tcBorders>
            <w:shd w:val="clear" w:color="auto" w:fill="auto"/>
            <w:vAlign w:val="center"/>
            <w:hideMark/>
          </w:tcPr>
          <w:p w14:paraId="70E2C622" w14:textId="77777777" w:rsidR="007732E7" w:rsidRPr="007732E7" w:rsidRDefault="007732E7" w:rsidP="001A6BF6">
            <w:pPr>
              <w:spacing w:after="0"/>
              <w:ind w:left="0" w:hanging="2"/>
              <w:jc w:val="center"/>
              <w:rPr>
                <w:rFonts w:ascii="Arial" w:eastAsia="Times New Roman" w:hAnsi="Arial" w:cs="Arial"/>
                <w:b/>
                <w:bCs/>
                <w:color w:val="000000"/>
                <w:sz w:val="16"/>
                <w:szCs w:val="16"/>
                <w:lang w:val="en-GB"/>
              </w:rPr>
            </w:pPr>
            <w:r w:rsidRPr="007732E7">
              <w:rPr>
                <w:rFonts w:ascii="Arial" w:eastAsia="Times New Roman" w:hAnsi="Arial" w:cs="Arial"/>
                <w:b/>
                <w:bCs/>
                <w:color w:val="000000"/>
                <w:sz w:val="16"/>
                <w:szCs w:val="16"/>
                <w:lang w:val="en-GB"/>
              </w:rPr>
              <w:t>Sampling Point</w:t>
            </w:r>
          </w:p>
        </w:tc>
        <w:tc>
          <w:tcPr>
            <w:tcW w:w="988" w:type="dxa"/>
            <w:tcBorders>
              <w:top w:val="single" w:sz="8" w:space="0" w:color="auto"/>
              <w:left w:val="nil"/>
              <w:bottom w:val="single" w:sz="8" w:space="0" w:color="auto"/>
              <w:right w:val="nil"/>
            </w:tcBorders>
            <w:shd w:val="clear" w:color="auto" w:fill="auto"/>
            <w:vAlign w:val="center"/>
            <w:hideMark/>
          </w:tcPr>
          <w:p w14:paraId="46D7FC5D" w14:textId="77777777" w:rsidR="007732E7" w:rsidRPr="007732E7" w:rsidRDefault="007732E7" w:rsidP="001A6BF6">
            <w:pPr>
              <w:spacing w:after="0"/>
              <w:ind w:left="0" w:hanging="2"/>
              <w:jc w:val="center"/>
              <w:rPr>
                <w:rFonts w:ascii="Arial" w:eastAsia="Times New Roman" w:hAnsi="Arial" w:cs="Arial"/>
                <w:b/>
                <w:bCs/>
                <w:color w:val="000000"/>
                <w:sz w:val="16"/>
                <w:szCs w:val="16"/>
                <w:lang w:val="en-GB"/>
              </w:rPr>
            </w:pPr>
            <w:r w:rsidRPr="007732E7">
              <w:rPr>
                <w:rFonts w:ascii="Arial" w:eastAsia="Times New Roman" w:hAnsi="Arial" w:cs="Arial"/>
                <w:b/>
                <w:bCs/>
                <w:color w:val="000000"/>
                <w:sz w:val="16"/>
                <w:szCs w:val="16"/>
                <w:lang w:val="en-GB"/>
              </w:rPr>
              <w:t>Longitude</w:t>
            </w:r>
          </w:p>
        </w:tc>
        <w:tc>
          <w:tcPr>
            <w:tcW w:w="932" w:type="dxa"/>
            <w:tcBorders>
              <w:top w:val="single" w:sz="8" w:space="0" w:color="auto"/>
              <w:left w:val="nil"/>
              <w:bottom w:val="single" w:sz="8" w:space="0" w:color="auto"/>
              <w:right w:val="nil"/>
            </w:tcBorders>
            <w:shd w:val="clear" w:color="auto" w:fill="auto"/>
            <w:vAlign w:val="center"/>
            <w:hideMark/>
          </w:tcPr>
          <w:p w14:paraId="66F958EB" w14:textId="77777777" w:rsidR="007732E7" w:rsidRPr="007732E7" w:rsidRDefault="007732E7" w:rsidP="001A6BF6">
            <w:pPr>
              <w:spacing w:after="0"/>
              <w:ind w:left="0" w:hanging="2"/>
              <w:jc w:val="center"/>
              <w:rPr>
                <w:rFonts w:ascii="Arial" w:eastAsia="Times New Roman" w:hAnsi="Arial" w:cs="Arial"/>
                <w:b/>
                <w:bCs/>
                <w:color w:val="000000"/>
                <w:sz w:val="16"/>
                <w:szCs w:val="16"/>
                <w:lang w:val="en-GB"/>
              </w:rPr>
            </w:pPr>
            <w:r w:rsidRPr="007732E7">
              <w:rPr>
                <w:rFonts w:ascii="Arial" w:eastAsia="Times New Roman" w:hAnsi="Arial" w:cs="Arial"/>
                <w:b/>
                <w:bCs/>
                <w:color w:val="000000"/>
                <w:sz w:val="16"/>
                <w:szCs w:val="16"/>
                <w:lang w:val="en-GB"/>
              </w:rPr>
              <w:t>Latitude</w:t>
            </w:r>
          </w:p>
        </w:tc>
      </w:tr>
      <w:tr w:rsidR="007732E7" w:rsidRPr="007732E7" w14:paraId="736F6BAA" w14:textId="77777777" w:rsidTr="001A6BF6">
        <w:trPr>
          <w:trHeight w:val="113"/>
          <w:jc w:val="center"/>
        </w:trPr>
        <w:tc>
          <w:tcPr>
            <w:tcW w:w="960" w:type="dxa"/>
            <w:tcBorders>
              <w:top w:val="nil"/>
              <w:left w:val="nil"/>
              <w:bottom w:val="nil"/>
              <w:right w:val="nil"/>
            </w:tcBorders>
            <w:shd w:val="clear" w:color="auto" w:fill="auto"/>
            <w:noWrap/>
            <w:vAlign w:val="center"/>
            <w:hideMark/>
          </w:tcPr>
          <w:p w14:paraId="3A4A1AB0" w14:textId="77777777" w:rsidR="007732E7" w:rsidRPr="007732E7" w:rsidRDefault="007732E7" w:rsidP="001A6BF6">
            <w:pPr>
              <w:spacing w:after="0"/>
              <w:ind w:left="0" w:hanging="2"/>
              <w:jc w:val="center"/>
              <w:rPr>
                <w:rFonts w:ascii="Arial" w:eastAsia="Times New Roman" w:hAnsi="Arial" w:cs="Arial"/>
                <w:color w:val="000000"/>
                <w:sz w:val="16"/>
                <w:szCs w:val="16"/>
                <w:lang w:val="en-GB"/>
              </w:rPr>
            </w:pPr>
            <w:r w:rsidRPr="007732E7">
              <w:rPr>
                <w:rFonts w:ascii="Arial" w:eastAsia="Times New Roman" w:hAnsi="Arial" w:cs="Arial"/>
                <w:color w:val="000000"/>
                <w:sz w:val="16"/>
                <w:szCs w:val="16"/>
                <w:lang w:val="en-GB"/>
              </w:rPr>
              <w:t>C4</w:t>
            </w:r>
          </w:p>
        </w:tc>
        <w:tc>
          <w:tcPr>
            <w:tcW w:w="960" w:type="dxa"/>
            <w:tcBorders>
              <w:top w:val="nil"/>
              <w:left w:val="nil"/>
              <w:bottom w:val="nil"/>
              <w:right w:val="nil"/>
            </w:tcBorders>
            <w:shd w:val="clear" w:color="auto" w:fill="auto"/>
            <w:noWrap/>
            <w:vAlign w:val="center"/>
            <w:hideMark/>
          </w:tcPr>
          <w:p w14:paraId="47EEB0A6" w14:textId="77777777" w:rsidR="007732E7" w:rsidRPr="007732E7" w:rsidRDefault="007732E7" w:rsidP="001A6BF6">
            <w:pPr>
              <w:spacing w:after="0"/>
              <w:ind w:left="0" w:hanging="2"/>
              <w:jc w:val="center"/>
              <w:rPr>
                <w:rFonts w:ascii="Arial" w:eastAsia="Times New Roman" w:hAnsi="Arial" w:cs="Arial"/>
                <w:color w:val="000000"/>
                <w:sz w:val="16"/>
                <w:szCs w:val="16"/>
                <w:lang w:val="en-GB"/>
              </w:rPr>
            </w:pPr>
            <w:r w:rsidRPr="007732E7">
              <w:rPr>
                <w:rFonts w:ascii="Arial" w:eastAsia="Times New Roman" w:hAnsi="Arial" w:cs="Arial"/>
                <w:color w:val="000000"/>
                <w:sz w:val="16"/>
                <w:szCs w:val="16"/>
                <w:lang w:val="en-GB"/>
              </w:rPr>
              <w:t>S1</w:t>
            </w:r>
          </w:p>
        </w:tc>
        <w:tc>
          <w:tcPr>
            <w:tcW w:w="988" w:type="dxa"/>
            <w:tcBorders>
              <w:top w:val="nil"/>
              <w:left w:val="nil"/>
              <w:bottom w:val="nil"/>
              <w:right w:val="nil"/>
            </w:tcBorders>
            <w:shd w:val="clear" w:color="auto" w:fill="auto"/>
            <w:vAlign w:val="center"/>
            <w:hideMark/>
          </w:tcPr>
          <w:p w14:paraId="2AFB9A8F" w14:textId="77777777" w:rsidR="007732E7" w:rsidRPr="007732E7" w:rsidRDefault="007732E7" w:rsidP="001A6BF6">
            <w:pPr>
              <w:spacing w:after="0"/>
              <w:ind w:left="0" w:hanging="2"/>
              <w:jc w:val="center"/>
              <w:rPr>
                <w:rFonts w:ascii="Arial" w:eastAsia="Times New Roman" w:hAnsi="Arial" w:cs="Arial"/>
                <w:color w:val="000000"/>
                <w:sz w:val="16"/>
                <w:szCs w:val="16"/>
                <w:lang w:val="en-GB"/>
              </w:rPr>
            </w:pPr>
            <w:r w:rsidRPr="007732E7">
              <w:rPr>
                <w:rFonts w:ascii="Arial" w:eastAsia="Times New Roman" w:hAnsi="Arial" w:cs="Arial"/>
                <w:color w:val="000000"/>
                <w:sz w:val="16"/>
                <w:szCs w:val="16"/>
                <w:lang w:val="en-GB"/>
              </w:rPr>
              <w:t>107.746</w:t>
            </w:r>
          </w:p>
        </w:tc>
        <w:tc>
          <w:tcPr>
            <w:tcW w:w="932" w:type="dxa"/>
            <w:tcBorders>
              <w:top w:val="nil"/>
              <w:left w:val="nil"/>
              <w:bottom w:val="nil"/>
              <w:right w:val="nil"/>
            </w:tcBorders>
            <w:shd w:val="clear" w:color="auto" w:fill="auto"/>
            <w:vAlign w:val="center"/>
            <w:hideMark/>
          </w:tcPr>
          <w:p w14:paraId="11653A04" w14:textId="77777777" w:rsidR="007732E7" w:rsidRPr="007732E7" w:rsidRDefault="007732E7" w:rsidP="001A6BF6">
            <w:pPr>
              <w:spacing w:after="0"/>
              <w:ind w:left="0" w:hanging="2"/>
              <w:jc w:val="center"/>
              <w:rPr>
                <w:rFonts w:ascii="Arial" w:eastAsia="Times New Roman" w:hAnsi="Arial" w:cs="Arial"/>
                <w:color w:val="000000"/>
                <w:sz w:val="16"/>
                <w:szCs w:val="16"/>
                <w:lang w:val="en-GB"/>
              </w:rPr>
            </w:pPr>
            <w:r w:rsidRPr="007732E7">
              <w:rPr>
                <w:rFonts w:ascii="Arial" w:eastAsia="Times New Roman" w:hAnsi="Arial" w:cs="Arial"/>
                <w:color w:val="000000"/>
                <w:sz w:val="16"/>
                <w:szCs w:val="16"/>
                <w:lang w:val="en-GB"/>
              </w:rPr>
              <w:t>-7.061</w:t>
            </w:r>
          </w:p>
        </w:tc>
      </w:tr>
      <w:tr w:rsidR="007732E7" w:rsidRPr="007732E7" w14:paraId="0CDA0D70" w14:textId="77777777" w:rsidTr="001A6BF6">
        <w:trPr>
          <w:trHeight w:val="113"/>
          <w:jc w:val="center"/>
        </w:trPr>
        <w:tc>
          <w:tcPr>
            <w:tcW w:w="960" w:type="dxa"/>
            <w:tcBorders>
              <w:top w:val="nil"/>
              <w:left w:val="nil"/>
              <w:bottom w:val="nil"/>
              <w:right w:val="nil"/>
            </w:tcBorders>
            <w:shd w:val="clear" w:color="auto" w:fill="auto"/>
            <w:noWrap/>
            <w:vAlign w:val="center"/>
            <w:hideMark/>
          </w:tcPr>
          <w:p w14:paraId="14824C26" w14:textId="77777777" w:rsidR="007732E7" w:rsidRPr="007732E7" w:rsidRDefault="007732E7" w:rsidP="001A6BF6">
            <w:pPr>
              <w:spacing w:after="0"/>
              <w:ind w:left="0" w:hanging="2"/>
              <w:jc w:val="center"/>
              <w:rPr>
                <w:rFonts w:ascii="Arial" w:eastAsia="Times New Roman" w:hAnsi="Arial" w:cs="Arial"/>
                <w:color w:val="000000"/>
                <w:sz w:val="16"/>
                <w:szCs w:val="16"/>
                <w:lang w:val="en-GB"/>
              </w:rPr>
            </w:pPr>
            <w:r w:rsidRPr="007732E7">
              <w:rPr>
                <w:rFonts w:ascii="Arial" w:eastAsia="Times New Roman" w:hAnsi="Arial" w:cs="Arial"/>
                <w:color w:val="000000"/>
                <w:sz w:val="16"/>
                <w:szCs w:val="16"/>
                <w:lang w:val="en-GB"/>
              </w:rPr>
              <w:t>C19</w:t>
            </w:r>
          </w:p>
        </w:tc>
        <w:tc>
          <w:tcPr>
            <w:tcW w:w="960" w:type="dxa"/>
            <w:tcBorders>
              <w:top w:val="nil"/>
              <w:left w:val="nil"/>
              <w:bottom w:val="nil"/>
              <w:right w:val="nil"/>
            </w:tcBorders>
            <w:shd w:val="clear" w:color="auto" w:fill="auto"/>
            <w:noWrap/>
            <w:vAlign w:val="center"/>
            <w:hideMark/>
          </w:tcPr>
          <w:p w14:paraId="65B01D27" w14:textId="77777777" w:rsidR="007732E7" w:rsidRPr="007732E7" w:rsidRDefault="007732E7" w:rsidP="001A6BF6">
            <w:pPr>
              <w:spacing w:after="0"/>
              <w:ind w:left="0" w:hanging="2"/>
              <w:jc w:val="center"/>
              <w:rPr>
                <w:rFonts w:ascii="Arial" w:eastAsia="Times New Roman" w:hAnsi="Arial" w:cs="Arial"/>
                <w:color w:val="000000"/>
                <w:sz w:val="16"/>
                <w:szCs w:val="16"/>
                <w:lang w:val="en-GB"/>
              </w:rPr>
            </w:pPr>
            <w:r w:rsidRPr="007732E7">
              <w:rPr>
                <w:rFonts w:ascii="Arial" w:eastAsia="Times New Roman" w:hAnsi="Arial" w:cs="Arial"/>
                <w:color w:val="000000"/>
                <w:sz w:val="16"/>
                <w:szCs w:val="16"/>
                <w:lang w:val="en-GB"/>
              </w:rPr>
              <w:t>S2</w:t>
            </w:r>
          </w:p>
        </w:tc>
        <w:tc>
          <w:tcPr>
            <w:tcW w:w="988" w:type="dxa"/>
            <w:tcBorders>
              <w:top w:val="nil"/>
              <w:left w:val="nil"/>
              <w:bottom w:val="nil"/>
              <w:right w:val="nil"/>
            </w:tcBorders>
            <w:shd w:val="clear" w:color="auto" w:fill="auto"/>
            <w:vAlign w:val="center"/>
            <w:hideMark/>
          </w:tcPr>
          <w:p w14:paraId="305B48B8" w14:textId="77777777" w:rsidR="007732E7" w:rsidRPr="007732E7" w:rsidRDefault="007732E7" w:rsidP="001A6BF6">
            <w:pPr>
              <w:spacing w:after="0"/>
              <w:ind w:left="0" w:hanging="2"/>
              <w:jc w:val="center"/>
              <w:rPr>
                <w:rFonts w:ascii="Arial" w:eastAsia="Times New Roman" w:hAnsi="Arial" w:cs="Arial"/>
                <w:color w:val="000000"/>
                <w:sz w:val="16"/>
                <w:szCs w:val="16"/>
                <w:lang w:val="en-GB"/>
              </w:rPr>
            </w:pPr>
            <w:r w:rsidRPr="007732E7">
              <w:rPr>
                <w:rFonts w:ascii="Arial" w:eastAsia="Times New Roman" w:hAnsi="Arial" w:cs="Arial"/>
                <w:color w:val="000000"/>
                <w:sz w:val="16"/>
                <w:szCs w:val="16"/>
                <w:lang w:val="en-GB"/>
              </w:rPr>
              <w:t>107.746</w:t>
            </w:r>
          </w:p>
        </w:tc>
        <w:tc>
          <w:tcPr>
            <w:tcW w:w="932" w:type="dxa"/>
            <w:tcBorders>
              <w:top w:val="nil"/>
              <w:left w:val="nil"/>
              <w:bottom w:val="nil"/>
              <w:right w:val="nil"/>
            </w:tcBorders>
            <w:shd w:val="clear" w:color="auto" w:fill="auto"/>
            <w:vAlign w:val="center"/>
            <w:hideMark/>
          </w:tcPr>
          <w:p w14:paraId="390195BC" w14:textId="77777777" w:rsidR="007732E7" w:rsidRPr="007732E7" w:rsidRDefault="007732E7" w:rsidP="001A6BF6">
            <w:pPr>
              <w:spacing w:after="0"/>
              <w:ind w:left="0" w:hanging="2"/>
              <w:jc w:val="center"/>
              <w:rPr>
                <w:rFonts w:ascii="Arial" w:eastAsia="Times New Roman" w:hAnsi="Arial" w:cs="Arial"/>
                <w:color w:val="000000"/>
                <w:sz w:val="16"/>
                <w:szCs w:val="16"/>
                <w:lang w:val="en-GB"/>
              </w:rPr>
            </w:pPr>
            <w:r w:rsidRPr="007732E7">
              <w:rPr>
                <w:rFonts w:ascii="Arial" w:eastAsia="Times New Roman" w:hAnsi="Arial" w:cs="Arial"/>
                <w:color w:val="000000"/>
                <w:sz w:val="16"/>
                <w:szCs w:val="16"/>
                <w:lang w:val="en-GB"/>
              </w:rPr>
              <w:t>-7.050</w:t>
            </w:r>
          </w:p>
        </w:tc>
      </w:tr>
      <w:tr w:rsidR="007732E7" w:rsidRPr="007732E7" w14:paraId="73D63F7F" w14:textId="77777777" w:rsidTr="001A6BF6">
        <w:trPr>
          <w:trHeight w:val="113"/>
          <w:jc w:val="center"/>
        </w:trPr>
        <w:tc>
          <w:tcPr>
            <w:tcW w:w="960" w:type="dxa"/>
            <w:tcBorders>
              <w:top w:val="nil"/>
              <w:left w:val="nil"/>
              <w:bottom w:val="single" w:sz="8" w:space="0" w:color="auto"/>
              <w:right w:val="nil"/>
            </w:tcBorders>
            <w:shd w:val="clear" w:color="auto" w:fill="auto"/>
            <w:noWrap/>
            <w:vAlign w:val="center"/>
            <w:hideMark/>
          </w:tcPr>
          <w:p w14:paraId="244247BF" w14:textId="77777777" w:rsidR="007732E7" w:rsidRPr="007732E7" w:rsidRDefault="007732E7" w:rsidP="001A6BF6">
            <w:pPr>
              <w:spacing w:after="0"/>
              <w:ind w:left="0" w:hanging="2"/>
              <w:jc w:val="center"/>
              <w:rPr>
                <w:rFonts w:ascii="Arial" w:eastAsia="Times New Roman" w:hAnsi="Arial" w:cs="Arial"/>
                <w:color w:val="000000"/>
                <w:sz w:val="16"/>
                <w:szCs w:val="16"/>
                <w:lang w:val="en-GB"/>
              </w:rPr>
            </w:pPr>
            <w:r w:rsidRPr="007732E7">
              <w:rPr>
                <w:rFonts w:ascii="Arial" w:eastAsia="Times New Roman" w:hAnsi="Arial" w:cs="Arial"/>
                <w:color w:val="000000"/>
                <w:sz w:val="16"/>
                <w:szCs w:val="16"/>
                <w:lang w:val="en-GB"/>
              </w:rPr>
              <w:t>C24</w:t>
            </w:r>
          </w:p>
        </w:tc>
        <w:tc>
          <w:tcPr>
            <w:tcW w:w="960" w:type="dxa"/>
            <w:tcBorders>
              <w:top w:val="nil"/>
              <w:left w:val="nil"/>
              <w:bottom w:val="single" w:sz="8" w:space="0" w:color="auto"/>
              <w:right w:val="nil"/>
            </w:tcBorders>
            <w:shd w:val="clear" w:color="auto" w:fill="auto"/>
            <w:noWrap/>
            <w:vAlign w:val="center"/>
            <w:hideMark/>
          </w:tcPr>
          <w:p w14:paraId="1DC73DDC" w14:textId="77777777" w:rsidR="007732E7" w:rsidRPr="007732E7" w:rsidRDefault="007732E7" w:rsidP="001A6BF6">
            <w:pPr>
              <w:spacing w:after="0"/>
              <w:ind w:left="0" w:hanging="2"/>
              <w:jc w:val="center"/>
              <w:rPr>
                <w:rFonts w:ascii="Arial" w:eastAsia="Times New Roman" w:hAnsi="Arial" w:cs="Arial"/>
                <w:color w:val="000000"/>
                <w:sz w:val="16"/>
                <w:szCs w:val="16"/>
                <w:lang w:val="en-GB"/>
              </w:rPr>
            </w:pPr>
            <w:r w:rsidRPr="007732E7">
              <w:rPr>
                <w:rFonts w:ascii="Arial" w:eastAsia="Times New Roman" w:hAnsi="Arial" w:cs="Arial"/>
                <w:color w:val="000000"/>
                <w:sz w:val="16"/>
                <w:szCs w:val="16"/>
                <w:lang w:val="en-GB"/>
              </w:rPr>
              <w:t>S3</w:t>
            </w:r>
          </w:p>
        </w:tc>
        <w:tc>
          <w:tcPr>
            <w:tcW w:w="988" w:type="dxa"/>
            <w:tcBorders>
              <w:top w:val="nil"/>
              <w:left w:val="nil"/>
              <w:bottom w:val="single" w:sz="8" w:space="0" w:color="auto"/>
              <w:right w:val="nil"/>
            </w:tcBorders>
            <w:shd w:val="clear" w:color="auto" w:fill="auto"/>
            <w:vAlign w:val="center"/>
            <w:hideMark/>
          </w:tcPr>
          <w:p w14:paraId="7F9CE1BB" w14:textId="77777777" w:rsidR="007732E7" w:rsidRPr="007732E7" w:rsidRDefault="007732E7" w:rsidP="001A6BF6">
            <w:pPr>
              <w:spacing w:after="0"/>
              <w:ind w:left="0" w:hanging="2"/>
              <w:jc w:val="center"/>
              <w:rPr>
                <w:rFonts w:ascii="Arial" w:eastAsia="Times New Roman" w:hAnsi="Arial" w:cs="Arial"/>
                <w:color w:val="000000"/>
                <w:sz w:val="16"/>
                <w:szCs w:val="16"/>
                <w:lang w:val="en-GB"/>
              </w:rPr>
            </w:pPr>
            <w:r w:rsidRPr="007732E7">
              <w:rPr>
                <w:rFonts w:ascii="Arial" w:eastAsia="Times New Roman" w:hAnsi="Arial" w:cs="Arial"/>
                <w:color w:val="000000"/>
                <w:sz w:val="16"/>
                <w:szCs w:val="16"/>
                <w:lang w:val="en-GB"/>
              </w:rPr>
              <w:t>107.743</w:t>
            </w:r>
          </w:p>
        </w:tc>
        <w:tc>
          <w:tcPr>
            <w:tcW w:w="932" w:type="dxa"/>
            <w:tcBorders>
              <w:top w:val="nil"/>
              <w:left w:val="nil"/>
              <w:bottom w:val="single" w:sz="8" w:space="0" w:color="auto"/>
              <w:right w:val="nil"/>
            </w:tcBorders>
            <w:shd w:val="clear" w:color="auto" w:fill="auto"/>
            <w:vAlign w:val="center"/>
            <w:hideMark/>
          </w:tcPr>
          <w:p w14:paraId="408CC7B5" w14:textId="77777777" w:rsidR="007732E7" w:rsidRPr="007732E7" w:rsidRDefault="007732E7" w:rsidP="001A6BF6">
            <w:pPr>
              <w:spacing w:after="0"/>
              <w:ind w:left="0" w:hanging="2"/>
              <w:jc w:val="center"/>
              <w:rPr>
                <w:rFonts w:ascii="Arial" w:eastAsia="Times New Roman" w:hAnsi="Arial" w:cs="Arial"/>
                <w:color w:val="000000"/>
                <w:sz w:val="16"/>
                <w:szCs w:val="16"/>
                <w:lang w:val="en-GB"/>
              </w:rPr>
            </w:pPr>
            <w:r w:rsidRPr="007732E7">
              <w:rPr>
                <w:rFonts w:ascii="Arial" w:eastAsia="Times New Roman" w:hAnsi="Arial" w:cs="Arial"/>
                <w:color w:val="000000"/>
                <w:sz w:val="16"/>
                <w:szCs w:val="16"/>
                <w:lang w:val="en-GB"/>
              </w:rPr>
              <w:t>-7.047</w:t>
            </w:r>
          </w:p>
        </w:tc>
      </w:tr>
    </w:tbl>
    <w:p w14:paraId="788FD9C3" w14:textId="77777777" w:rsidR="007732E7" w:rsidRDefault="007732E7" w:rsidP="001A6BF6">
      <w:pPr>
        <w:keepNext/>
        <w:pBdr>
          <w:top w:val="nil"/>
          <w:left w:val="nil"/>
          <w:bottom w:val="nil"/>
          <w:right w:val="nil"/>
          <w:between w:val="nil"/>
        </w:pBdr>
        <w:spacing w:after="0" w:line="240" w:lineRule="auto"/>
        <w:ind w:left="0" w:hanging="2"/>
        <w:jc w:val="center"/>
        <w:rPr>
          <w:rFonts w:ascii="Arial" w:eastAsia="Arial" w:hAnsi="Arial" w:cs="Arial"/>
          <w:color w:val="000000"/>
          <w:sz w:val="20"/>
          <w:szCs w:val="20"/>
        </w:rPr>
      </w:pPr>
    </w:p>
    <w:p w14:paraId="3FF1969F" w14:textId="4BF4FF4E" w:rsidR="007732E7" w:rsidRDefault="007732E7" w:rsidP="007732E7">
      <w:pPr>
        <w:spacing w:after="0" w:line="240" w:lineRule="auto"/>
        <w:ind w:left="0" w:hanging="2"/>
        <w:jc w:val="both"/>
        <w:rPr>
          <w:rFonts w:ascii="Arial" w:eastAsia="Arial" w:hAnsi="Arial" w:cs="Arial"/>
          <w:b/>
          <w:color w:val="1F4E79"/>
          <w:sz w:val="20"/>
          <w:szCs w:val="20"/>
        </w:rPr>
      </w:pPr>
      <w:r>
        <w:rPr>
          <w:rFonts w:ascii="Arial" w:eastAsia="Arial" w:hAnsi="Arial" w:cs="Arial"/>
          <w:b/>
          <w:color w:val="1F4E79"/>
          <w:sz w:val="20"/>
          <w:szCs w:val="20"/>
        </w:rPr>
        <w:t>Research Flowchart</w:t>
      </w:r>
    </w:p>
    <w:p w14:paraId="35AD5674" w14:textId="77777777" w:rsidR="007732E7" w:rsidRPr="007732E7" w:rsidRDefault="007732E7" w:rsidP="00363742">
      <w:pPr>
        <w:spacing w:after="0" w:line="240" w:lineRule="auto"/>
        <w:ind w:leftChars="0" w:left="0" w:firstLineChars="0" w:firstLine="720"/>
        <w:jc w:val="both"/>
        <w:rPr>
          <w:rFonts w:ascii="Arial" w:eastAsia="Arial" w:hAnsi="Arial" w:cs="Arial"/>
          <w:sz w:val="20"/>
          <w:szCs w:val="20"/>
        </w:rPr>
      </w:pPr>
      <w:r w:rsidRPr="007732E7">
        <w:rPr>
          <w:rFonts w:ascii="Arial" w:eastAsia="Arial" w:hAnsi="Arial" w:cs="Arial"/>
          <w:sz w:val="20"/>
          <w:szCs w:val="20"/>
        </w:rPr>
        <w:t xml:space="preserve">The research flowchart of this study is represented in Figure 2. First, pollutant parameters from heavy metals for textile industry wastewater will be identified. After that, data was collected on three types: water quality data through water sampling, hydraulic parameters, and physical parameters. Data was collected six times from 27 January 2022 to 19 October 2022. Three were taken during the rainy season, and the others were taken during the dry season. Water samples from the </w:t>
      </w:r>
      <w:proofErr w:type="spellStart"/>
      <w:r w:rsidRPr="007732E7">
        <w:rPr>
          <w:rFonts w:ascii="Arial" w:eastAsia="Arial" w:hAnsi="Arial" w:cs="Arial"/>
          <w:sz w:val="20"/>
          <w:szCs w:val="20"/>
        </w:rPr>
        <w:t>Cikakembang</w:t>
      </w:r>
      <w:proofErr w:type="spellEnd"/>
      <w:r w:rsidRPr="007732E7">
        <w:rPr>
          <w:rFonts w:ascii="Arial" w:eastAsia="Arial" w:hAnsi="Arial" w:cs="Arial"/>
          <w:sz w:val="20"/>
          <w:szCs w:val="20"/>
        </w:rPr>
        <w:t xml:space="preserve"> River are tested at </w:t>
      </w:r>
      <w:proofErr w:type="spellStart"/>
      <w:r w:rsidRPr="007732E7">
        <w:rPr>
          <w:rFonts w:ascii="Arial" w:eastAsia="Arial" w:hAnsi="Arial" w:cs="Arial"/>
          <w:sz w:val="20"/>
          <w:szCs w:val="20"/>
        </w:rPr>
        <w:t>Parahyangan</w:t>
      </w:r>
      <w:proofErr w:type="spellEnd"/>
      <w:r w:rsidRPr="007732E7">
        <w:rPr>
          <w:rFonts w:ascii="Arial" w:eastAsia="Arial" w:hAnsi="Arial" w:cs="Arial"/>
          <w:sz w:val="20"/>
          <w:szCs w:val="20"/>
        </w:rPr>
        <w:t xml:space="preserve"> Catholic University for four parameters: Copper, Iron, Zinc, and Chromium. Hydrodynamic modelling was carried out in the same process using HEC-RAS to obtain hydraulic parameters at 36 points at the study location.</w:t>
      </w:r>
    </w:p>
    <w:p w14:paraId="37457A0F" w14:textId="229E0FCE" w:rsidR="007732E7" w:rsidRDefault="007732E7" w:rsidP="00363742">
      <w:pPr>
        <w:spacing w:after="0" w:line="240" w:lineRule="auto"/>
        <w:ind w:leftChars="0" w:left="0" w:firstLineChars="0" w:firstLine="720"/>
        <w:jc w:val="both"/>
        <w:rPr>
          <w:rFonts w:ascii="Arial" w:eastAsia="Arial" w:hAnsi="Arial" w:cs="Arial"/>
          <w:sz w:val="20"/>
          <w:szCs w:val="20"/>
        </w:rPr>
        <w:sectPr w:rsidR="007732E7">
          <w:type w:val="continuous"/>
          <w:pgSz w:w="11907" w:h="16840"/>
          <w:pgMar w:top="1701" w:right="1134" w:bottom="1701" w:left="1701" w:header="680" w:footer="680" w:gutter="0"/>
          <w:cols w:num="2" w:space="720" w:equalWidth="0">
            <w:col w:w="4394" w:space="284"/>
            <w:col w:w="4394" w:space="0"/>
          </w:cols>
          <w:titlePg/>
        </w:sectPr>
      </w:pPr>
      <w:r w:rsidRPr="007732E7">
        <w:rPr>
          <w:rFonts w:ascii="Arial" w:eastAsia="Arial" w:hAnsi="Arial" w:cs="Arial"/>
          <w:sz w:val="20"/>
          <w:szCs w:val="20"/>
        </w:rPr>
        <w:t>Afte</w:t>
      </w:r>
      <w:r w:rsidR="00DE3127">
        <w:rPr>
          <w:rFonts w:ascii="Arial" w:eastAsia="Arial" w:hAnsi="Arial" w:cs="Arial"/>
          <w:sz w:val="20"/>
          <w:szCs w:val="20"/>
        </w:rPr>
        <w:t>rwards</w:t>
      </w:r>
      <w:r w:rsidRPr="007732E7">
        <w:rPr>
          <w:rFonts w:ascii="Arial" w:eastAsia="Arial" w:hAnsi="Arial" w:cs="Arial"/>
          <w:sz w:val="20"/>
          <w:szCs w:val="20"/>
        </w:rPr>
        <w:t xml:space="preserve">, a water quality model for heavy metal parameters was developed using MATLAB. Numerical modelling was carried out using the Runge Kutte-4 explicit </w:t>
      </w:r>
      <w:proofErr w:type="spellStart"/>
      <w:r w:rsidRPr="007732E7">
        <w:rPr>
          <w:rFonts w:ascii="Arial" w:eastAsia="Arial" w:hAnsi="Arial" w:cs="Arial"/>
          <w:sz w:val="20"/>
          <w:szCs w:val="20"/>
        </w:rPr>
        <w:t>discretisation</w:t>
      </w:r>
      <w:proofErr w:type="spellEnd"/>
      <w:r w:rsidRPr="007732E7">
        <w:rPr>
          <w:rFonts w:ascii="Arial" w:eastAsia="Arial" w:hAnsi="Arial" w:cs="Arial"/>
          <w:sz w:val="20"/>
          <w:szCs w:val="20"/>
        </w:rPr>
        <w:t xml:space="preserve"> scheme. The calibration and verification process </w:t>
      </w:r>
      <w:proofErr w:type="gramStart"/>
      <w:r w:rsidRPr="007732E7">
        <w:rPr>
          <w:rFonts w:ascii="Arial" w:eastAsia="Arial" w:hAnsi="Arial" w:cs="Arial"/>
          <w:sz w:val="20"/>
          <w:szCs w:val="20"/>
        </w:rPr>
        <w:t>was</w:t>
      </w:r>
      <w:proofErr w:type="gramEnd"/>
      <w:r w:rsidRPr="007732E7">
        <w:rPr>
          <w:rFonts w:ascii="Arial" w:eastAsia="Arial" w:hAnsi="Arial" w:cs="Arial"/>
          <w:sz w:val="20"/>
          <w:szCs w:val="20"/>
        </w:rPr>
        <w:t xml:space="preserve"> carried out to obtain the water quality coefficient value for the </w:t>
      </w:r>
      <w:proofErr w:type="spellStart"/>
      <w:r w:rsidRPr="007732E7">
        <w:rPr>
          <w:rFonts w:ascii="Arial" w:eastAsia="Arial" w:hAnsi="Arial" w:cs="Arial"/>
          <w:sz w:val="20"/>
          <w:szCs w:val="20"/>
        </w:rPr>
        <w:t>Cikakembang</w:t>
      </w:r>
      <w:proofErr w:type="spellEnd"/>
      <w:r w:rsidRPr="007732E7">
        <w:rPr>
          <w:rFonts w:ascii="Arial" w:eastAsia="Arial" w:hAnsi="Arial" w:cs="Arial"/>
          <w:sz w:val="20"/>
          <w:szCs w:val="20"/>
        </w:rPr>
        <w:t xml:space="preserve"> River. Furthermore, pollution control was developed in the </w:t>
      </w:r>
      <w:proofErr w:type="spellStart"/>
      <w:r w:rsidRPr="007732E7">
        <w:rPr>
          <w:rFonts w:ascii="Arial" w:eastAsia="Arial" w:hAnsi="Arial" w:cs="Arial"/>
          <w:sz w:val="20"/>
          <w:szCs w:val="20"/>
        </w:rPr>
        <w:t>Cikakembang</w:t>
      </w:r>
      <w:proofErr w:type="spellEnd"/>
      <w:r w:rsidRPr="007732E7">
        <w:rPr>
          <w:rFonts w:ascii="Arial" w:eastAsia="Arial" w:hAnsi="Arial" w:cs="Arial"/>
          <w:sz w:val="20"/>
          <w:szCs w:val="20"/>
        </w:rPr>
        <w:t xml:space="preserve"> River using the water quality coefficient values obtained. Pollution control simulations are carried out in the rainy and dry seasons with four scenarios. Each scenario will show the impact of the amount of incoming waste on the water quality conditions of the </w:t>
      </w:r>
      <w:proofErr w:type="spellStart"/>
      <w:r w:rsidRPr="007732E7">
        <w:rPr>
          <w:rFonts w:ascii="Arial" w:eastAsia="Arial" w:hAnsi="Arial" w:cs="Arial"/>
          <w:sz w:val="20"/>
          <w:szCs w:val="20"/>
        </w:rPr>
        <w:t>Cikakembang</w:t>
      </w:r>
      <w:proofErr w:type="spellEnd"/>
      <w:r w:rsidRPr="007732E7">
        <w:rPr>
          <w:rFonts w:ascii="Arial" w:eastAsia="Arial" w:hAnsi="Arial" w:cs="Arial"/>
          <w:sz w:val="20"/>
          <w:szCs w:val="20"/>
        </w:rPr>
        <w:t xml:space="preserve"> River. Then, limits on the amount of wastewater entering the </w:t>
      </w:r>
      <w:proofErr w:type="spellStart"/>
      <w:r w:rsidRPr="007732E7">
        <w:rPr>
          <w:rFonts w:ascii="Arial" w:eastAsia="Arial" w:hAnsi="Arial" w:cs="Arial"/>
          <w:sz w:val="20"/>
          <w:szCs w:val="20"/>
        </w:rPr>
        <w:t>Cikakembang</w:t>
      </w:r>
      <w:proofErr w:type="spellEnd"/>
      <w:r w:rsidRPr="007732E7">
        <w:rPr>
          <w:rFonts w:ascii="Arial" w:eastAsia="Arial" w:hAnsi="Arial" w:cs="Arial"/>
          <w:sz w:val="20"/>
          <w:szCs w:val="20"/>
        </w:rPr>
        <w:t xml:space="preserve"> River </w:t>
      </w:r>
      <w:r w:rsidRPr="007732E7">
        <w:rPr>
          <w:rFonts w:ascii="Arial" w:eastAsia="Arial" w:hAnsi="Arial" w:cs="Arial"/>
          <w:sz w:val="20"/>
          <w:szCs w:val="20"/>
        </w:rPr>
        <w:lastRenderedPageBreak/>
        <w:t>during the rainy and dry seasons can be determined.</w:t>
      </w:r>
    </w:p>
    <w:p w14:paraId="3244F890" w14:textId="4E5BEAA4" w:rsidR="007732E7" w:rsidRDefault="007732E7" w:rsidP="007732E7">
      <w:pPr>
        <w:spacing w:after="0" w:line="240" w:lineRule="auto"/>
        <w:ind w:left="0" w:hanging="2"/>
        <w:jc w:val="both"/>
        <w:rPr>
          <w:rFonts w:ascii="Arial" w:eastAsia="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7732E7" w14:paraId="74F203F7" w14:textId="77777777" w:rsidTr="00126FBD">
        <w:tc>
          <w:tcPr>
            <w:tcW w:w="4530" w:type="dxa"/>
          </w:tcPr>
          <w:p w14:paraId="260AAC88" w14:textId="77777777" w:rsidR="007732E7" w:rsidRDefault="007732E7" w:rsidP="00126FBD">
            <w:pPr>
              <w:ind w:left="0" w:hanging="2"/>
              <w:jc w:val="center"/>
              <w:rPr>
                <w:rFonts w:asciiTheme="majorHAnsi" w:hAnsiTheme="majorHAnsi"/>
              </w:rPr>
            </w:pPr>
            <w:r w:rsidRPr="00A10A9F">
              <w:rPr>
                <w:rFonts w:asciiTheme="majorHAnsi" w:hAnsiTheme="majorHAnsi"/>
                <w:noProof/>
              </w:rPr>
              <w:drawing>
                <wp:inline distT="0" distB="0" distL="0" distR="0" wp14:anchorId="038F16D1" wp14:editId="0A5C98C0">
                  <wp:extent cx="2509637" cy="3327148"/>
                  <wp:effectExtent l="0" t="0" r="5080" b="6985"/>
                  <wp:docPr id="13786580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936076" name=""/>
                          <pic:cNvPicPr/>
                        </pic:nvPicPr>
                        <pic:blipFill>
                          <a:blip r:embed="rId20"/>
                          <a:stretch>
                            <a:fillRect/>
                          </a:stretch>
                        </pic:blipFill>
                        <pic:spPr>
                          <a:xfrm>
                            <a:off x="0" y="0"/>
                            <a:ext cx="2528811" cy="3352568"/>
                          </a:xfrm>
                          <a:prstGeom prst="rect">
                            <a:avLst/>
                          </a:prstGeom>
                        </pic:spPr>
                      </pic:pic>
                    </a:graphicData>
                  </a:graphic>
                </wp:inline>
              </w:drawing>
            </w:r>
          </w:p>
        </w:tc>
        <w:tc>
          <w:tcPr>
            <w:tcW w:w="4531" w:type="dxa"/>
          </w:tcPr>
          <w:p w14:paraId="0289A0FF" w14:textId="77777777" w:rsidR="007732E7" w:rsidRDefault="007732E7" w:rsidP="00126FBD">
            <w:pPr>
              <w:ind w:left="0" w:hanging="2"/>
              <w:jc w:val="center"/>
              <w:rPr>
                <w:rFonts w:asciiTheme="majorHAnsi" w:hAnsiTheme="majorHAnsi"/>
              </w:rPr>
            </w:pPr>
            <w:r w:rsidRPr="00A10A9F">
              <w:rPr>
                <w:rFonts w:asciiTheme="majorHAnsi" w:hAnsiTheme="majorHAnsi"/>
                <w:noProof/>
              </w:rPr>
              <w:drawing>
                <wp:inline distT="0" distB="0" distL="0" distR="0" wp14:anchorId="5DB8BDB5" wp14:editId="31ECD043">
                  <wp:extent cx="2302527" cy="3286408"/>
                  <wp:effectExtent l="0" t="0" r="2540" b="9525"/>
                  <wp:docPr id="4603416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944325" name=""/>
                          <pic:cNvPicPr/>
                        </pic:nvPicPr>
                        <pic:blipFill>
                          <a:blip r:embed="rId21"/>
                          <a:stretch>
                            <a:fillRect/>
                          </a:stretch>
                        </pic:blipFill>
                        <pic:spPr>
                          <a:xfrm>
                            <a:off x="0" y="0"/>
                            <a:ext cx="2305414" cy="3290528"/>
                          </a:xfrm>
                          <a:prstGeom prst="rect">
                            <a:avLst/>
                          </a:prstGeom>
                        </pic:spPr>
                      </pic:pic>
                    </a:graphicData>
                  </a:graphic>
                </wp:inline>
              </w:drawing>
            </w:r>
          </w:p>
        </w:tc>
      </w:tr>
    </w:tbl>
    <w:p w14:paraId="38119101" w14:textId="29313F28" w:rsidR="007732E7" w:rsidRDefault="007732E7" w:rsidP="007732E7">
      <w:pPr>
        <w:keepNext/>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t xml:space="preserve">Figure 2. </w:t>
      </w:r>
      <w:r w:rsidRPr="007732E7">
        <w:rPr>
          <w:rFonts w:ascii="Arial" w:eastAsia="Arial" w:hAnsi="Arial" w:cs="Arial"/>
          <w:color w:val="000000"/>
          <w:sz w:val="20"/>
          <w:szCs w:val="20"/>
        </w:rPr>
        <w:t>Research Flowchart</w:t>
      </w:r>
    </w:p>
    <w:p w14:paraId="1894A2B9" w14:textId="77777777" w:rsidR="007732E7" w:rsidRDefault="007732E7">
      <w:pPr>
        <w:spacing w:after="0" w:line="240" w:lineRule="auto"/>
        <w:ind w:left="0" w:hanging="2"/>
        <w:jc w:val="both"/>
        <w:rPr>
          <w:rFonts w:ascii="Arial" w:eastAsia="Arial" w:hAnsi="Arial" w:cs="Arial"/>
          <w:b/>
          <w:color w:val="1F4E79"/>
          <w:sz w:val="20"/>
          <w:szCs w:val="20"/>
        </w:rPr>
      </w:pPr>
    </w:p>
    <w:p w14:paraId="7F685B2D" w14:textId="77777777" w:rsidR="007732E7" w:rsidRDefault="007732E7">
      <w:pPr>
        <w:spacing w:after="0" w:line="240" w:lineRule="auto"/>
        <w:ind w:left="0" w:hanging="2"/>
        <w:jc w:val="both"/>
        <w:rPr>
          <w:rFonts w:ascii="Arial" w:eastAsia="Arial" w:hAnsi="Arial" w:cs="Arial"/>
          <w:b/>
          <w:color w:val="1F4E79"/>
          <w:sz w:val="20"/>
          <w:szCs w:val="20"/>
        </w:rPr>
        <w:sectPr w:rsidR="007732E7" w:rsidSect="007732E7">
          <w:type w:val="continuous"/>
          <w:pgSz w:w="11907" w:h="16840"/>
          <w:pgMar w:top="1701" w:right="1134" w:bottom="1701" w:left="1701" w:header="680" w:footer="680" w:gutter="0"/>
          <w:cols w:space="284"/>
          <w:titlePg/>
        </w:sectPr>
      </w:pPr>
    </w:p>
    <w:p w14:paraId="2C398C66" w14:textId="294A412B" w:rsidR="007732E7" w:rsidRDefault="007732E7" w:rsidP="007732E7">
      <w:pPr>
        <w:spacing w:after="0" w:line="240" w:lineRule="auto"/>
        <w:ind w:left="0" w:hanging="2"/>
        <w:jc w:val="both"/>
        <w:rPr>
          <w:rFonts w:ascii="Arial" w:eastAsia="Arial" w:hAnsi="Arial" w:cs="Arial"/>
          <w:b/>
          <w:color w:val="1F4E79"/>
          <w:sz w:val="20"/>
          <w:szCs w:val="20"/>
        </w:rPr>
      </w:pPr>
      <w:r>
        <w:rPr>
          <w:rFonts w:ascii="Arial" w:eastAsia="Arial" w:hAnsi="Arial" w:cs="Arial"/>
          <w:b/>
          <w:color w:val="1F4E79"/>
          <w:sz w:val="20"/>
          <w:szCs w:val="20"/>
        </w:rPr>
        <w:t>Data Availability</w:t>
      </w:r>
    </w:p>
    <w:p w14:paraId="3FF3BC17" w14:textId="77777777" w:rsidR="007732E7" w:rsidRPr="007732E7" w:rsidRDefault="007732E7" w:rsidP="00363742">
      <w:pPr>
        <w:spacing w:after="0" w:line="240" w:lineRule="auto"/>
        <w:ind w:leftChars="0" w:left="0" w:firstLineChars="0" w:firstLine="720"/>
        <w:jc w:val="both"/>
        <w:rPr>
          <w:rFonts w:ascii="Arial" w:eastAsia="Arial" w:hAnsi="Arial" w:cs="Arial"/>
          <w:sz w:val="20"/>
          <w:szCs w:val="20"/>
        </w:rPr>
      </w:pPr>
      <w:r w:rsidRPr="007732E7">
        <w:rPr>
          <w:rFonts w:ascii="Arial" w:eastAsia="Arial" w:hAnsi="Arial" w:cs="Arial"/>
          <w:sz w:val="20"/>
          <w:szCs w:val="20"/>
        </w:rPr>
        <w:t xml:space="preserve">This study assumes the rainy season starts from October to April, while the dry season starts from May to September. The results of water samples testing on four heavy metals parameters are shown in Figure 3, with black and red showing data taken during the rainy and dry seasons, respectively. To see how severe the concentration of heavy metals parameters is in the </w:t>
      </w:r>
      <w:proofErr w:type="spellStart"/>
      <w:r w:rsidRPr="007732E7">
        <w:rPr>
          <w:rFonts w:ascii="Arial" w:eastAsia="Arial" w:hAnsi="Arial" w:cs="Arial"/>
          <w:sz w:val="20"/>
          <w:szCs w:val="20"/>
        </w:rPr>
        <w:t>Cikakembang</w:t>
      </w:r>
      <w:proofErr w:type="spellEnd"/>
      <w:r w:rsidRPr="007732E7">
        <w:rPr>
          <w:rFonts w:ascii="Arial" w:eastAsia="Arial" w:hAnsi="Arial" w:cs="Arial"/>
          <w:sz w:val="20"/>
          <w:szCs w:val="20"/>
        </w:rPr>
        <w:t xml:space="preserve"> River, river water quality standards according to Indonesian government regulation no. 22 of 2021 are used. Based on the test results, it was found that the Zinc, Chromium and Iron content parameters were often under the range or in the </w:t>
      </w:r>
      <w:r w:rsidRPr="007732E7">
        <w:rPr>
          <w:rFonts w:ascii="Arial" w:eastAsia="Arial" w:hAnsi="Arial" w:cs="Arial"/>
          <w:sz w:val="20"/>
          <w:szCs w:val="20"/>
        </w:rPr>
        <w:t>safe range. So, in this study, numerical modelling for heavy metal parameters was only carried out for copper parameters.</w:t>
      </w:r>
    </w:p>
    <w:p w14:paraId="7FFF4415" w14:textId="77777777" w:rsidR="007732E7" w:rsidRDefault="007732E7" w:rsidP="00363742">
      <w:pPr>
        <w:spacing w:after="0" w:line="240" w:lineRule="auto"/>
        <w:ind w:leftChars="0" w:left="0" w:firstLineChars="0" w:firstLine="720"/>
        <w:jc w:val="both"/>
        <w:rPr>
          <w:rFonts w:ascii="Arial" w:eastAsia="Arial" w:hAnsi="Arial" w:cs="Arial"/>
          <w:sz w:val="20"/>
          <w:szCs w:val="20"/>
        </w:rPr>
        <w:sectPr w:rsidR="007732E7">
          <w:type w:val="continuous"/>
          <w:pgSz w:w="11907" w:h="16840"/>
          <w:pgMar w:top="1701" w:right="1134" w:bottom="1701" w:left="1701" w:header="680" w:footer="680" w:gutter="0"/>
          <w:cols w:num="2" w:space="720" w:equalWidth="0">
            <w:col w:w="4394" w:space="284"/>
            <w:col w:w="4394" w:space="0"/>
          </w:cols>
          <w:titlePg/>
        </w:sectPr>
      </w:pPr>
      <w:r w:rsidRPr="007732E7">
        <w:rPr>
          <w:rFonts w:ascii="Arial" w:eastAsia="Arial" w:hAnsi="Arial" w:cs="Arial"/>
          <w:sz w:val="20"/>
          <w:szCs w:val="20"/>
        </w:rPr>
        <w:t xml:space="preserve">Hydraulic and physical parameters of the </w:t>
      </w:r>
      <w:proofErr w:type="spellStart"/>
      <w:r w:rsidRPr="007732E7">
        <w:rPr>
          <w:rFonts w:ascii="Arial" w:eastAsia="Arial" w:hAnsi="Arial" w:cs="Arial"/>
          <w:sz w:val="20"/>
          <w:szCs w:val="20"/>
        </w:rPr>
        <w:t>Cikakembang</w:t>
      </w:r>
      <w:proofErr w:type="spellEnd"/>
      <w:r w:rsidRPr="007732E7">
        <w:rPr>
          <w:rFonts w:ascii="Arial" w:eastAsia="Arial" w:hAnsi="Arial" w:cs="Arial"/>
          <w:sz w:val="20"/>
          <w:szCs w:val="20"/>
        </w:rPr>
        <w:t xml:space="preserve"> River are shown in Table 2 and Table 3, respectively. The hydraulic parameters measured are flow velocity and water depth. Measurements for hydraulic parameters were carried out on 19 October 2022 and 24 August 2022. Two data were measured for physical parameters: pH and water temperature. Physical parameter measurements were also carried out on the same date as hydraulic parameter measurements. </w:t>
      </w:r>
    </w:p>
    <w:p w14:paraId="04839AF9" w14:textId="77777777" w:rsidR="007732E7" w:rsidRPr="007732E7" w:rsidRDefault="007732E7" w:rsidP="007732E7">
      <w:pPr>
        <w:spacing w:after="0" w:line="240" w:lineRule="auto"/>
        <w:ind w:left="0" w:hanging="2"/>
        <w:jc w:val="both"/>
        <w:rPr>
          <w:rFonts w:ascii="Arial" w:eastAsia="Arial" w:hAnsi="Arial" w:cs="Arial"/>
          <w:sz w:val="20"/>
          <w:szCs w:val="20"/>
        </w:rPr>
      </w:pPr>
    </w:p>
    <w:tbl>
      <w:tblPr>
        <w:tblStyle w:val="TableGrid"/>
        <w:tblW w:w="11064" w:type="dxa"/>
        <w:tblInd w:w="-11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6"/>
        <w:gridCol w:w="2766"/>
        <w:gridCol w:w="2766"/>
        <w:gridCol w:w="2766"/>
      </w:tblGrid>
      <w:tr w:rsidR="00F94593" w14:paraId="185443F4" w14:textId="77777777" w:rsidTr="00553400">
        <w:trPr>
          <w:trHeight w:val="3134"/>
        </w:trPr>
        <w:tc>
          <w:tcPr>
            <w:tcW w:w="2766" w:type="dxa"/>
          </w:tcPr>
          <w:p w14:paraId="0784478A" w14:textId="77777777" w:rsidR="00F94593" w:rsidRDefault="00F94593" w:rsidP="00553400">
            <w:pPr>
              <w:spacing w:before="240"/>
              <w:ind w:left="0" w:hanging="2"/>
              <w:rPr>
                <w:rFonts w:ascii="Cambria" w:eastAsia="Cambria" w:hAnsi="Cambria" w:cs="Cambria"/>
                <w:bCs/>
                <w:lang w:val="en-GB"/>
              </w:rPr>
            </w:pPr>
            <w:r w:rsidRPr="007732E7">
              <w:rPr>
                <w:rFonts w:ascii="Arial" w:hAnsi="Arial" w:cs="Arial"/>
                <w:noProof/>
              </w:rPr>
              <w:lastRenderedPageBreak/>
              <w:drawing>
                <wp:inline distT="0" distB="0" distL="0" distR="0" wp14:anchorId="73BFAB13" wp14:editId="1B12E407">
                  <wp:extent cx="1616400" cy="1890000"/>
                  <wp:effectExtent l="0" t="0" r="3175" b="15240"/>
                  <wp:docPr id="860328223" name="Chart 1">
                    <a:extLst xmlns:a="http://schemas.openxmlformats.org/drawingml/2006/main">
                      <a:ext uri="{FF2B5EF4-FFF2-40B4-BE49-F238E27FC236}">
                        <a16:creationId xmlns:a16="http://schemas.microsoft.com/office/drawing/2014/main" id="{7B567BE5-A68C-4B1B-A72A-A0AE661253D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78B929FC" w14:textId="77777777" w:rsidR="00F94593" w:rsidRPr="006B754F" w:rsidRDefault="00F94593" w:rsidP="00553400">
            <w:pPr>
              <w:ind w:left="0" w:hanging="2"/>
              <w:jc w:val="center"/>
              <w:rPr>
                <w:rFonts w:ascii="Cambria" w:eastAsia="Cambria" w:hAnsi="Cambria" w:cs="Cambria"/>
                <w:bCs/>
                <w:sz w:val="16"/>
                <w:szCs w:val="16"/>
                <w:lang w:val="en-GB"/>
              </w:rPr>
            </w:pPr>
            <w:r w:rsidRPr="006B754F">
              <w:rPr>
                <w:rFonts w:ascii="Cambria" w:eastAsia="Cambria" w:hAnsi="Cambria" w:cs="Cambria"/>
                <w:bCs/>
                <w:sz w:val="16"/>
                <w:szCs w:val="16"/>
                <w:lang w:val="en-GB"/>
              </w:rPr>
              <w:t>(a)</w:t>
            </w:r>
          </w:p>
        </w:tc>
        <w:tc>
          <w:tcPr>
            <w:tcW w:w="2766" w:type="dxa"/>
          </w:tcPr>
          <w:p w14:paraId="728C92DE" w14:textId="77777777" w:rsidR="00F94593" w:rsidRDefault="00F94593" w:rsidP="00553400">
            <w:pPr>
              <w:spacing w:before="240"/>
              <w:ind w:left="0" w:hanging="2"/>
              <w:rPr>
                <w:rFonts w:ascii="Cambria" w:eastAsia="Cambria" w:hAnsi="Cambria" w:cs="Cambria"/>
                <w:bCs/>
                <w:lang w:val="en-GB"/>
              </w:rPr>
            </w:pPr>
            <w:r w:rsidRPr="007732E7">
              <w:rPr>
                <w:rFonts w:ascii="Arial" w:hAnsi="Arial" w:cs="Arial"/>
                <w:noProof/>
              </w:rPr>
              <w:drawing>
                <wp:inline distT="0" distB="0" distL="0" distR="0" wp14:anchorId="3EC29837" wp14:editId="4A564E3F">
                  <wp:extent cx="1616400" cy="1890000"/>
                  <wp:effectExtent l="0" t="0" r="3175" b="15240"/>
                  <wp:docPr id="194243996" name="Chart 1">
                    <a:extLst xmlns:a="http://schemas.openxmlformats.org/drawingml/2006/main">
                      <a:ext uri="{FF2B5EF4-FFF2-40B4-BE49-F238E27FC236}">
                        <a16:creationId xmlns:a16="http://schemas.microsoft.com/office/drawing/2014/main" id="{67D242C7-46F7-43F6-BE68-A9E0D4F988A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15EB4543" w14:textId="77777777" w:rsidR="00F94593" w:rsidRPr="006B754F" w:rsidRDefault="00F94593" w:rsidP="00553400">
            <w:pPr>
              <w:ind w:left="0" w:hanging="2"/>
              <w:jc w:val="center"/>
              <w:rPr>
                <w:rFonts w:ascii="Cambria" w:eastAsia="Cambria" w:hAnsi="Cambria" w:cs="Cambria"/>
                <w:bCs/>
                <w:sz w:val="16"/>
                <w:szCs w:val="16"/>
                <w:lang w:val="en-GB"/>
              </w:rPr>
            </w:pPr>
            <w:r w:rsidRPr="006B754F">
              <w:rPr>
                <w:rFonts w:ascii="Cambria" w:eastAsia="Cambria" w:hAnsi="Cambria" w:cs="Cambria"/>
                <w:bCs/>
                <w:sz w:val="16"/>
                <w:szCs w:val="16"/>
                <w:lang w:val="en-GB"/>
              </w:rPr>
              <w:t>(b)</w:t>
            </w:r>
          </w:p>
        </w:tc>
        <w:tc>
          <w:tcPr>
            <w:tcW w:w="2766" w:type="dxa"/>
          </w:tcPr>
          <w:p w14:paraId="7DCCE37E" w14:textId="77777777" w:rsidR="00F94593" w:rsidRDefault="00F94593" w:rsidP="00553400">
            <w:pPr>
              <w:spacing w:before="240"/>
              <w:ind w:left="0" w:hanging="2"/>
              <w:rPr>
                <w:rFonts w:ascii="Cambria" w:eastAsia="Cambria" w:hAnsi="Cambria" w:cs="Cambria"/>
                <w:bCs/>
                <w:lang w:val="en-GB"/>
              </w:rPr>
            </w:pPr>
            <w:r w:rsidRPr="007732E7">
              <w:rPr>
                <w:rFonts w:ascii="Arial" w:hAnsi="Arial" w:cs="Arial"/>
                <w:noProof/>
              </w:rPr>
              <w:drawing>
                <wp:inline distT="0" distB="0" distL="0" distR="0" wp14:anchorId="6C049FAD" wp14:editId="086E930E">
                  <wp:extent cx="1616400" cy="1890000"/>
                  <wp:effectExtent l="0" t="0" r="3175" b="15240"/>
                  <wp:docPr id="628962952" name="Chart 1">
                    <a:extLst xmlns:a="http://schemas.openxmlformats.org/drawingml/2006/main">
                      <a:ext uri="{FF2B5EF4-FFF2-40B4-BE49-F238E27FC236}">
                        <a16:creationId xmlns:a16="http://schemas.microsoft.com/office/drawing/2014/main" id="{D65EFCDE-7432-493B-83F4-E58EED2537A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84055E8" w14:textId="77777777" w:rsidR="00F94593" w:rsidRPr="006B754F" w:rsidRDefault="00F94593" w:rsidP="00553400">
            <w:pPr>
              <w:ind w:left="0" w:hanging="2"/>
              <w:jc w:val="center"/>
              <w:rPr>
                <w:rFonts w:ascii="Cambria" w:eastAsia="Cambria" w:hAnsi="Cambria" w:cs="Cambria"/>
                <w:bCs/>
                <w:sz w:val="16"/>
                <w:szCs w:val="16"/>
                <w:lang w:val="en-GB"/>
              </w:rPr>
            </w:pPr>
            <w:r w:rsidRPr="006B754F">
              <w:rPr>
                <w:rFonts w:ascii="Cambria" w:eastAsia="Cambria" w:hAnsi="Cambria" w:cs="Cambria"/>
                <w:bCs/>
                <w:sz w:val="16"/>
                <w:szCs w:val="16"/>
                <w:lang w:val="en-GB"/>
              </w:rPr>
              <w:t>(c)</w:t>
            </w:r>
          </w:p>
        </w:tc>
        <w:tc>
          <w:tcPr>
            <w:tcW w:w="2766" w:type="dxa"/>
          </w:tcPr>
          <w:p w14:paraId="172C65F2" w14:textId="77777777" w:rsidR="00F94593" w:rsidRDefault="00F94593" w:rsidP="00553400">
            <w:pPr>
              <w:spacing w:before="240"/>
              <w:ind w:left="0" w:hanging="2"/>
              <w:rPr>
                <w:rFonts w:ascii="Cambria" w:eastAsia="Cambria" w:hAnsi="Cambria" w:cs="Cambria"/>
                <w:bCs/>
                <w:lang w:val="en-GB"/>
              </w:rPr>
            </w:pPr>
            <w:r w:rsidRPr="007732E7">
              <w:rPr>
                <w:rFonts w:ascii="Arial" w:hAnsi="Arial" w:cs="Arial"/>
                <w:noProof/>
              </w:rPr>
              <w:drawing>
                <wp:inline distT="0" distB="0" distL="0" distR="0" wp14:anchorId="150C4672" wp14:editId="12F74C66">
                  <wp:extent cx="1616400" cy="1890000"/>
                  <wp:effectExtent l="0" t="0" r="3175" b="15240"/>
                  <wp:docPr id="1547705351" name="Chart 1">
                    <a:extLst xmlns:a="http://schemas.openxmlformats.org/drawingml/2006/main">
                      <a:ext uri="{FF2B5EF4-FFF2-40B4-BE49-F238E27FC236}">
                        <a16:creationId xmlns:a16="http://schemas.microsoft.com/office/drawing/2014/main" id="{3FFC2058-EA37-463B-AD79-B25980307E0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1D4FC564" w14:textId="77777777" w:rsidR="00F94593" w:rsidRPr="006B754F" w:rsidRDefault="00F94593" w:rsidP="00553400">
            <w:pPr>
              <w:keepNext/>
              <w:ind w:left="0" w:hanging="2"/>
              <w:jc w:val="center"/>
              <w:rPr>
                <w:rFonts w:ascii="Cambria" w:eastAsia="Cambria" w:hAnsi="Cambria" w:cs="Cambria"/>
                <w:bCs/>
                <w:sz w:val="16"/>
                <w:szCs w:val="16"/>
                <w:lang w:val="en-GB"/>
              </w:rPr>
            </w:pPr>
            <w:r w:rsidRPr="006B754F">
              <w:rPr>
                <w:rFonts w:ascii="Cambria" w:eastAsia="Cambria" w:hAnsi="Cambria" w:cs="Cambria"/>
                <w:bCs/>
                <w:sz w:val="16"/>
                <w:szCs w:val="16"/>
                <w:lang w:val="en-GB"/>
              </w:rPr>
              <w:t>(d)</w:t>
            </w:r>
          </w:p>
        </w:tc>
      </w:tr>
    </w:tbl>
    <w:p w14:paraId="37131273" w14:textId="77777777" w:rsidR="00F94593" w:rsidRDefault="00F94593" w:rsidP="00F94593">
      <w:pPr>
        <w:keepNext/>
        <w:pBdr>
          <w:top w:val="nil"/>
          <w:left w:val="nil"/>
          <w:bottom w:val="nil"/>
          <w:right w:val="nil"/>
          <w:between w:val="nil"/>
        </w:pBdr>
        <w:spacing w:after="0"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t xml:space="preserve">Figure 3. </w:t>
      </w:r>
      <w:r w:rsidRPr="007732E7">
        <w:rPr>
          <w:rFonts w:ascii="Arial" w:eastAsia="Arial" w:hAnsi="Arial" w:cs="Arial"/>
          <w:color w:val="000000"/>
          <w:sz w:val="20"/>
          <w:szCs w:val="20"/>
        </w:rPr>
        <w:t>Heavy Metals Concentration for (a) Copper, (b) Zinc, (c) Iron, and (d) Chromium</w:t>
      </w:r>
    </w:p>
    <w:p w14:paraId="529626B6" w14:textId="77777777" w:rsidR="002F2302" w:rsidRDefault="002F2302" w:rsidP="00F94593">
      <w:pPr>
        <w:keepNext/>
        <w:pBdr>
          <w:top w:val="nil"/>
          <w:left w:val="nil"/>
          <w:bottom w:val="nil"/>
          <w:right w:val="nil"/>
          <w:between w:val="nil"/>
        </w:pBdr>
        <w:spacing w:after="0" w:line="240" w:lineRule="auto"/>
        <w:ind w:left="0" w:hanging="2"/>
        <w:jc w:val="center"/>
        <w:rPr>
          <w:rFonts w:ascii="Arial" w:eastAsia="Arial" w:hAnsi="Arial" w:cs="Arial"/>
          <w:color w:val="000000"/>
          <w:sz w:val="20"/>
          <w:szCs w:val="20"/>
        </w:rPr>
      </w:pPr>
    </w:p>
    <w:p w14:paraId="45DCC3F7" w14:textId="4A732F8B" w:rsidR="007732E7" w:rsidRDefault="007732E7" w:rsidP="007732E7">
      <w:pPr>
        <w:spacing w:after="0" w:line="240" w:lineRule="auto"/>
        <w:ind w:left="0" w:hanging="2"/>
        <w:jc w:val="both"/>
        <w:rPr>
          <w:rFonts w:ascii="Arial" w:eastAsia="Arial" w:hAnsi="Arial" w:cs="Arial"/>
          <w:sz w:val="20"/>
          <w:szCs w:val="20"/>
        </w:rPr>
      </w:pPr>
    </w:p>
    <w:p w14:paraId="7EE3DC13" w14:textId="77777777" w:rsidR="007732E7" w:rsidRDefault="007732E7" w:rsidP="007732E7">
      <w:pPr>
        <w:spacing w:after="0" w:line="240" w:lineRule="auto"/>
        <w:ind w:leftChars="0" w:left="0" w:firstLineChars="0" w:firstLine="0"/>
        <w:jc w:val="both"/>
        <w:rPr>
          <w:rFonts w:ascii="Arial" w:eastAsia="Arial" w:hAnsi="Arial" w:cs="Arial"/>
          <w:b/>
          <w:color w:val="1F4E79"/>
          <w:sz w:val="20"/>
          <w:szCs w:val="20"/>
        </w:rPr>
        <w:sectPr w:rsidR="007732E7" w:rsidSect="007732E7">
          <w:type w:val="continuous"/>
          <w:pgSz w:w="11907" w:h="16840"/>
          <w:pgMar w:top="1701" w:right="1134" w:bottom="1701" w:left="1701" w:header="680" w:footer="680" w:gutter="0"/>
          <w:cols w:space="284"/>
          <w:titlePg/>
        </w:sectPr>
      </w:pPr>
    </w:p>
    <w:p w14:paraId="099EA5A2" w14:textId="2E6B6C01" w:rsidR="00FF2D7F" w:rsidRPr="00FF2D7F" w:rsidRDefault="00FF2D7F" w:rsidP="00FF2D7F">
      <w:pPr>
        <w:keepNext/>
        <w:pBdr>
          <w:top w:val="nil"/>
          <w:left w:val="nil"/>
          <w:bottom w:val="nil"/>
          <w:right w:val="nil"/>
          <w:between w:val="nil"/>
        </w:pBdr>
        <w:spacing w:after="0"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t xml:space="preserve">Table 2. </w:t>
      </w:r>
      <w:r w:rsidRPr="00FF2D7F">
        <w:rPr>
          <w:rFonts w:ascii="Arial" w:eastAsia="Arial" w:hAnsi="Arial" w:cs="Arial"/>
          <w:color w:val="000000"/>
          <w:sz w:val="20"/>
          <w:szCs w:val="20"/>
        </w:rPr>
        <w:t xml:space="preserve">Hydraulic Parameter of the </w:t>
      </w:r>
      <w:proofErr w:type="spellStart"/>
      <w:r w:rsidRPr="00FF2D7F">
        <w:rPr>
          <w:rFonts w:ascii="Arial" w:eastAsia="Arial" w:hAnsi="Arial" w:cs="Arial"/>
          <w:color w:val="000000"/>
          <w:sz w:val="20"/>
          <w:szCs w:val="20"/>
        </w:rPr>
        <w:t>Cikakembang</w:t>
      </w:r>
      <w:proofErr w:type="spellEnd"/>
      <w:r w:rsidRPr="00FF2D7F">
        <w:rPr>
          <w:rFonts w:ascii="Arial" w:eastAsia="Arial" w:hAnsi="Arial" w:cs="Arial"/>
          <w:color w:val="000000"/>
          <w:sz w:val="20"/>
          <w:szCs w:val="20"/>
        </w:rPr>
        <w:t xml:space="preserve"> River</w:t>
      </w:r>
    </w:p>
    <w:tbl>
      <w:tblPr>
        <w:tblW w:w="4062" w:type="dxa"/>
        <w:jc w:val="center"/>
        <w:tblBorders>
          <w:top w:val="single" w:sz="8" w:space="0" w:color="auto"/>
          <w:bottom w:val="single" w:sz="8" w:space="0" w:color="auto"/>
        </w:tblBorders>
        <w:tblLook w:val="04A0" w:firstRow="1" w:lastRow="0" w:firstColumn="1" w:lastColumn="0" w:noHBand="0" w:noVBand="1"/>
      </w:tblPr>
      <w:tblGrid>
        <w:gridCol w:w="997"/>
        <w:gridCol w:w="935"/>
        <w:gridCol w:w="1120"/>
        <w:gridCol w:w="1010"/>
      </w:tblGrid>
      <w:tr w:rsidR="00FF2D7F" w:rsidRPr="00FF2D7F" w14:paraId="71BFF57A" w14:textId="77777777" w:rsidTr="00FF2D7F">
        <w:trPr>
          <w:trHeight w:val="530"/>
          <w:jc w:val="center"/>
        </w:trPr>
        <w:tc>
          <w:tcPr>
            <w:tcW w:w="997" w:type="dxa"/>
            <w:tcBorders>
              <w:top w:val="single" w:sz="8" w:space="0" w:color="auto"/>
              <w:bottom w:val="single" w:sz="8" w:space="0" w:color="auto"/>
            </w:tcBorders>
            <w:shd w:val="clear" w:color="auto" w:fill="auto"/>
            <w:vAlign w:val="center"/>
            <w:hideMark/>
          </w:tcPr>
          <w:p w14:paraId="46A4F541" w14:textId="77777777" w:rsidR="00FF2D7F" w:rsidRPr="00FF2D7F" w:rsidRDefault="00FF2D7F" w:rsidP="00FF2D7F">
            <w:pPr>
              <w:spacing w:after="0"/>
              <w:ind w:left="0" w:hanging="2"/>
              <w:jc w:val="center"/>
              <w:rPr>
                <w:rFonts w:ascii="Arial" w:eastAsia="Times New Roman" w:hAnsi="Arial" w:cs="Arial"/>
                <w:b/>
                <w:bCs/>
                <w:color w:val="000000"/>
                <w:sz w:val="16"/>
                <w:szCs w:val="16"/>
                <w:lang w:val="en-GB"/>
              </w:rPr>
            </w:pPr>
            <w:r w:rsidRPr="00FF2D7F">
              <w:rPr>
                <w:rFonts w:ascii="Arial" w:eastAsia="Times New Roman" w:hAnsi="Arial" w:cs="Arial"/>
                <w:b/>
                <w:bCs/>
                <w:color w:val="000000"/>
                <w:sz w:val="16"/>
                <w:szCs w:val="16"/>
                <w:lang w:val="en-GB"/>
              </w:rPr>
              <w:t>Parameter</w:t>
            </w:r>
          </w:p>
        </w:tc>
        <w:tc>
          <w:tcPr>
            <w:tcW w:w="935" w:type="dxa"/>
            <w:tcBorders>
              <w:top w:val="single" w:sz="8" w:space="0" w:color="auto"/>
              <w:bottom w:val="single" w:sz="8" w:space="0" w:color="auto"/>
            </w:tcBorders>
            <w:shd w:val="clear" w:color="auto" w:fill="auto"/>
            <w:vAlign w:val="center"/>
            <w:hideMark/>
          </w:tcPr>
          <w:p w14:paraId="41619E39" w14:textId="77777777" w:rsidR="00FF2D7F" w:rsidRPr="00FF2D7F" w:rsidRDefault="00FF2D7F" w:rsidP="00FF2D7F">
            <w:pPr>
              <w:spacing w:after="0"/>
              <w:ind w:left="0" w:hanging="2"/>
              <w:rPr>
                <w:rFonts w:ascii="Arial" w:eastAsia="Times New Roman" w:hAnsi="Arial" w:cs="Arial"/>
                <w:b/>
                <w:bCs/>
                <w:color w:val="000000"/>
                <w:sz w:val="16"/>
                <w:szCs w:val="16"/>
                <w:lang w:val="en-GB"/>
              </w:rPr>
            </w:pPr>
            <w:r w:rsidRPr="00FF2D7F">
              <w:rPr>
                <w:rFonts w:ascii="Arial" w:eastAsia="Times New Roman" w:hAnsi="Arial" w:cs="Arial"/>
                <w:b/>
                <w:bCs/>
                <w:color w:val="000000"/>
                <w:sz w:val="16"/>
                <w:szCs w:val="16"/>
                <w:lang w:val="en-GB"/>
              </w:rPr>
              <w:t>Sampling Points</w:t>
            </w:r>
          </w:p>
        </w:tc>
        <w:tc>
          <w:tcPr>
            <w:tcW w:w="1120" w:type="dxa"/>
            <w:tcBorders>
              <w:top w:val="single" w:sz="8" w:space="0" w:color="auto"/>
              <w:bottom w:val="single" w:sz="8" w:space="0" w:color="auto"/>
            </w:tcBorders>
            <w:shd w:val="clear" w:color="auto" w:fill="auto"/>
            <w:vAlign w:val="center"/>
            <w:hideMark/>
          </w:tcPr>
          <w:p w14:paraId="58FFC1DA" w14:textId="77777777" w:rsidR="00FF2D7F" w:rsidRPr="00FF2D7F" w:rsidRDefault="00FF2D7F" w:rsidP="00FF2D7F">
            <w:pPr>
              <w:spacing w:after="0"/>
              <w:ind w:left="0" w:hanging="2"/>
              <w:jc w:val="center"/>
              <w:rPr>
                <w:rFonts w:ascii="Arial" w:eastAsia="Times New Roman" w:hAnsi="Arial" w:cs="Arial"/>
                <w:b/>
                <w:bCs/>
                <w:color w:val="000000"/>
                <w:sz w:val="16"/>
                <w:szCs w:val="16"/>
                <w:lang w:val="en-GB"/>
              </w:rPr>
            </w:pPr>
            <w:r w:rsidRPr="00FF2D7F">
              <w:rPr>
                <w:rFonts w:ascii="Arial" w:eastAsia="Times New Roman" w:hAnsi="Arial" w:cs="Arial"/>
                <w:b/>
                <w:bCs/>
                <w:color w:val="000000"/>
                <w:sz w:val="16"/>
                <w:szCs w:val="16"/>
                <w:lang w:val="en-GB"/>
              </w:rPr>
              <w:t>10/19/2022 (Rainy Season)</w:t>
            </w:r>
          </w:p>
        </w:tc>
        <w:tc>
          <w:tcPr>
            <w:tcW w:w="1010" w:type="dxa"/>
            <w:tcBorders>
              <w:top w:val="single" w:sz="8" w:space="0" w:color="auto"/>
              <w:bottom w:val="single" w:sz="8" w:space="0" w:color="auto"/>
            </w:tcBorders>
            <w:shd w:val="clear" w:color="auto" w:fill="auto"/>
            <w:vAlign w:val="center"/>
            <w:hideMark/>
          </w:tcPr>
          <w:p w14:paraId="66BCBD88" w14:textId="77777777" w:rsidR="00FF2D7F" w:rsidRPr="00FF2D7F" w:rsidRDefault="00FF2D7F" w:rsidP="00FF2D7F">
            <w:pPr>
              <w:spacing w:after="0"/>
              <w:ind w:left="0" w:hanging="2"/>
              <w:jc w:val="center"/>
              <w:rPr>
                <w:rFonts w:ascii="Arial" w:eastAsia="Times New Roman" w:hAnsi="Arial" w:cs="Arial"/>
                <w:b/>
                <w:bCs/>
                <w:color w:val="000000"/>
                <w:sz w:val="16"/>
                <w:szCs w:val="16"/>
                <w:lang w:val="en-GB"/>
              </w:rPr>
            </w:pPr>
            <w:r w:rsidRPr="00FF2D7F">
              <w:rPr>
                <w:rFonts w:ascii="Arial" w:eastAsia="Times New Roman" w:hAnsi="Arial" w:cs="Arial"/>
                <w:b/>
                <w:bCs/>
                <w:color w:val="000000"/>
                <w:sz w:val="16"/>
                <w:szCs w:val="16"/>
                <w:lang w:val="en-GB"/>
              </w:rPr>
              <w:t>8/24/2022 (Dry Season)</w:t>
            </w:r>
          </w:p>
        </w:tc>
      </w:tr>
      <w:tr w:rsidR="00FF2D7F" w:rsidRPr="00FF2D7F" w14:paraId="33990DB4" w14:textId="77777777" w:rsidTr="00FF2D7F">
        <w:trPr>
          <w:trHeight w:val="290"/>
          <w:jc w:val="center"/>
        </w:trPr>
        <w:tc>
          <w:tcPr>
            <w:tcW w:w="997" w:type="dxa"/>
            <w:vMerge w:val="restart"/>
            <w:tcBorders>
              <w:top w:val="single" w:sz="8" w:space="0" w:color="auto"/>
              <w:bottom w:val="nil"/>
            </w:tcBorders>
            <w:shd w:val="clear" w:color="auto" w:fill="auto"/>
            <w:vAlign w:val="center"/>
            <w:hideMark/>
          </w:tcPr>
          <w:p w14:paraId="6C3938D0" w14:textId="77777777" w:rsidR="00FF2D7F" w:rsidRPr="00FF2D7F" w:rsidRDefault="00FF2D7F" w:rsidP="00FF2D7F">
            <w:pPr>
              <w:spacing w:after="0"/>
              <w:ind w:left="0" w:hanging="2"/>
              <w:jc w:val="center"/>
              <w:rPr>
                <w:rFonts w:ascii="Arial" w:eastAsia="Times New Roman" w:hAnsi="Arial" w:cs="Arial"/>
                <w:color w:val="000000"/>
                <w:sz w:val="16"/>
                <w:szCs w:val="16"/>
                <w:lang w:val="en-GB"/>
              </w:rPr>
            </w:pPr>
            <w:r w:rsidRPr="00FF2D7F">
              <w:rPr>
                <w:rFonts w:ascii="Arial" w:eastAsia="Times New Roman" w:hAnsi="Arial" w:cs="Arial"/>
                <w:color w:val="000000"/>
                <w:sz w:val="16"/>
                <w:szCs w:val="16"/>
                <w:lang w:val="en-GB"/>
              </w:rPr>
              <w:t>Flow rate (m/s)</w:t>
            </w:r>
          </w:p>
        </w:tc>
        <w:tc>
          <w:tcPr>
            <w:tcW w:w="935" w:type="dxa"/>
            <w:tcBorders>
              <w:top w:val="single" w:sz="8" w:space="0" w:color="auto"/>
              <w:bottom w:val="nil"/>
            </w:tcBorders>
            <w:shd w:val="clear" w:color="auto" w:fill="auto"/>
            <w:vAlign w:val="center"/>
            <w:hideMark/>
          </w:tcPr>
          <w:p w14:paraId="6A456830" w14:textId="77777777" w:rsidR="00FF2D7F" w:rsidRPr="00FF2D7F" w:rsidRDefault="00FF2D7F" w:rsidP="00FF2D7F">
            <w:pPr>
              <w:spacing w:after="0"/>
              <w:ind w:left="0" w:hanging="2"/>
              <w:jc w:val="center"/>
              <w:rPr>
                <w:rFonts w:ascii="Arial" w:eastAsia="Times New Roman" w:hAnsi="Arial" w:cs="Arial"/>
                <w:color w:val="000000"/>
                <w:sz w:val="16"/>
                <w:szCs w:val="16"/>
                <w:lang w:val="en-GB"/>
              </w:rPr>
            </w:pPr>
            <w:r w:rsidRPr="00FF2D7F">
              <w:rPr>
                <w:rFonts w:ascii="Arial" w:eastAsia="Times New Roman" w:hAnsi="Arial" w:cs="Arial"/>
                <w:color w:val="000000"/>
                <w:sz w:val="16"/>
                <w:szCs w:val="16"/>
                <w:lang w:val="en-GB"/>
              </w:rPr>
              <w:t>S01</w:t>
            </w:r>
          </w:p>
        </w:tc>
        <w:tc>
          <w:tcPr>
            <w:tcW w:w="1120" w:type="dxa"/>
            <w:tcBorders>
              <w:top w:val="single" w:sz="8" w:space="0" w:color="auto"/>
              <w:bottom w:val="nil"/>
            </w:tcBorders>
            <w:shd w:val="clear" w:color="auto" w:fill="auto"/>
            <w:noWrap/>
            <w:vAlign w:val="center"/>
            <w:hideMark/>
          </w:tcPr>
          <w:p w14:paraId="03BAF78C" w14:textId="77777777" w:rsidR="00FF2D7F" w:rsidRPr="00FF2D7F" w:rsidRDefault="00FF2D7F" w:rsidP="00FF2D7F">
            <w:pPr>
              <w:spacing w:after="0"/>
              <w:ind w:left="0" w:hanging="2"/>
              <w:jc w:val="center"/>
              <w:rPr>
                <w:rFonts w:ascii="Arial" w:eastAsia="Times New Roman" w:hAnsi="Arial" w:cs="Arial"/>
                <w:color w:val="000000"/>
                <w:sz w:val="16"/>
                <w:szCs w:val="16"/>
                <w:lang w:val="en-GB"/>
              </w:rPr>
            </w:pPr>
            <w:r w:rsidRPr="00FF2D7F">
              <w:rPr>
                <w:rFonts w:ascii="Arial" w:eastAsia="Times New Roman" w:hAnsi="Arial" w:cs="Arial"/>
                <w:color w:val="000000"/>
                <w:sz w:val="16"/>
                <w:szCs w:val="16"/>
                <w:lang w:val="en-GB"/>
              </w:rPr>
              <w:t>0.56</w:t>
            </w:r>
          </w:p>
        </w:tc>
        <w:tc>
          <w:tcPr>
            <w:tcW w:w="1010" w:type="dxa"/>
            <w:tcBorders>
              <w:top w:val="single" w:sz="8" w:space="0" w:color="auto"/>
              <w:bottom w:val="nil"/>
            </w:tcBorders>
            <w:shd w:val="clear" w:color="auto" w:fill="auto"/>
            <w:noWrap/>
            <w:vAlign w:val="center"/>
            <w:hideMark/>
          </w:tcPr>
          <w:p w14:paraId="36B75DDF" w14:textId="77777777" w:rsidR="00FF2D7F" w:rsidRPr="00FF2D7F" w:rsidRDefault="00FF2D7F" w:rsidP="00FF2D7F">
            <w:pPr>
              <w:spacing w:after="0"/>
              <w:ind w:left="0" w:hanging="2"/>
              <w:jc w:val="center"/>
              <w:rPr>
                <w:rFonts w:ascii="Arial" w:eastAsia="Times New Roman" w:hAnsi="Arial" w:cs="Arial"/>
                <w:color w:val="000000"/>
                <w:sz w:val="16"/>
                <w:szCs w:val="16"/>
                <w:lang w:val="en-GB"/>
              </w:rPr>
            </w:pPr>
            <w:r w:rsidRPr="00FF2D7F">
              <w:rPr>
                <w:rFonts w:ascii="Arial" w:eastAsia="Times New Roman" w:hAnsi="Arial" w:cs="Arial"/>
                <w:color w:val="000000"/>
                <w:sz w:val="16"/>
                <w:szCs w:val="16"/>
                <w:lang w:val="en-GB"/>
              </w:rPr>
              <w:t>0.63</w:t>
            </w:r>
          </w:p>
        </w:tc>
      </w:tr>
      <w:tr w:rsidR="00FF2D7F" w:rsidRPr="00FF2D7F" w14:paraId="3B995A03" w14:textId="77777777" w:rsidTr="00FF2D7F">
        <w:trPr>
          <w:trHeight w:val="290"/>
          <w:jc w:val="center"/>
        </w:trPr>
        <w:tc>
          <w:tcPr>
            <w:tcW w:w="997" w:type="dxa"/>
            <w:vMerge/>
            <w:tcBorders>
              <w:top w:val="nil"/>
              <w:bottom w:val="nil"/>
            </w:tcBorders>
            <w:vAlign w:val="center"/>
            <w:hideMark/>
          </w:tcPr>
          <w:p w14:paraId="11AF7621" w14:textId="77777777" w:rsidR="00FF2D7F" w:rsidRPr="00FF2D7F" w:rsidRDefault="00FF2D7F" w:rsidP="00FF2D7F">
            <w:pPr>
              <w:spacing w:after="0"/>
              <w:ind w:left="0" w:hanging="2"/>
              <w:rPr>
                <w:rFonts w:ascii="Arial" w:eastAsia="Times New Roman" w:hAnsi="Arial" w:cs="Arial"/>
                <w:color w:val="000000"/>
                <w:sz w:val="16"/>
                <w:szCs w:val="16"/>
                <w:lang w:val="en-GB"/>
              </w:rPr>
            </w:pPr>
          </w:p>
        </w:tc>
        <w:tc>
          <w:tcPr>
            <w:tcW w:w="935" w:type="dxa"/>
            <w:tcBorders>
              <w:top w:val="nil"/>
              <w:bottom w:val="nil"/>
            </w:tcBorders>
            <w:shd w:val="clear" w:color="auto" w:fill="auto"/>
            <w:vAlign w:val="center"/>
            <w:hideMark/>
          </w:tcPr>
          <w:p w14:paraId="13538B42" w14:textId="77777777" w:rsidR="00FF2D7F" w:rsidRPr="00FF2D7F" w:rsidRDefault="00FF2D7F" w:rsidP="00FF2D7F">
            <w:pPr>
              <w:spacing w:after="0"/>
              <w:ind w:left="0" w:hanging="2"/>
              <w:jc w:val="center"/>
              <w:rPr>
                <w:rFonts w:ascii="Arial" w:eastAsia="Times New Roman" w:hAnsi="Arial" w:cs="Arial"/>
                <w:color w:val="000000"/>
                <w:sz w:val="16"/>
                <w:szCs w:val="16"/>
                <w:lang w:val="en-GB"/>
              </w:rPr>
            </w:pPr>
            <w:r w:rsidRPr="00FF2D7F">
              <w:rPr>
                <w:rFonts w:ascii="Arial" w:eastAsia="Times New Roman" w:hAnsi="Arial" w:cs="Arial"/>
                <w:color w:val="000000"/>
                <w:sz w:val="16"/>
                <w:szCs w:val="16"/>
                <w:lang w:val="en-GB"/>
              </w:rPr>
              <w:t>S02</w:t>
            </w:r>
          </w:p>
        </w:tc>
        <w:tc>
          <w:tcPr>
            <w:tcW w:w="1120" w:type="dxa"/>
            <w:tcBorders>
              <w:top w:val="nil"/>
              <w:bottom w:val="nil"/>
            </w:tcBorders>
            <w:shd w:val="clear" w:color="auto" w:fill="auto"/>
            <w:noWrap/>
            <w:vAlign w:val="center"/>
            <w:hideMark/>
          </w:tcPr>
          <w:p w14:paraId="07123075" w14:textId="77777777" w:rsidR="00FF2D7F" w:rsidRPr="00FF2D7F" w:rsidRDefault="00FF2D7F" w:rsidP="00FF2D7F">
            <w:pPr>
              <w:spacing w:after="0"/>
              <w:ind w:left="0" w:hanging="2"/>
              <w:jc w:val="center"/>
              <w:rPr>
                <w:rFonts w:ascii="Arial" w:eastAsia="Times New Roman" w:hAnsi="Arial" w:cs="Arial"/>
                <w:color w:val="000000"/>
                <w:sz w:val="16"/>
                <w:szCs w:val="16"/>
                <w:lang w:val="en-GB"/>
              </w:rPr>
            </w:pPr>
            <w:r w:rsidRPr="00FF2D7F">
              <w:rPr>
                <w:rFonts w:ascii="Arial" w:eastAsia="Times New Roman" w:hAnsi="Arial" w:cs="Arial"/>
                <w:color w:val="000000"/>
                <w:sz w:val="16"/>
                <w:szCs w:val="16"/>
                <w:lang w:val="en-GB"/>
              </w:rPr>
              <w:t>1.05</w:t>
            </w:r>
          </w:p>
        </w:tc>
        <w:tc>
          <w:tcPr>
            <w:tcW w:w="1010" w:type="dxa"/>
            <w:tcBorders>
              <w:top w:val="nil"/>
              <w:bottom w:val="nil"/>
            </w:tcBorders>
            <w:shd w:val="clear" w:color="auto" w:fill="auto"/>
            <w:noWrap/>
            <w:vAlign w:val="center"/>
            <w:hideMark/>
          </w:tcPr>
          <w:p w14:paraId="5FD9A4EF" w14:textId="77777777" w:rsidR="00FF2D7F" w:rsidRPr="00FF2D7F" w:rsidRDefault="00FF2D7F" w:rsidP="00FF2D7F">
            <w:pPr>
              <w:spacing w:after="0"/>
              <w:ind w:left="0" w:hanging="2"/>
              <w:jc w:val="center"/>
              <w:rPr>
                <w:rFonts w:ascii="Arial" w:eastAsia="Times New Roman" w:hAnsi="Arial" w:cs="Arial"/>
                <w:color w:val="000000"/>
                <w:sz w:val="16"/>
                <w:szCs w:val="16"/>
                <w:lang w:val="en-GB"/>
              </w:rPr>
            </w:pPr>
            <w:r w:rsidRPr="00FF2D7F">
              <w:rPr>
                <w:rFonts w:ascii="Arial" w:eastAsia="Times New Roman" w:hAnsi="Arial" w:cs="Arial"/>
                <w:color w:val="000000"/>
                <w:sz w:val="16"/>
                <w:szCs w:val="16"/>
                <w:lang w:val="en-GB"/>
              </w:rPr>
              <w:t>0.70</w:t>
            </w:r>
          </w:p>
        </w:tc>
      </w:tr>
      <w:tr w:rsidR="00FF2D7F" w:rsidRPr="00FF2D7F" w14:paraId="0F99353E" w14:textId="77777777" w:rsidTr="00FF2D7F">
        <w:trPr>
          <w:trHeight w:val="300"/>
          <w:jc w:val="center"/>
        </w:trPr>
        <w:tc>
          <w:tcPr>
            <w:tcW w:w="997" w:type="dxa"/>
            <w:vMerge/>
            <w:tcBorders>
              <w:top w:val="nil"/>
              <w:bottom w:val="single" w:sz="8" w:space="0" w:color="auto"/>
            </w:tcBorders>
            <w:vAlign w:val="center"/>
            <w:hideMark/>
          </w:tcPr>
          <w:p w14:paraId="051F023B" w14:textId="77777777" w:rsidR="00FF2D7F" w:rsidRPr="00FF2D7F" w:rsidRDefault="00FF2D7F" w:rsidP="00FF2D7F">
            <w:pPr>
              <w:spacing w:after="0"/>
              <w:ind w:left="0" w:hanging="2"/>
              <w:rPr>
                <w:rFonts w:ascii="Arial" w:eastAsia="Times New Roman" w:hAnsi="Arial" w:cs="Arial"/>
                <w:color w:val="000000"/>
                <w:sz w:val="16"/>
                <w:szCs w:val="16"/>
                <w:lang w:val="en-GB"/>
              </w:rPr>
            </w:pPr>
          </w:p>
        </w:tc>
        <w:tc>
          <w:tcPr>
            <w:tcW w:w="935" w:type="dxa"/>
            <w:tcBorders>
              <w:top w:val="nil"/>
              <w:bottom w:val="single" w:sz="8" w:space="0" w:color="auto"/>
            </w:tcBorders>
            <w:shd w:val="clear" w:color="auto" w:fill="auto"/>
            <w:vAlign w:val="center"/>
            <w:hideMark/>
          </w:tcPr>
          <w:p w14:paraId="11A53C72" w14:textId="77777777" w:rsidR="00FF2D7F" w:rsidRPr="00FF2D7F" w:rsidRDefault="00FF2D7F" w:rsidP="00FF2D7F">
            <w:pPr>
              <w:spacing w:after="0"/>
              <w:ind w:left="0" w:hanging="2"/>
              <w:jc w:val="center"/>
              <w:rPr>
                <w:rFonts w:ascii="Arial" w:eastAsia="Times New Roman" w:hAnsi="Arial" w:cs="Arial"/>
                <w:color w:val="000000"/>
                <w:sz w:val="16"/>
                <w:szCs w:val="16"/>
                <w:lang w:val="en-GB"/>
              </w:rPr>
            </w:pPr>
            <w:r w:rsidRPr="00FF2D7F">
              <w:rPr>
                <w:rFonts w:ascii="Arial" w:eastAsia="Times New Roman" w:hAnsi="Arial" w:cs="Arial"/>
                <w:color w:val="000000"/>
                <w:sz w:val="16"/>
                <w:szCs w:val="16"/>
                <w:lang w:val="en-GB"/>
              </w:rPr>
              <w:t>S03</w:t>
            </w:r>
          </w:p>
        </w:tc>
        <w:tc>
          <w:tcPr>
            <w:tcW w:w="1120" w:type="dxa"/>
            <w:tcBorders>
              <w:top w:val="nil"/>
              <w:bottom w:val="single" w:sz="8" w:space="0" w:color="auto"/>
            </w:tcBorders>
            <w:shd w:val="clear" w:color="auto" w:fill="auto"/>
            <w:noWrap/>
            <w:vAlign w:val="center"/>
            <w:hideMark/>
          </w:tcPr>
          <w:p w14:paraId="0B0C9EEF" w14:textId="77777777" w:rsidR="00FF2D7F" w:rsidRPr="00FF2D7F" w:rsidRDefault="00FF2D7F" w:rsidP="00FF2D7F">
            <w:pPr>
              <w:spacing w:after="0"/>
              <w:ind w:left="0" w:hanging="2"/>
              <w:jc w:val="center"/>
              <w:rPr>
                <w:rFonts w:ascii="Arial" w:eastAsia="Times New Roman" w:hAnsi="Arial" w:cs="Arial"/>
                <w:color w:val="000000"/>
                <w:sz w:val="16"/>
                <w:szCs w:val="16"/>
                <w:lang w:val="en-GB"/>
              </w:rPr>
            </w:pPr>
            <w:r w:rsidRPr="00FF2D7F">
              <w:rPr>
                <w:rFonts w:ascii="Arial" w:eastAsia="Times New Roman" w:hAnsi="Arial" w:cs="Arial"/>
                <w:color w:val="000000"/>
                <w:sz w:val="16"/>
                <w:szCs w:val="16"/>
                <w:lang w:val="en-GB"/>
              </w:rPr>
              <w:t>0.46</w:t>
            </w:r>
          </w:p>
        </w:tc>
        <w:tc>
          <w:tcPr>
            <w:tcW w:w="1010" w:type="dxa"/>
            <w:tcBorders>
              <w:top w:val="nil"/>
              <w:bottom w:val="single" w:sz="8" w:space="0" w:color="auto"/>
            </w:tcBorders>
            <w:shd w:val="clear" w:color="auto" w:fill="auto"/>
            <w:noWrap/>
            <w:vAlign w:val="center"/>
            <w:hideMark/>
          </w:tcPr>
          <w:p w14:paraId="7E39EF2B" w14:textId="77777777" w:rsidR="00FF2D7F" w:rsidRPr="00FF2D7F" w:rsidRDefault="00FF2D7F" w:rsidP="00FF2D7F">
            <w:pPr>
              <w:spacing w:after="0"/>
              <w:ind w:left="0" w:hanging="2"/>
              <w:jc w:val="center"/>
              <w:rPr>
                <w:rFonts w:ascii="Arial" w:eastAsia="Times New Roman" w:hAnsi="Arial" w:cs="Arial"/>
                <w:color w:val="000000"/>
                <w:sz w:val="16"/>
                <w:szCs w:val="16"/>
                <w:lang w:val="en-GB"/>
              </w:rPr>
            </w:pPr>
            <w:r w:rsidRPr="00FF2D7F">
              <w:rPr>
                <w:rFonts w:ascii="Arial" w:eastAsia="Times New Roman" w:hAnsi="Arial" w:cs="Arial"/>
                <w:color w:val="000000"/>
                <w:sz w:val="16"/>
                <w:szCs w:val="16"/>
                <w:lang w:val="en-GB"/>
              </w:rPr>
              <w:t>0.44</w:t>
            </w:r>
          </w:p>
        </w:tc>
      </w:tr>
      <w:tr w:rsidR="00FF2D7F" w:rsidRPr="00FF2D7F" w14:paraId="6AC01B2C" w14:textId="77777777" w:rsidTr="00FF2D7F">
        <w:trPr>
          <w:trHeight w:val="290"/>
          <w:jc w:val="center"/>
        </w:trPr>
        <w:tc>
          <w:tcPr>
            <w:tcW w:w="997" w:type="dxa"/>
            <w:vMerge w:val="restart"/>
            <w:tcBorders>
              <w:top w:val="single" w:sz="8" w:space="0" w:color="auto"/>
              <w:bottom w:val="nil"/>
            </w:tcBorders>
            <w:shd w:val="clear" w:color="auto" w:fill="auto"/>
            <w:vAlign w:val="center"/>
            <w:hideMark/>
          </w:tcPr>
          <w:p w14:paraId="039C3F4E" w14:textId="77777777" w:rsidR="00FF2D7F" w:rsidRPr="00FF2D7F" w:rsidRDefault="00FF2D7F" w:rsidP="00FF2D7F">
            <w:pPr>
              <w:spacing w:after="0"/>
              <w:ind w:left="0" w:hanging="2"/>
              <w:jc w:val="center"/>
              <w:rPr>
                <w:rFonts w:ascii="Arial" w:eastAsia="Times New Roman" w:hAnsi="Arial" w:cs="Arial"/>
                <w:color w:val="000000"/>
                <w:sz w:val="16"/>
                <w:szCs w:val="16"/>
                <w:lang w:val="en-GB"/>
              </w:rPr>
            </w:pPr>
            <w:r w:rsidRPr="00FF2D7F">
              <w:rPr>
                <w:rFonts w:ascii="Arial" w:eastAsia="Times New Roman" w:hAnsi="Arial" w:cs="Arial"/>
                <w:color w:val="000000"/>
                <w:sz w:val="16"/>
                <w:szCs w:val="16"/>
                <w:lang w:val="en-GB"/>
              </w:rPr>
              <w:t>Hydraulic depth (m)</w:t>
            </w:r>
          </w:p>
        </w:tc>
        <w:tc>
          <w:tcPr>
            <w:tcW w:w="935" w:type="dxa"/>
            <w:tcBorders>
              <w:top w:val="single" w:sz="8" w:space="0" w:color="auto"/>
              <w:bottom w:val="nil"/>
            </w:tcBorders>
            <w:shd w:val="clear" w:color="auto" w:fill="auto"/>
            <w:vAlign w:val="center"/>
            <w:hideMark/>
          </w:tcPr>
          <w:p w14:paraId="1C353428" w14:textId="77777777" w:rsidR="00FF2D7F" w:rsidRPr="00FF2D7F" w:rsidRDefault="00FF2D7F" w:rsidP="00FF2D7F">
            <w:pPr>
              <w:spacing w:after="0"/>
              <w:ind w:left="0" w:hanging="2"/>
              <w:jc w:val="center"/>
              <w:rPr>
                <w:rFonts w:ascii="Arial" w:eastAsia="Times New Roman" w:hAnsi="Arial" w:cs="Arial"/>
                <w:color w:val="000000"/>
                <w:sz w:val="16"/>
                <w:szCs w:val="16"/>
                <w:lang w:val="en-GB"/>
              </w:rPr>
            </w:pPr>
            <w:r w:rsidRPr="00FF2D7F">
              <w:rPr>
                <w:rFonts w:ascii="Arial" w:eastAsia="Times New Roman" w:hAnsi="Arial" w:cs="Arial"/>
                <w:color w:val="000000"/>
                <w:sz w:val="16"/>
                <w:szCs w:val="16"/>
                <w:lang w:val="en-GB"/>
              </w:rPr>
              <w:t>S01</w:t>
            </w:r>
          </w:p>
        </w:tc>
        <w:tc>
          <w:tcPr>
            <w:tcW w:w="1120" w:type="dxa"/>
            <w:tcBorders>
              <w:top w:val="single" w:sz="8" w:space="0" w:color="auto"/>
              <w:bottom w:val="nil"/>
            </w:tcBorders>
            <w:shd w:val="clear" w:color="auto" w:fill="auto"/>
            <w:noWrap/>
            <w:vAlign w:val="center"/>
            <w:hideMark/>
          </w:tcPr>
          <w:p w14:paraId="401EAB70" w14:textId="77777777" w:rsidR="00FF2D7F" w:rsidRPr="00FF2D7F" w:rsidRDefault="00FF2D7F" w:rsidP="00FF2D7F">
            <w:pPr>
              <w:spacing w:after="0"/>
              <w:ind w:left="0" w:hanging="2"/>
              <w:jc w:val="center"/>
              <w:rPr>
                <w:rFonts w:ascii="Arial" w:eastAsia="Times New Roman" w:hAnsi="Arial" w:cs="Arial"/>
                <w:color w:val="000000"/>
                <w:sz w:val="16"/>
                <w:szCs w:val="16"/>
                <w:lang w:val="en-GB"/>
              </w:rPr>
            </w:pPr>
            <w:r w:rsidRPr="00FF2D7F">
              <w:rPr>
                <w:rFonts w:ascii="Arial" w:eastAsia="Times New Roman" w:hAnsi="Arial" w:cs="Arial"/>
                <w:color w:val="000000"/>
                <w:sz w:val="16"/>
                <w:szCs w:val="16"/>
                <w:lang w:val="en-GB"/>
              </w:rPr>
              <w:t>0.33</w:t>
            </w:r>
          </w:p>
        </w:tc>
        <w:tc>
          <w:tcPr>
            <w:tcW w:w="1010" w:type="dxa"/>
            <w:tcBorders>
              <w:top w:val="single" w:sz="8" w:space="0" w:color="auto"/>
              <w:bottom w:val="nil"/>
            </w:tcBorders>
            <w:shd w:val="clear" w:color="auto" w:fill="auto"/>
            <w:noWrap/>
            <w:vAlign w:val="center"/>
            <w:hideMark/>
          </w:tcPr>
          <w:p w14:paraId="73A3B769" w14:textId="77777777" w:rsidR="00FF2D7F" w:rsidRPr="00FF2D7F" w:rsidRDefault="00FF2D7F" w:rsidP="00FF2D7F">
            <w:pPr>
              <w:spacing w:after="0"/>
              <w:ind w:left="0" w:hanging="2"/>
              <w:jc w:val="center"/>
              <w:rPr>
                <w:rFonts w:ascii="Arial" w:eastAsia="Times New Roman" w:hAnsi="Arial" w:cs="Arial"/>
                <w:color w:val="000000"/>
                <w:sz w:val="16"/>
                <w:szCs w:val="16"/>
                <w:lang w:val="en-GB"/>
              </w:rPr>
            </w:pPr>
            <w:r w:rsidRPr="00FF2D7F">
              <w:rPr>
                <w:rFonts w:ascii="Arial" w:eastAsia="Times New Roman" w:hAnsi="Arial" w:cs="Arial"/>
                <w:color w:val="000000"/>
                <w:sz w:val="16"/>
                <w:szCs w:val="16"/>
                <w:lang w:val="en-GB"/>
              </w:rPr>
              <w:t>0.38</w:t>
            </w:r>
          </w:p>
        </w:tc>
      </w:tr>
      <w:tr w:rsidR="00FF2D7F" w:rsidRPr="00FF2D7F" w14:paraId="41E120F2" w14:textId="77777777" w:rsidTr="00FF2D7F">
        <w:trPr>
          <w:trHeight w:val="290"/>
          <w:jc w:val="center"/>
        </w:trPr>
        <w:tc>
          <w:tcPr>
            <w:tcW w:w="997" w:type="dxa"/>
            <w:vMerge/>
            <w:tcBorders>
              <w:top w:val="nil"/>
              <w:bottom w:val="nil"/>
            </w:tcBorders>
            <w:vAlign w:val="center"/>
            <w:hideMark/>
          </w:tcPr>
          <w:p w14:paraId="66DF53B4" w14:textId="77777777" w:rsidR="00FF2D7F" w:rsidRPr="00FF2D7F" w:rsidRDefault="00FF2D7F" w:rsidP="00FF2D7F">
            <w:pPr>
              <w:spacing w:after="0"/>
              <w:ind w:left="0" w:hanging="2"/>
              <w:rPr>
                <w:rFonts w:ascii="Arial" w:eastAsia="Times New Roman" w:hAnsi="Arial" w:cs="Arial"/>
                <w:color w:val="000000"/>
                <w:sz w:val="16"/>
                <w:szCs w:val="16"/>
                <w:lang w:val="en-GB"/>
              </w:rPr>
            </w:pPr>
          </w:p>
        </w:tc>
        <w:tc>
          <w:tcPr>
            <w:tcW w:w="935" w:type="dxa"/>
            <w:tcBorders>
              <w:top w:val="nil"/>
              <w:bottom w:val="nil"/>
            </w:tcBorders>
            <w:shd w:val="clear" w:color="auto" w:fill="auto"/>
            <w:vAlign w:val="center"/>
            <w:hideMark/>
          </w:tcPr>
          <w:p w14:paraId="209B0FBC" w14:textId="77777777" w:rsidR="00FF2D7F" w:rsidRPr="00FF2D7F" w:rsidRDefault="00FF2D7F" w:rsidP="00FF2D7F">
            <w:pPr>
              <w:spacing w:after="0"/>
              <w:ind w:left="0" w:hanging="2"/>
              <w:jc w:val="center"/>
              <w:rPr>
                <w:rFonts w:ascii="Arial" w:eastAsia="Times New Roman" w:hAnsi="Arial" w:cs="Arial"/>
                <w:color w:val="000000"/>
                <w:sz w:val="16"/>
                <w:szCs w:val="16"/>
                <w:lang w:val="en-GB"/>
              </w:rPr>
            </w:pPr>
            <w:r w:rsidRPr="00FF2D7F">
              <w:rPr>
                <w:rFonts w:ascii="Arial" w:eastAsia="Times New Roman" w:hAnsi="Arial" w:cs="Arial"/>
                <w:color w:val="000000"/>
                <w:sz w:val="16"/>
                <w:szCs w:val="16"/>
                <w:lang w:val="en-GB"/>
              </w:rPr>
              <w:t>S02</w:t>
            </w:r>
          </w:p>
        </w:tc>
        <w:tc>
          <w:tcPr>
            <w:tcW w:w="1120" w:type="dxa"/>
            <w:tcBorders>
              <w:top w:val="nil"/>
              <w:bottom w:val="nil"/>
            </w:tcBorders>
            <w:shd w:val="clear" w:color="auto" w:fill="auto"/>
            <w:noWrap/>
            <w:vAlign w:val="center"/>
            <w:hideMark/>
          </w:tcPr>
          <w:p w14:paraId="77B775FC" w14:textId="77777777" w:rsidR="00FF2D7F" w:rsidRPr="00FF2D7F" w:rsidRDefault="00FF2D7F" w:rsidP="00FF2D7F">
            <w:pPr>
              <w:spacing w:after="0"/>
              <w:ind w:left="0" w:hanging="2"/>
              <w:jc w:val="center"/>
              <w:rPr>
                <w:rFonts w:ascii="Arial" w:eastAsia="Times New Roman" w:hAnsi="Arial" w:cs="Arial"/>
                <w:color w:val="000000"/>
                <w:sz w:val="16"/>
                <w:szCs w:val="16"/>
                <w:lang w:val="en-GB"/>
              </w:rPr>
            </w:pPr>
            <w:r w:rsidRPr="00FF2D7F">
              <w:rPr>
                <w:rFonts w:ascii="Arial" w:eastAsia="Times New Roman" w:hAnsi="Arial" w:cs="Arial"/>
                <w:color w:val="000000"/>
                <w:sz w:val="16"/>
                <w:szCs w:val="16"/>
                <w:lang w:val="en-GB"/>
              </w:rPr>
              <w:t>0.27</w:t>
            </w:r>
          </w:p>
        </w:tc>
        <w:tc>
          <w:tcPr>
            <w:tcW w:w="1010" w:type="dxa"/>
            <w:tcBorders>
              <w:top w:val="nil"/>
              <w:bottom w:val="nil"/>
            </w:tcBorders>
            <w:shd w:val="clear" w:color="auto" w:fill="auto"/>
            <w:noWrap/>
            <w:vAlign w:val="center"/>
            <w:hideMark/>
          </w:tcPr>
          <w:p w14:paraId="54364AD1" w14:textId="77777777" w:rsidR="00FF2D7F" w:rsidRPr="00FF2D7F" w:rsidRDefault="00FF2D7F" w:rsidP="00FF2D7F">
            <w:pPr>
              <w:spacing w:after="0"/>
              <w:ind w:left="0" w:hanging="2"/>
              <w:jc w:val="center"/>
              <w:rPr>
                <w:rFonts w:ascii="Arial" w:eastAsia="Times New Roman" w:hAnsi="Arial" w:cs="Arial"/>
                <w:color w:val="000000"/>
                <w:sz w:val="16"/>
                <w:szCs w:val="16"/>
                <w:lang w:val="en-GB"/>
              </w:rPr>
            </w:pPr>
            <w:r w:rsidRPr="00FF2D7F">
              <w:rPr>
                <w:rFonts w:ascii="Arial" w:eastAsia="Times New Roman" w:hAnsi="Arial" w:cs="Arial"/>
                <w:color w:val="000000"/>
                <w:sz w:val="16"/>
                <w:szCs w:val="16"/>
                <w:lang w:val="en-GB"/>
              </w:rPr>
              <w:t>0.25</w:t>
            </w:r>
          </w:p>
        </w:tc>
      </w:tr>
      <w:tr w:rsidR="00FF2D7F" w:rsidRPr="00FF2D7F" w14:paraId="1492F566" w14:textId="77777777" w:rsidTr="00FF2D7F">
        <w:trPr>
          <w:trHeight w:val="300"/>
          <w:jc w:val="center"/>
        </w:trPr>
        <w:tc>
          <w:tcPr>
            <w:tcW w:w="997" w:type="dxa"/>
            <w:vMerge/>
            <w:tcBorders>
              <w:top w:val="nil"/>
              <w:bottom w:val="single" w:sz="8" w:space="0" w:color="auto"/>
            </w:tcBorders>
            <w:vAlign w:val="center"/>
            <w:hideMark/>
          </w:tcPr>
          <w:p w14:paraId="74B9C8C4" w14:textId="77777777" w:rsidR="00FF2D7F" w:rsidRPr="00FF2D7F" w:rsidRDefault="00FF2D7F" w:rsidP="00FF2D7F">
            <w:pPr>
              <w:spacing w:after="0"/>
              <w:ind w:left="0" w:hanging="2"/>
              <w:rPr>
                <w:rFonts w:ascii="Arial" w:eastAsia="Times New Roman" w:hAnsi="Arial" w:cs="Arial"/>
                <w:color w:val="000000"/>
                <w:sz w:val="16"/>
                <w:szCs w:val="16"/>
                <w:lang w:val="en-GB"/>
              </w:rPr>
            </w:pPr>
          </w:p>
        </w:tc>
        <w:tc>
          <w:tcPr>
            <w:tcW w:w="935" w:type="dxa"/>
            <w:tcBorders>
              <w:top w:val="nil"/>
              <w:bottom w:val="single" w:sz="8" w:space="0" w:color="auto"/>
            </w:tcBorders>
            <w:shd w:val="clear" w:color="auto" w:fill="auto"/>
            <w:vAlign w:val="center"/>
            <w:hideMark/>
          </w:tcPr>
          <w:p w14:paraId="1657F3C7" w14:textId="77777777" w:rsidR="00FF2D7F" w:rsidRPr="00FF2D7F" w:rsidRDefault="00FF2D7F" w:rsidP="00FF2D7F">
            <w:pPr>
              <w:spacing w:after="0"/>
              <w:ind w:left="0" w:hanging="2"/>
              <w:jc w:val="center"/>
              <w:rPr>
                <w:rFonts w:ascii="Arial" w:eastAsia="Times New Roman" w:hAnsi="Arial" w:cs="Arial"/>
                <w:color w:val="000000"/>
                <w:sz w:val="16"/>
                <w:szCs w:val="16"/>
                <w:lang w:val="en-GB"/>
              </w:rPr>
            </w:pPr>
            <w:r w:rsidRPr="00FF2D7F">
              <w:rPr>
                <w:rFonts w:ascii="Arial" w:eastAsia="Times New Roman" w:hAnsi="Arial" w:cs="Arial"/>
                <w:color w:val="000000"/>
                <w:sz w:val="16"/>
                <w:szCs w:val="16"/>
                <w:lang w:val="en-GB"/>
              </w:rPr>
              <w:t>S03</w:t>
            </w:r>
          </w:p>
        </w:tc>
        <w:tc>
          <w:tcPr>
            <w:tcW w:w="1120" w:type="dxa"/>
            <w:tcBorders>
              <w:top w:val="nil"/>
              <w:bottom w:val="single" w:sz="8" w:space="0" w:color="auto"/>
            </w:tcBorders>
            <w:shd w:val="clear" w:color="auto" w:fill="auto"/>
            <w:noWrap/>
            <w:vAlign w:val="center"/>
            <w:hideMark/>
          </w:tcPr>
          <w:p w14:paraId="472FD469" w14:textId="77777777" w:rsidR="00FF2D7F" w:rsidRPr="00FF2D7F" w:rsidRDefault="00FF2D7F" w:rsidP="00FF2D7F">
            <w:pPr>
              <w:spacing w:after="0"/>
              <w:ind w:left="0" w:hanging="2"/>
              <w:jc w:val="center"/>
              <w:rPr>
                <w:rFonts w:ascii="Arial" w:eastAsia="Times New Roman" w:hAnsi="Arial" w:cs="Arial"/>
                <w:color w:val="000000"/>
                <w:sz w:val="16"/>
                <w:szCs w:val="16"/>
                <w:lang w:val="en-GB"/>
              </w:rPr>
            </w:pPr>
            <w:r w:rsidRPr="00FF2D7F">
              <w:rPr>
                <w:rFonts w:ascii="Arial" w:eastAsia="Times New Roman" w:hAnsi="Arial" w:cs="Arial"/>
                <w:color w:val="000000"/>
                <w:sz w:val="16"/>
                <w:szCs w:val="16"/>
                <w:lang w:val="en-GB"/>
              </w:rPr>
              <w:t>0.56</w:t>
            </w:r>
          </w:p>
        </w:tc>
        <w:tc>
          <w:tcPr>
            <w:tcW w:w="1010" w:type="dxa"/>
            <w:tcBorders>
              <w:top w:val="nil"/>
              <w:bottom w:val="single" w:sz="8" w:space="0" w:color="auto"/>
            </w:tcBorders>
            <w:shd w:val="clear" w:color="auto" w:fill="auto"/>
            <w:noWrap/>
            <w:vAlign w:val="center"/>
            <w:hideMark/>
          </w:tcPr>
          <w:p w14:paraId="10F4A60D" w14:textId="77777777" w:rsidR="00FF2D7F" w:rsidRPr="00FF2D7F" w:rsidRDefault="00FF2D7F" w:rsidP="00FF2D7F">
            <w:pPr>
              <w:spacing w:after="0"/>
              <w:ind w:left="0" w:hanging="2"/>
              <w:jc w:val="center"/>
              <w:rPr>
                <w:rFonts w:ascii="Arial" w:eastAsia="Times New Roman" w:hAnsi="Arial" w:cs="Arial"/>
                <w:color w:val="000000"/>
                <w:sz w:val="16"/>
                <w:szCs w:val="16"/>
                <w:lang w:val="en-GB"/>
              </w:rPr>
            </w:pPr>
            <w:r w:rsidRPr="00FF2D7F">
              <w:rPr>
                <w:rFonts w:ascii="Arial" w:eastAsia="Times New Roman" w:hAnsi="Arial" w:cs="Arial"/>
                <w:color w:val="000000"/>
                <w:sz w:val="16"/>
                <w:szCs w:val="16"/>
                <w:lang w:val="en-GB"/>
              </w:rPr>
              <w:t>0.35</w:t>
            </w:r>
          </w:p>
        </w:tc>
      </w:tr>
    </w:tbl>
    <w:p w14:paraId="0ED5F138" w14:textId="317F64C6" w:rsidR="00FF2D7F" w:rsidRPr="00FF2D7F" w:rsidRDefault="00FF2D7F" w:rsidP="00FF2D7F">
      <w:pPr>
        <w:keepNext/>
        <w:pBdr>
          <w:top w:val="nil"/>
          <w:left w:val="nil"/>
          <w:bottom w:val="nil"/>
          <w:right w:val="nil"/>
          <w:between w:val="nil"/>
        </w:pBdr>
        <w:spacing w:before="240" w:after="0"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t xml:space="preserve">Table 3. </w:t>
      </w:r>
      <w:r w:rsidRPr="00FF2D7F">
        <w:rPr>
          <w:rFonts w:ascii="Arial" w:eastAsia="Arial" w:hAnsi="Arial" w:cs="Arial"/>
          <w:color w:val="000000"/>
          <w:sz w:val="20"/>
          <w:szCs w:val="20"/>
        </w:rPr>
        <w:t xml:space="preserve">Physical Parameter of the </w:t>
      </w:r>
      <w:proofErr w:type="spellStart"/>
      <w:r w:rsidRPr="00FF2D7F">
        <w:rPr>
          <w:rFonts w:ascii="Arial" w:eastAsia="Arial" w:hAnsi="Arial" w:cs="Arial"/>
          <w:color w:val="000000"/>
          <w:sz w:val="20"/>
          <w:szCs w:val="20"/>
        </w:rPr>
        <w:t>Cikakembang</w:t>
      </w:r>
      <w:proofErr w:type="spellEnd"/>
      <w:r w:rsidRPr="00FF2D7F">
        <w:rPr>
          <w:rFonts w:ascii="Arial" w:eastAsia="Arial" w:hAnsi="Arial" w:cs="Arial"/>
          <w:color w:val="000000"/>
          <w:sz w:val="20"/>
          <w:szCs w:val="20"/>
        </w:rPr>
        <w:t xml:space="preserve"> River</w:t>
      </w:r>
    </w:p>
    <w:tbl>
      <w:tblPr>
        <w:tblW w:w="4193" w:type="dxa"/>
        <w:jc w:val="center"/>
        <w:tblBorders>
          <w:top w:val="single" w:sz="8" w:space="0" w:color="auto"/>
          <w:bottom w:val="single" w:sz="8" w:space="0" w:color="auto"/>
        </w:tblBorders>
        <w:tblLook w:val="04A0" w:firstRow="1" w:lastRow="0" w:firstColumn="1" w:lastColumn="0" w:noHBand="0" w:noVBand="1"/>
      </w:tblPr>
      <w:tblGrid>
        <w:gridCol w:w="1147"/>
        <w:gridCol w:w="935"/>
        <w:gridCol w:w="1101"/>
        <w:gridCol w:w="1010"/>
      </w:tblGrid>
      <w:tr w:rsidR="00FF2D7F" w:rsidRPr="00FF2D7F" w14:paraId="29877C77" w14:textId="77777777" w:rsidTr="00126FBD">
        <w:trPr>
          <w:trHeight w:val="707"/>
          <w:jc w:val="center"/>
        </w:trPr>
        <w:tc>
          <w:tcPr>
            <w:tcW w:w="1178" w:type="dxa"/>
            <w:tcBorders>
              <w:top w:val="single" w:sz="8" w:space="0" w:color="auto"/>
              <w:bottom w:val="single" w:sz="8" w:space="0" w:color="auto"/>
            </w:tcBorders>
            <w:shd w:val="clear" w:color="auto" w:fill="auto"/>
            <w:vAlign w:val="center"/>
            <w:hideMark/>
          </w:tcPr>
          <w:p w14:paraId="19296D89" w14:textId="77777777" w:rsidR="00FF2D7F" w:rsidRPr="00FF2D7F" w:rsidRDefault="00FF2D7F" w:rsidP="00FF2D7F">
            <w:pPr>
              <w:spacing w:after="0"/>
              <w:ind w:left="0" w:hanging="2"/>
              <w:rPr>
                <w:rFonts w:ascii="Arial" w:eastAsia="Times New Roman" w:hAnsi="Arial" w:cs="Arial"/>
                <w:b/>
                <w:bCs/>
                <w:color w:val="000000"/>
                <w:sz w:val="16"/>
                <w:szCs w:val="16"/>
                <w:lang w:val="en-GB"/>
              </w:rPr>
            </w:pPr>
            <w:r w:rsidRPr="00FF2D7F">
              <w:rPr>
                <w:rFonts w:ascii="Arial" w:eastAsia="Times New Roman" w:hAnsi="Arial" w:cs="Arial"/>
                <w:b/>
                <w:bCs/>
                <w:color w:val="000000"/>
                <w:sz w:val="16"/>
                <w:szCs w:val="16"/>
                <w:lang w:val="en-GB"/>
              </w:rPr>
              <w:t>Parameter</w:t>
            </w:r>
          </w:p>
        </w:tc>
        <w:tc>
          <w:tcPr>
            <w:tcW w:w="904" w:type="dxa"/>
            <w:tcBorders>
              <w:top w:val="single" w:sz="8" w:space="0" w:color="auto"/>
              <w:bottom w:val="single" w:sz="8" w:space="0" w:color="auto"/>
            </w:tcBorders>
            <w:shd w:val="clear" w:color="auto" w:fill="auto"/>
            <w:vAlign w:val="center"/>
            <w:hideMark/>
          </w:tcPr>
          <w:p w14:paraId="655BCFAC" w14:textId="77777777" w:rsidR="00FF2D7F" w:rsidRPr="00FF2D7F" w:rsidRDefault="00FF2D7F" w:rsidP="00FF2D7F">
            <w:pPr>
              <w:spacing w:after="0"/>
              <w:ind w:left="0" w:hanging="2"/>
              <w:jc w:val="center"/>
              <w:rPr>
                <w:rFonts w:ascii="Arial" w:eastAsia="Times New Roman" w:hAnsi="Arial" w:cs="Arial"/>
                <w:b/>
                <w:bCs/>
                <w:color w:val="000000"/>
                <w:sz w:val="16"/>
                <w:szCs w:val="16"/>
                <w:lang w:val="en-GB"/>
              </w:rPr>
            </w:pPr>
            <w:r w:rsidRPr="00FF2D7F">
              <w:rPr>
                <w:rFonts w:ascii="Arial" w:eastAsia="Times New Roman" w:hAnsi="Arial" w:cs="Arial"/>
                <w:b/>
                <w:bCs/>
                <w:color w:val="000000"/>
                <w:sz w:val="16"/>
                <w:szCs w:val="16"/>
                <w:lang w:val="en-GB"/>
              </w:rPr>
              <w:t>Sampling Points</w:t>
            </w:r>
          </w:p>
        </w:tc>
        <w:tc>
          <w:tcPr>
            <w:tcW w:w="1101" w:type="dxa"/>
            <w:tcBorders>
              <w:top w:val="single" w:sz="8" w:space="0" w:color="auto"/>
              <w:bottom w:val="single" w:sz="8" w:space="0" w:color="auto"/>
            </w:tcBorders>
            <w:shd w:val="clear" w:color="auto" w:fill="auto"/>
            <w:vAlign w:val="center"/>
            <w:hideMark/>
          </w:tcPr>
          <w:p w14:paraId="0E3AEE73" w14:textId="77777777" w:rsidR="00FF2D7F" w:rsidRPr="00FF2D7F" w:rsidRDefault="00FF2D7F" w:rsidP="00FF2D7F">
            <w:pPr>
              <w:spacing w:after="0"/>
              <w:ind w:left="0" w:hanging="2"/>
              <w:jc w:val="center"/>
              <w:rPr>
                <w:rFonts w:ascii="Arial" w:eastAsia="Times New Roman" w:hAnsi="Arial" w:cs="Arial"/>
                <w:b/>
                <w:bCs/>
                <w:color w:val="000000"/>
                <w:sz w:val="16"/>
                <w:szCs w:val="16"/>
                <w:lang w:val="en-GB"/>
              </w:rPr>
            </w:pPr>
            <w:r w:rsidRPr="00FF2D7F">
              <w:rPr>
                <w:rFonts w:ascii="Arial" w:eastAsia="Times New Roman" w:hAnsi="Arial" w:cs="Arial"/>
                <w:b/>
                <w:bCs/>
                <w:color w:val="000000"/>
                <w:sz w:val="16"/>
                <w:szCs w:val="16"/>
                <w:lang w:val="en-GB"/>
              </w:rPr>
              <w:t>10/19/2022 (Rainy Season)</w:t>
            </w:r>
          </w:p>
        </w:tc>
        <w:tc>
          <w:tcPr>
            <w:tcW w:w="1010" w:type="dxa"/>
            <w:tcBorders>
              <w:top w:val="single" w:sz="8" w:space="0" w:color="auto"/>
              <w:bottom w:val="single" w:sz="8" w:space="0" w:color="auto"/>
            </w:tcBorders>
            <w:shd w:val="clear" w:color="auto" w:fill="auto"/>
            <w:vAlign w:val="center"/>
            <w:hideMark/>
          </w:tcPr>
          <w:p w14:paraId="05DA7A03" w14:textId="77777777" w:rsidR="00FF2D7F" w:rsidRPr="00FF2D7F" w:rsidRDefault="00FF2D7F" w:rsidP="00FF2D7F">
            <w:pPr>
              <w:spacing w:after="0"/>
              <w:ind w:left="0" w:hanging="2"/>
              <w:jc w:val="center"/>
              <w:rPr>
                <w:rFonts w:ascii="Arial" w:eastAsia="Times New Roman" w:hAnsi="Arial" w:cs="Arial"/>
                <w:b/>
                <w:bCs/>
                <w:color w:val="000000"/>
                <w:sz w:val="16"/>
                <w:szCs w:val="16"/>
                <w:lang w:val="en-GB"/>
              </w:rPr>
            </w:pPr>
            <w:r w:rsidRPr="00FF2D7F">
              <w:rPr>
                <w:rFonts w:ascii="Arial" w:eastAsia="Times New Roman" w:hAnsi="Arial" w:cs="Arial"/>
                <w:b/>
                <w:bCs/>
                <w:color w:val="000000"/>
                <w:sz w:val="16"/>
                <w:szCs w:val="16"/>
                <w:lang w:val="en-GB"/>
              </w:rPr>
              <w:t>8/24/2022 (Dry Season)</w:t>
            </w:r>
          </w:p>
        </w:tc>
      </w:tr>
      <w:tr w:rsidR="00FF2D7F" w:rsidRPr="00FF2D7F" w14:paraId="44A4A661" w14:textId="77777777" w:rsidTr="00126FBD">
        <w:trPr>
          <w:trHeight w:val="290"/>
          <w:jc w:val="center"/>
        </w:trPr>
        <w:tc>
          <w:tcPr>
            <w:tcW w:w="1178" w:type="dxa"/>
            <w:vMerge w:val="restart"/>
            <w:tcBorders>
              <w:top w:val="single" w:sz="8" w:space="0" w:color="auto"/>
              <w:bottom w:val="nil"/>
            </w:tcBorders>
            <w:shd w:val="clear" w:color="auto" w:fill="auto"/>
            <w:vAlign w:val="center"/>
            <w:hideMark/>
          </w:tcPr>
          <w:p w14:paraId="4DBE9D9F" w14:textId="77777777" w:rsidR="00FF2D7F" w:rsidRPr="00FF2D7F" w:rsidRDefault="00FF2D7F" w:rsidP="00FF2D7F">
            <w:pPr>
              <w:spacing w:after="0"/>
              <w:ind w:left="0" w:hanging="2"/>
              <w:jc w:val="center"/>
              <w:rPr>
                <w:rFonts w:ascii="Arial" w:eastAsia="Times New Roman" w:hAnsi="Arial" w:cs="Arial"/>
                <w:color w:val="000000"/>
                <w:sz w:val="16"/>
                <w:szCs w:val="16"/>
                <w:lang w:val="en-GB"/>
              </w:rPr>
            </w:pPr>
            <w:r w:rsidRPr="00FF2D7F">
              <w:rPr>
                <w:rFonts w:ascii="Arial" w:eastAsia="Times New Roman" w:hAnsi="Arial" w:cs="Arial"/>
                <w:color w:val="000000"/>
                <w:sz w:val="16"/>
                <w:szCs w:val="16"/>
                <w:lang w:val="en-GB"/>
              </w:rPr>
              <w:t>pH</w:t>
            </w:r>
          </w:p>
        </w:tc>
        <w:tc>
          <w:tcPr>
            <w:tcW w:w="904" w:type="dxa"/>
            <w:tcBorders>
              <w:top w:val="single" w:sz="8" w:space="0" w:color="auto"/>
              <w:bottom w:val="nil"/>
            </w:tcBorders>
            <w:shd w:val="clear" w:color="auto" w:fill="auto"/>
            <w:vAlign w:val="center"/>
            <w:hideMark/>
          </w:tcPr>
          <w:p w14:paraId="24B1C60A" w14:textId="77777777" w:rsidR="00FF2D7F" w:rsidRPr="00FF2D7F" w:rsidRDefault="00FF2D7F" w:rsidP="00FF2D7F">
            <w:pPr>
              <w:spacing w:after="0"/>
              <w:ind w:left="0" w:hanging="2"/>
              <w:jc w:val="center"/>
              <w:rPr>
                <w:rFonts w:ascii="Arial" w:eastAsia="Times New Roman" w:hAnsi="Arial" w:cs="Arial"/>
                <w:color w:val="000000"/>
                <w:sz w:val="16"/>
                <w:szCs w:val="16"/>
                <w:lang w:val="en-GB"/>
              </w:rPr>
            </w:pPr>
            <w:r w:rsidRPr="00FF2D7F">
              <w:rPr>
                <w:rFonts w:ascii="Arial" w:eastAsia="Times New Roman" w:hAnsi="Arial" w:cs="Arial"/>
                <w:color w:val="000000"/>
                <w:sz w:val="16"/>
                <w:szCs w:val="16"/>
                <w:lang w:val="en-GB"/>
              </w:rPr>
              <w:t>S01</w:t>
            </w:r>
          </w:p>
        </w:tc>
        <w:tc>
          <w:tcPr>
            <w:tcW w:w="1101" w:type="dxa"/>
            <w:tcBorders>
              <w:top w:val="single" w:sz="8" w:space="0" w:color="auto"/>
              <w:bottom w:val="nil"/>
            </w:tcBorders>
            <w:shd w:val="clear" w:color="auto" w:fill="auto"/>
            <w:noWrap/>
            <w:vAlign w:val="center"/>
            <w:hideMark/>
          </w:tcPr>
          <w:p w14:paraId="530728FA" w14:textId="77777777" w:rsidR="00FF2D7F" w:rsidRPr="00FF2D7F" w:rsidRDefault="00FF2D7F" w:rsidP="00FF2D7F">
            <w:pPr>
              <w:spacing w:after="0"/>
              <w:ind w:left="0" w:hanging="2"/>
              <w:jc w:val="center"/>
              <w:rPr>
                <w:rFonts w:ascii="Arial" w:eastAsia="Times New Roman" w:hAnsi="Arial" w:cs="Arial"/>
                <w:color w:val="000000"/>
                <w:sz w:val="16"/>
                <w:szCs w:val="16"/>
                <w:lang w:val="en-GB"/>
              </w:rPr>
            </w:pPr>
            <w:r w:rsidRPr="00FF2D7F">
              <w:rPr>
                <w:rFonts w:ascii="Arial" w:eastAsia="Times New Roman" w:hAnsi="Arial" w:cs="Arial"/>
                <w:color w:val="000000"/>
                <w:sz w:val="16"/>
                <w:szCs w:val="16"/>
                <w:lang w:val="en-GB"/>
              </w:rPr>
              <w:t>7.25</w:t>
            </w:r>
          </w:p>
        </w:tc>
        <w:tc>
          <w:tcPr>
            <w:tcW w:w="1010" w:type="dxa"/>
            <w:tcBorders>
              <w:top w:val="single" w:sz="8" w:space="0" w:color="auto"/>
              <w:bottom w:val="nil"/>
            </w:tcBorders>
            <w:shd w:val="clear" w:color="auto" w:fill="auto"/>
            <w:noWrap/>
            <w:vAlign w:val="center"/>
            <w:hideMark/>
          </w:tcPr>
          <w:p w14:paraId="54BBD343" w14:textId="77777777" w:rsidR="00FF2D7F" w:rsidRPr="00FF2D7F" w:rsidRDefault="00FF2D7F" w:rsidP="00FF2D7F">
            <w:pPr>
              <w:spacing w:after="0"/>
              <w:ind w:left="0" w:hanging="2"/>
              <w:jc w:val="center"/>
              <w:rPr>
                <w:rFonts w:ascii="Arial" w:eastAsia="Times New Roman" w:hAnsi="Arial" w:cs="Arial"/>
                <w:color w:val="000000"/>
                <w:sz w:val="16"/>
                <w:szCs w:val="16"/>
                <w:lang w:val="en-GB"/>
              </w:rPr>
            </w:pPr>
            <w:r w:rsidRPr="00FF2D7F">
              <w:rPr>
                <w:rFonts w:ascii="Arial" w:eastAsia="Times New Roman" w:hAnsi="Arial" w:cs="Arial"/>
                <w:color w:val="000000"/>
                <w:sz w:val="16"/>
                <w:szCs w:val="16"/>
                <w:lang w:val="en-GB"/>
              </w:rPr>
              <w:t>6.57</w:t>
            </w:r>
          </w:p>
        </w:tc>
      </w:tr>
      <w:tr w:rsidR="00FF2D7F" w:rsidRPr="00FF2D7F" w14:paraId="302B75A1" w14:textId="77777777" w:rsidTr="00126FBD">
        <w:trPr>
          <w:trHeight w:val="290"/>
          <w:jc w:val="center"/>
        </w:trPr>
        <w:tc>
          <w:tcPr>
            <w:tcW w:w="1178" w:type="dxa"/>
            <w:vMerge/>
            <w:tcBorders>
              <w:top w:val="nil"/>
              <w:bottom w:val="nil"/>
            </w:tcBorders>
            <w:vAlign w:val="center"/>
            <w:hideMark/>
          </w:tcPr>
          <w:p w14:paraId="7B8FA66F" w14:textId="77777777" w:rsidR="00FF2D7F" w:rsidRPr="00FF2D7F" w:rsidRDefault="00FF2D7F" w:rsidP="00FF2D7F">
            <w:pPr>
              <w:spacing w:after="0"/>
              <w:ind w:left="0" w:hanging="2"/>
              <w:rPr>
                <w:rFonts w:ascii="Arial" w:eastAsia="Times New Roman" w:hAnsi="Arial" w:cs="Arial"/>
                <w:color w:val="000000"/>
                <w:sz w:val="16"/>
                <w:szCs w:val="16"/>
                <w:lang w:val="en-GB"/>
              </w:rPr>
            </w:pPr>
          </w:p>
        </w:tc>
        <w:tc>
          <w:tcPr>
            <w:tcW w:w="904" w:type="dxa"/>
            <w:tcBorders>
              <w:top w:val="nil"/>
              <w:bottom w:val="nil"/>
            </w:tcBorders>
            <w:shd w:val="clear" w:color="auto" w:fill="auto"/>
            <w:vAlign w:val="center"/>
            <w:hideMark/>
          </w:tcPr>
          <w:p w14:paraId="50F0F04D" w14:textId="77777777" w:rsidR="00FF2D7F" w:rsidRPr="00FF2D7F" w:rsidRDefault="00FF2D7F" w:rsidP="00FF2D7F">
            <w:pPr>
              <w:spacing w:after="0"/>
              <w:ind w:left="0" w:hanging="2"/>
              <w:jc w:val="center"/>
              <w:rPr>
                <w:rFonts w:ascii="Arial" w:eastAsia="Times New Roman" w:hAnsi="Arial" w:cs="Arial"/>
                <w:color w:val="000000"/>
                <w:sz w:val="16"/>
                <w:szCs w:val="16"/>
                <w:lang w:val="en-GB"/>
              </w:rPr>
            </w:pPr>
            <w:r w:rsidRPr="00FF2D7F">
              <w:rPr>
                <w:rFonts w:ascii="Arial" w:eastAsia="Times New Roman" w:hAnsi="Arial" w:cs="Arial"/>
                <w:color w:val="000000"/>
                <w:sz w:val="16"/>
                <w:szCs w:val="16"/>
                <w:lang w:val="en-GB"/>
              </w:rPr>
              <w:t>S02</w:t>
            </w:r>
          </w:p>
        </w:tc>
        <w:tc>
          <w:tcPr>
            <w:tcW w:w="1101" w:type="dxa"/>
            <w:tcBorders>
              <w:top w:val="nil"/>
              <w:bottom w:val="nil"/>
            </w:tcBorders>
            <w:shd w:val="clear" w:color="auto" w:fill="auto"/>
            <w:noWrap/>
            <w:vAlign w:val="center"/>
            <w:hideMark/>
          </w:tcPr>
          <w:p w14:paraId="463F9D1A" w14:textId="77777777" w:rsidR="00FF2D7F" w:rsidRPr="00FF2D7F" w:rsidRDefault="00FF2D7F" w:rsidP="00FF2D7F">
            <w:pPr>
              <w:spacing w:after="0"/>
              <w:ind w:left="0" w:hanging="2"/>
              <w:jc w:val="center"/>
              <w:rPr>
                <w:rFonts w:ascii="Arial" w:eastAsia="Times New Roman" w:hAnsi="Arial" w:cs="Arial"/>
                <w:color w:val="000000"/>
                <w:sz w:val="16"/>
                <w:szCs w:val="16"/>
                <w:lang w:val="en-GB"/>
              </w:rPr>
            </w:pPr>
            <w:r w:rsidRPr="00FF2D7F">
              <w:rPr>
                <w:rFonts w:ascii="Arial" w:eastAsia="Times New Roman" w:hAnsi="Arial" w:cs="Arial"/>
                <w:color w:val="000000"/>
                <w:sz w:val="16"/>
                <w:szCs w:val="16"/>
                <w:lang w:val="en-GB"/>
              </w:rPr>
              <w:t>6.86</w:t>
            </w:r>
          </w:p>
        </w:tc>
        <w:tc>
          <w:tcPr>
            <w:tcW w:w="1010" w:type="dxa"/>
            <w:tcBorders>
              <w:top w:val="nil"/>
              <w:bottom w:val="nil"/>
            </w:tcBorders>
            <w:shd w:val="clear" w:color="auto" w:fill="auto"/>
            <w:noWrap/>
            <w:vAlign w:val="center"/>
            <w:hideMark/>
          </w:tcPr>
          <w:p w14:paraId="117AD433" w14:textId="77777777" w:rsidR="00FF2D7F" w:rsidRPr="00FF2D7F" w:rsidRDefault="00FF2D7F" w:rsidP="00FF2D7F">
            <w:pPr>
              <w:spacing w:after="0"/>
              <w:ind w:left="0" w:hanging="2"/>
              <w:jc w:val="center"/>
              <w:rPr>
                <w:rFonts w:ascii="Arial" w:eastAsia="Times New Roman" w:hAnsi="Arial" w:cs="Arial"/>
                <w:color w:val="000000"/>
                <w:sz w:val="16"/>
                <w:szCs w:val="16"/>
                <w:lang w:val="en-GB"/>
              </w:rPr>
            </w:pPr>
            <w:r w:rsidRPr="00FF2D7F">
              <w:rPr>
                <w:rFonts w:ascii="Arial" w:eastAsia="Times New Roman" w:hAnsi="Arial" w:cs="Arial"/>
                <w:color w:val="000000"/>
                <w:sz w:val="16"/>
                <w:szCs w:val="16"/>
                <w:lang w:val="en-GB"/>
              </w:rPr>
              <w:t>6.79</w:t>
            </w:r>
          </w:p>
        </w:tc>
      </w:tr>
      <w:tr w:rsidR="00FF2D7F" w:rsidRPr="00FF2D7F" w14:paraId="4F5C4002" w14:textId="77777777" w:rsidTr="00126FBD">
        <w:trPr>
          <w:trHeight w:val="300"/>
          <w:jc w:val="center"/>
        </w:trPr>
        <w:tc>
          <w:tcPr>
            <w:tcW w:w="1178" w:type="dxa"/>
            <w:vMerge/>
            <w:tcBorders>
              <w:top w:val="nil"/>
              <w:bottom w:val="single" w:sz="8" w:space="0" w:color="auto"/>
            </w:tcBorders>
            <w:vAlign w:val="center"/>
            <w:hideMark/>
          </w:tcPr>
          <w:p w14:paraId="0E4C77CF" w14:textId="77777777" w:rsidR="00FF2D7F" w:rsidRPr="00FF2D7F" w:rsidRDefault="00FF2D7F" w:rsidP="00FF2D7F">
            <w:pPr>
              <w:spacing w:after="0"/>
              <w:ind w:left="0" w:hanging="2"/>
              <w:rPr>
                <w:rFonts w:ascii="Arial" w:eastAsia="Times New Roman" w:hAnsi="Arial" w:cs="Arial"/>
                <w:color w:val="000000"/>
                <w:sz w:val="16"/>
                <w:szCs w:val="16"/>
                <w:lang w:val="en-GB"/>
              </w:rPr>
            </w:pPr>
          </w:p>
        </w:tc>
        <w:tc>
          <w:tcPr>
            <w:tcW w:w="904" w:type="dxa"/>
            <w:tcBorders>
              <w:top w:val="nil"/>
              <w:bottom w:val="single" w:sz="8" w:space="0" w:color="auto"/>
            </w:tcBorders>
            <w:shd w:val="clear" w:color="auto" w:fill="auto"/>
            <w:vAlign w:val="center"/>
            <w:hideMark/>
          </w:tcPr>
          <w:p w14:paraId="269CFD45" w14:textId="77777777" w:rsidR="00FF2D7F" w:rsidRPr="00FF2D7F" w:rsidRDefault="00FF2D7F" w:rsidP="00FF2D7F">
            <w:pPr>
              <w:spacing w:after="0"/>
              <w:ind w:left="0" w:hanging="2"/>
              <w:jc w:val="center"/>
              <w:rPr>
                <w:rFonts w:ascii="Arial" w:eastAsia="Times New Roman" w:hAnsi="Arial" w:cs="Arial"/>
                <w:color w:val="000000"/>
                <w:sz w:val="16"/>
                <w:szCs w:val="16"/>
                <w:lang w:val="en-GB"/>
              </w:rPr>
            </w:pPr>
            <w:r w:rsidRPr="00FF2D7F">
              <w:rPr>
                <w:rFonts w:ascii="Arial" w:eastAsia="Times New Roman" w:hAnsi="Arial" w:cs="Arial"/>
                <w:color w:val="000000"/>
                <w:sz w:val="16"/>
                <w:szCs w:val="16"/>
                <w:lang w:val="en-GB"/>
              </w:rPr>
              <w:t>S03</w:t>
            </w:r>
          </w:p>
        </w:tc>
        <w:tc>
          <w:tcPr>
            <w:tcW w:w="1101" w:type="dxa"/>
            <w:tcBorders>
              <w:top w:val="nil"/>
              <w:bottom w:val="single" w:sz="8" w:space="0" w:color="auto"/>
            </w:tcBorders>
            <w:shd w:val="clear" w:color="auto" w:fill="auto"/>
            <w:noWrap/>
            <w:vAlign w:val="center"/>
            <w:hideMark/>
          </w:tcPr>
          <w:p w14:paraId="6FACF4F7" w14:textId="77777777" w:rsidR="00FF2D7F" w:rsidRPr="00FF2D7F" w:rsidRDefault="00FF2D7F" w:rsidP="00FF2D7F">
            <w:pPr>
              <w:spacing w:after="0"/>
              <w:ind w:left="0" w:hanging="2"/>
              <w:jc w:val="center"/>
              <w:rPr>
                <w:rFonts w:ascii="Arial" w:eastAsia="Times New Roman" w:hAnsi="Arial" w:cs="Arial"/>
                <w:color w:val="000000"/>
                <w:sz w:val="16"/>
                <w:szCs w:val="16"/>
                <w:lang w:val="en-GB"/>
              </w:rPr>
            </w:pPr>
            <w:r w:rsidRPr="00FF2D7F">
              <w:rPr>
                <w:rFonts w:ascii="Arial" w:eastAsia="Times New Roman" w:hAnsi="Arial" w:cs="Arial"/>
                <w:color w:val="000000"/>
                <w:sz w:val="16"/>
                <w:szCs w:val="16"/>
                <w:lang w:val="en-GB"/>
              </w:rPr>
              <w:t>7.15</w:t>
            </w:r>
          </w:p>
        </w:tc>
        <w:tc>
          <w:tcPr>
            <w:tcW w:w="1010" w:type="dxa"/>
            <w:tcBorders>
              <w:top w:val="nil"/>
              <w:bottom w:val="single" w:sz="8" w:space="0" w:color="auto"/>
            </w:tcBorders>
            <w:shd w:val="clear" w:color="auto" w:fill="auto"/>
            <w:noWrap/>
            <w:vAlign w:val="center"/>
            <w:hideMark/>
          </w:tcPr>
          <w:p w14:paraId="593E8AB6" w14:textId="77777777" w:rsidR="00FF2D7F" w:rsidRPr="00FF2D7F" w:rsidRDefault="00FF2D7F" w:rsidP="00FF2D7F">
            <w:pPr>
              <w:spacing w:after="0"/>
              <w:ind w:left="0" w:hanging="2"/>
              <w:jc w:val="center"/>
              <w:rPr>
                <w:rFonts w:ascii="Arial" w:eastAsia="Times New Roman" w:hAnsi="Arial" w:cs="Arial"/>
                <w:color w:val="000000"/>
                <w:sz w:val="16"/>
                <w:szCs w:val="16"/>
                <w:lang w:val="en-GB"/>
              </w:rPr>
            </w:pPr>
            <w:r w:rsidRPr="00FF2D7F">
              <w:rPr>
                <w:rFonts w:ascii="Arial" w:eastAsia="Times New Roman" w:hAnsi="Arial" w:cs="Arial"/>
                <w:color w:val="000000"/>
                <w:sz w:val="16"/>
                <w:szCs w:val="16"/>
                <w:lang w:val="en-GB"/>
              </w:rPr>
              <w:t>6.93</w:t>
            </w:r>
          </w:p>
        </w:tc>
      </w:tr>
      <w:tr w:rsidR="00FF2D7F" w:rsidRPr="00FF2D7F" w14:paraId="45582554" w14:textId="77777777" w:rsidTr="00126FBD">
        <w:trPr>
          <w:trHeight w:val="290"/>
          <w:jc w:val="center"/>
        </w:trPr>
        <w:tc>
          <w:tcPr>
            <w:tcW w:w="1178" w:type="dxa"/>
            <w:vMerge w:val="restart"/>
            <w:tcBorders>
              <w:top w:val="single" w:sz="8" w:space="0" w:color="auto"/>
            </w:tcBorders>
            <w:shd w:val="clear" w:color="auto" w:fill="auto"/>
            <w:vAlign w:val="center"/>
            <w:hideMark/>
          </w:tcPr>
          <w:p w14:paraId="2110690A" w14:textId="77777777" w:rsidR="00FF2D7F" w:rsidRPr="00FF2D7F" w:rsidRDefault="00FF2D7F" w:rsidP="00FF2D7F">
            <w:pPr>
              <w:spacing w:after="0"/>
              <w:ind w:left="0" w:hanging="2"/>
              <w:jc w:val="center"/>
              <w:rPr>
                <w:rFonts w:ascii="Arial" w:eastAsia="Times New Roman" w:hAnsi="Arial" w:cs="Arial"/>
                <w:color w:val="000000"/>
                <w:sz w:val="16"/>
                <w:szCs w:val="16"/>
                <w:lang w:val="en-GB"/>
              </w:rPr>
            </w:pPr>
            <w:r w:rsidRPr="00FF2D7F">
              <w:rPr>
                <w:rFonts w:ascii="Arial" w:eastAsia="Times New Roman" w:hAnsi="Arial" w:cs="Arial"/>
                <w:color w:val="000000"/>
                <w:sz w:val="16"/>
                <w:szCs w:val="16"/>
                <w:lang w:val="en-GB"/>
              </w:rPr>
              <w:t>Temperature (˚C)</w:t>
            </w:r>
          </w:p>
        </w:tc>
        <w:tc>
          <w:tcPr>
            <w:tcW w:w="904" w:type="dxa"/>
            <w:tcBorders>
              <w:top w:val="single" w:sz="8" w:space="0" w:color="auto"/>
            </w:tcBorders>
            <w:shd w:val="clear" w:color="auto" w:fill="auto"/>
            <w:vAlign w:val="center"/>
            <w:hideMark/>
          </w:tcPr>
          <w:p w14:paraId="0D9A7615" w14:textId="77777777" w:rsidR="00FF2D7F" w:rsidRPr="00FF2D7F" w:rsidRDefault="00FF2D7F" w:rsidP="00FF2D7F">
            <w:pPr>
              <w:spacing w:after="0"/>
              <w:ind w:left="0" w:hanging="2"/>
              <w:jc w:val="center"/>
              <w:rPr>
                <w:rFonts w:ascii="Arial" w:eastAsia="Times New Roman" w:hAnsi="Arial" w:cs="Arial"/>
                <w:color w:val="000000"/>
                <w:sz w:val="16"/>
                <w:szCs w:val="16"/>
                <w:lang w:val="en-GB"/>
              </w:rPr>
            </w:pPr>
            <w:r w:rsidRPr="00FF2D7F">
              <w:rPr>
                <w:rFonts w:ascii="Arial" w:eastAsia="Times New Roman" w:hAnsi="Arial" w:cs="Arial"/>
                <w:color w:val="000000"/>
                <w:sz w:val="16"/>
                <w:szCs w:val="16"/>
                <w:lang w:val="en-GB"/>
              </w:rPr>
              <w:t>S01</w:t>
            </w:r>
          </w:p>
        </w:tc>
        <w:tc>
          <w:tcPr>
            <w:tcW w:w="1101" w:type="dxa"/>
            <w:tcBorders>
              <w:top w:val="single" w:sz="8" w:space="0" w:color="auto"/>
            </w:tcBorders>
            <w:shd w:val="clear" w:color="auto" w:fill="auto"/>
            <w:noWrap/>
            <w:vAlign w:val="center"/>
            <w:hideMark/>
          </w:tcPr>
          <w:p w14:paraId="79B0C81C" w14:textId="77777777" w:rsidR="00FF2D7F" w:rsidRPr="00FF2D7F" w:rsidRDefault="00FF2D7F" w:rsidP="00FF2D7F">
            <w:pPr>
              <w:spacing w:after="0"/>
              <w:ind w:left="0" w:hanging="2"/>
              <w:jc w:val="center"/>
              <w:rPr>
                <w:rFonts w:ascii="Arial" w:eastAsia="Times New Roman" w:hAnsi="Arial" w:cs="Arial"/>
                <w:color w:val="000000"/>
                <w:sz w:val="16"/>
                <w:szCs w:val="16"/>
                <w:lang w:val="en-GB"/>
              </w:rPr>
            </w:pPr>
            <w:r w:rsidRPr="00FF2D7F">
              <w:rPr>
                <w:rFonts w:ascii="Arial" w:eastAsia="Times New Roman" w:hAnsi="Arial" w:cs="Arial"/>
                <w:color w:val="000000"/>
                <w:sz w:val="16"/>
                <w:szCs w:val="16"/>
                <w:lang w:val="en-GB"/>
              </w:rPr>
              <w:t>28.00</w:t>
            </w:r>
          </w:p>
        </w:tc>
        <w:tc>
          <w:tcPr>
            <w:tcW w:w="1010" w:type="dxa"/>
            <w:tcBorders>
              <w:top w:val="single" w:sz="8" w:space="0" w:color="auto"/>
            </w:tcBorders>
            <w:shd w:val="clear" w:color="auto" w:fill="auto"/>
            <w:noWrap/>
            <w:vAlign w:val="center"/>
            <w:hideMark/>
          </w:tcPr>
          <w:p w14:paraId="0DF9DB20" w14:textId="77777777" w:rsidR="00FF2D7F" w:rsidRPr="00FF2D7F" w:rsidRDefault="00FF2D7F" w:rsidP="00FF2D7F">
            <w:pPr>
              <w:spacing w:after="0"/>
              <w:ind w:left="0" w:hanging="2"/>
              <w:jc w:val="center"/>
              <w:rPr>
                <w:rFonts w:ascii="Arial" w:eastAsia="Times New Roman" w:hAnsi="Arial" w:cs="Arial"/>
                <w:color w:val="000000"/>
                <w:sz w:val="16"/>
                <w:szCs w:val="16"/>
                <w:lang w:val="en-GB"/>
              </w:rPr>
            </w:pPr>
            <w:r w:rsidRPr="00FF2D7F">
              <w:rPr>
                <w:rFonts w:ascii="Arial" w:eastAsia="Times New Roman" w:hAnsi="Arial" w:cs="Arial"/>
                <w:color w:val="000000"/>
                <w:sz w:val="16"/>
                <w:szCs w:val="16"/>
                <w:lang w:val="en-GB"/>
              </w:rPr>
              <w:t>29.00</w:t>
            </w:r>
          </w:p>
        </w:tc>
      </w:tr>
      <w:tr w:rsidR="00FF2D7F" w:rsidRPr="00FF2D7F" w14:paraId="15BD2013" w14:textId="77777777" w:rsidTr="00126FBD">
        <w:trPr>
          <w:trHeight w:val="290"/>
          <w:jc w:val="center"/>
        </w:trPr>
        <w:tc>
          <w:tcPr>
            <w:tcW w:w="1178" w:type="dxa"/>
            <w:vMerge/>
            <w:vAlign w:val="center"/>
            <w:hideMark/>
          </w:tcPr>
          <w:p w14:paraId="619CE506" w14:textId="77777777" w:rsidR="00FF2D7F" w:rsidRPr="00FF2D7F" w:rsidRDefault="00FF2D7F" w:rsidP="00FF2D7F">
            <w:pPr>
              <w:spacing w:after="0"/>
              <w:ind w:left="0" w:hanging="2"/>
              <w:rPr>
                <w:rFonts w:ascii="Arial" w:eastAsia="Times New Roman" w:hAnsi="Arial" w:cs="Arial"/>
                <w:color w:val="000000"/>
                <w:sz w:val="16"/>
                <w:szCs w:val="16"/>
                <w:lang w:val="en-GB"/>
              </w:rPr>
            </w:pPr>
          </w:p>
        </w:tc>
        <w:tc>
          <w:tcPr>
            <w:tcW w:w="904" w:type="dxa"/>
            <w:shd w:val="clear" w:color="auto" w:fill="auto"/>
            <w:vAlign w:val="center"/>
            <w:hideMark/>
          </w:tcPr>
          <w:p w14:paraId="5B0B0B64" w14:textId="77777777" w:rsidR="00FF2D7F" w:rsidRPr="00FF2D7F" w:rsidRDefault="00FF2D7F" w:rsidP="00FF2D7F">
            <w:pPr>
              <w:spacing w:after="0"/>
              <w:ind w:left="0" w:hanging="2"/>
              <w:jc w:val="center"/>
              <w:rPr>
                <w:rFonts w:ascii="Arial" w:eastAsia="Times New Roman" w:hAnsi="Arial" w:cs="Arial"/>
                <w:color w:val="000000"/>
                <w:sz w:val="16"/>
                <w:szCs w:val="16"/>
                <w:lang w:val="en-GB"/>
              </w:rPr>
            </w:pPr>
            <w:r w:rsidRPr="00FF2D7F">
              <w:rPr>
                <w:rFonts w:ascii="Arial" w:eastAsia="Times New Roman" w:hAnsi="Arial" w:cs="Arial"/>
                <w:color w:val="000000"/>
                <w:sz w:val="16"/>
                <w:szCs w:val="16"/>
                <w:lang w:val="en-GB"/>
              </w:rPr>
              <w:t>S02</w:t>
            </w:r>
          </w:p>
        </w:tc>
        <w:tc>
          <w:tcPr>
            <w:tcW w:w="1101" w:type="dxa"/>
            <w:shd w:val="clear" w:color="auto" w:fill="auto"/>
            <w:noWrap/>
            <w:vAlign w:val="center"/>
            <w:hideMark/>
          </w:tcPr>
          <w:p w14:paraId="51C0F0F7" w14:textId="77777777" w:rsidR="00FF2D7F" w:rsidRPr="00FF2D7F" w:rsidRDefault="00FF2D7F" w:rsidP="00FF2D7F">
            <w:pPr>
              <w:spacing w:after="0"/>
              <w:ind w:left="0" w:hanging="2"/>
              <w:jc w:val="center"/>
              <w:rPr>
                <w:rFonts w:ascii="Arial" w:eastAsia="Times New Roman" w:hAnsi="Arial" w:cs="Arial"/>
                <w:color w:val="000000"/>
                <w:sz w:val="16"/>
                <w:szCs w:val="16"/>
                <w:lang w:val="en-GB"/>
              </w:rPr>
            </w:pPr>
            <w:r w:rsidRPr="00FF2D7F">
              <w:rPr>
                <w:rFonts w:ascii="Arial" w:eastAsia="Times New Roman" w:hAnsi="Arial" w:cs="Arial"/>
                <w:color w:val="000000"/>
                <w:sz w:val="16"/>
                <w:szCs w:val="16"/>
                <w:lang w:val="en-GB"/>
              </w:rPr>
              <w:t>28.00</w:t>
            </w:r>
          </w:p>
        </w:tc>
        <w:tc>
          <w:tcPr>
            <w:tcW w:w="1010" w:type="dxa"/>
            <w:shd w:val="clear" w:color="auto" w:fill="auto"/>
            <w:noWrap/>
            <w:vAlign w:val="center"/>
            <w:hideMark/>
          </w:tcPr>
          <w:p w14:paraId="71E9144F" w14:textId="77777777" w:rsidR="00FF2D7F" w:rsidRPr="00FF2D7F" w:rsidRDefault="00FF2D7F" w:rsidP="00FF2D7F">
            <w:pPr>
              <w:spacing w:after="0"/>
              <w:ind w:left="0" w:hanging="2"/>
              <w:jc w:val="center"/>
              <w:rPr>
                <w:rFonts w:ascii="Arial" w:eastAsia="Times New Roman" w:hAnsi="Arial" w:cs="Arial"/>
                <w:color w:val="000000"/>
                <w:sz w:val="16"/>
                <w:szCs w:val="16"/>
                <w:lang w:val="en-GB"/>
              </w:rPr>
            </w:pPr>
            <w:r w:rsidRPr="00FF2D7F">
              <w:rPr>
                <w:rFonts w:ascii="Arial" w:eastAsia="Times New Roman" w:hAnsi="Arial" w:cs="Arial"/>
                <w:color w:val="000000"/>
                <w:sz w:val="16"/>
                <w:szCs w:val="16"/>
                <w:lang w:val="en-GB"/>
              </w:rPr>
              <w:t>30.00</w:t>
            </w:r>
          </w:p>
        </w:tc>
      </w:tr>
      <w:tr w:rsidR="00FF2D7F" w:rsidRPr="00FF2D7F" w14:paraId="50C18967" w14:textId="77777777" w:rsidTr="00126FBD">
        <w:trPr>
          <w:trHeight w:val="300"/>
          <w:jc w:val="center"/>
        </w:trPr>
        <w:tc>
          <w:tcPr>
            <w:tcW w:w="1178" w:type="dxa"/>
            <w:vMerge/>
            <w:vAlign w:val="center"/>
            <w:hideMark/>
          </w:tcPr>
          <w:p w14:paraId="138438AB" w14:textId="77777777" w:rsidR="00FF2D7F" w:rsidRPr="00FF2D7F" w:rsidRDefault="00FF2D7F" w:rsidP="00FF2D7F">
            <w:pPr>
              <w:spacing w:after="0"/>
              <w:ind w:left="0" w:hanging="2"/>
              <w:rPr>
                <w:rFonts w:ascii="Arial" w:eastAsia="Times New Roman" w:hAnsi="Arial" w:cs="Arial"/>
                <w:color w:val="000000"/>
                <w:sz w:val="16"/>
                <w:szCs w:val="16"/>
                <w:lang w:val="en-GB"/>
              </w:rPr>
            </w:pPr>
          </w:p>
        </w:tc>
        <w:tc>
          <w:tcPr>
            <w:tcW w:w="904" w:type="dxa"/>
            <w:shd w:val="clear" w:color="auto" w:fill="auto"/>
            <w:vAlign w:val="center"/>
            <w:hideMark/>
          </w:tcPr>
          <w:p w14:paraId="527EC1B3" w14:textId="77777777" w:rsidR="00FF2D7F" w:rsidRPr="00FF2D7F" w:rsidRDefault="00FF2D7F" w:rsidP="00FF2D7F">
            <w:pPr>
              <w:spacing w:after="0"/>
              <w:ind w:left="0" w:hanging="2"/>
              <w:jc w:val="center"/>
              <w:rPr>
                <w:rFonts w:ascii="Arial" w:eastAsia="Times New Roman" w:hAnsi="Arial" w:cs="Arial"/>
                <w:color w:val="000000"/>
                <w:sz w:val="16"/>
                <w:szCs w:val="16"/>
                <w:lang w:val="en-GB"/>
              </w:rPr>
            </w:pPr>
            <w:r w:rsidRPr="00FF2D7F">
              <w:rPr>
                <w:rFonts w:ascii="Arial" w:eastAsia="Times New Roman" w:hAnsi="Arial" w:cs="Arial"/>
                <w:color w:val="000000"/>
                <w:sz w:val="16"/>
                <w:szCs w:val="16"/>
                <w:lang w:val="en-GB"/>
              </w:rPr>
              <w:t>S03</w:t>
            </w:r>
          </w:p>
        </w:tc>
        <w:tc>
          <w:tcPr>
            <w:tcW w:w="1101" w:type="dxa"/>
            <w:shd w:val="clear" w:color="auto" w:fill="auto"/>
            <w:noWrap/>
            <w:vAlign w:val="center"/>
            <w:hideMark/>
          </w:tcPr>
          <w:p w14:paraId="63D9D81A" w14:textId="77777777" w:rsidR="00FF2D7F" w:rsidRPr="00FF2D7F" w:rsidRDefault="00FF2D7F" w:rsidP="00FF2D7F">
            <w:pPr>
              <w:spacing w:after="0"/>
              <w:ind w:left="0" w:hanging="2"/>
              <w:jc w:val="center"/>
              <w:rPr>
                <w:rFonts w:ascii="Arial" w:eastAsia="Times New Roman" w:hAnsi="Arial" w:cs="Arial"/>
                <w:color w:val="000000"/>
                <w:sz w:val="16"/>
                <w:szCs w:val="16"/>
                <w:lang w:val="en-GB"/>
              </w:rPr>
            </w:pPr>
            <w:r w:rsidRPr="00FF2D7F">
              <w:rPr>
                <w:rFonts w:ascii="Arial" w:eastAsia="Times New Roman" w:hAnsi="Arial" w:cs="Arial"/>
                <w:color w:val="000000"/>
                <w:sz w:val="16"/>
                <w:szCs w:val="16"/>
                <w:lang w:val="en-GB"/>
              </w:rPr>
              <w:t>28.00</w:t>
            </w:r>
          </w:p>
        </w:tc>
        <w:tc>
          <w:tcPr>
            <w:tcW w:w="1010" w:type="dxa"/>
            <w:shd w:val="clear" w:color="auto" w:fill="auto"/>
            <w:noWrap/>
            <w:vAlign w:val="center"/>
            <w:hideMark/>
          </w:tcPr>
          <w:p w14:paraId="374442C0" w14:textId="77777777" w:rsidR="00FF2D7F" w:rsidRPr="00FF2D7F" w:rsidRDefault="00FF2D7F" w:rsidP="00FF2D7F">
            <w:pPr>
              <w:spacing w:after="0"/>
              <w:ind w:left="0" w:hanging="2"/>
              <w:jc w:val="center"/>
              <w:rPr>
                <w:rFonts w:ascii="Arial" w:eastAsia="Times New Roman" w:hAnsi="Arial" w:cs="Arial"/>
                <w:color w:val="000000"/>
                <w:sz w:val="16"/>
                <w:szCs w:val="16"/>
                <w:lang w:val="en-GB"/>
              </w:rPr>
            </w:pPr>
            <w:r w:rsidRPr="00FF2D7F">
              <w:rPr>
                <w:rFonts w:ascii="Arial" w:eastAsia="Times New Roman" w:hAnsi="Arial" w:cs="Arial"/>
                <w:color w:val="000000"/>
                <w:sz w:val="16"/>
                <w:szCs w:val="16"/>
                <w:lang w:val="en-GB"/>
              </w:rPr>
              <w:t>29.00</w:t>
            </w:r>
          </w:p>
        </w:tc>
      </w:tr>
    </w:tbl>
    <w:p w14:paraId="79172442" w14:textId="77777777" w:rsidR="002F2302" w:rsidRDefault="002F2302" w:rsidP="002F2302">
      <w:pPr>
        <w:ind w:left="0" w:hanging="2"/>
      </w:pPr>
    </w:p>
    <w:p w14:paraId="5DC50567" w14:textId="77777777" w:rsidR="002F2302" w:rsidRDefault="002F2302" w:rsidP="002F2302">
      <w:pPr>
        <w:ind w:left="0" w:hanging="2"/>
      </w:pPr>
    </w:p>
    <w:p w14:paraId="7A525C94" w14:textId="77777777" w:rsidR="002F2302" w:rsidRDefault="002F2302" w:rsidP="002F2302">
      <w:pPr>
        <w:ind w:left="0" w:hanging="2"/>
      </w:pPr>
    </w:p>
    <w:p w14:paraId="2D7CA290" w14:textId="77777777" w:rsidR="002F2302" w:rsidRDefault="002F2302" w:rsidP="002F2302">
      <w:pPr>
        <w:ind w:left="0" w:hanging="2"/>
      </w:pPr>
    </w:p>
    <w:p w14:paraId="281397BC" w14:textId="77777777" w:rsidR="002F2302" w:rsidRDefault="002F2302" w:rsidP="002F2302">
      <w:pPr>
        <w:ind w:left="0" w:hanging="2"/>
      </w:pPr>
    </w:p>
    <w:p w14:paraId="2554E1C3" w14:textId="77777777" w:rsidR="002F2302" w:rsidRDefault="002F2302" w:rsidP="002F2302">
      <w:pPr>
        <w:ind w:left="0" w:hanging="2"/>
      </w:pPr>
    </w:p>
    <w:p w14:paraId="0C5AA2AD" w14:textId="12B0CC89" w:rsidR="003B18E3" w:rsidRDefault="00FF2D7F" w:rsidP="002F2302">
      <w:pPr>
        <w:spacing w:after="0" w:line="240" w:lineRule="auto"/>
        <w:ind w:left="0" w:hanging="2"/>
        <w:jc w:val="both"/>
        <w:rPr>
          <w:rFonts w:ascii="Arial" w:eastAsia="Arial" w:hAnsi="Arial" w:cs="Arial"/>
          <w:color w:val="1F4E79"/>
          <w:sz w:val="20"/>
          <w:szCs w:val="20"/>
        </w:rPr>
      </w:pPr>
      <w:r>
        <w:rPr>
          <w:rFonts w:ascii="Arial" w:eastAsia="Arial" w:hAnsi="Arial" w:cs="Arial"/>
          <w:b/>
          <w:color w:val="1F4E79"/>
          <w:sz w:val="20"/>
          <w:szCs w:val="20"/>
        </w:rPr>
        <w:t>The Governing Equation</w:t>
      </w:r>
    </w:p>
    <w:p w14:paraId="35F88E9A" w14:textId="1D5C708A" w:rsidR="00FF2D7F" w:rsidRDefault="00FF2D7F" w:rsidP="00363742">
      <w:pPr>
        <w:spacing w:after="0" w:line="240" w:lineRule="auto"/>
        <w:ind w:leftChars="0" w:left="0" w:firstLineChars="0" w:firstLine="720"/>
        <w:jc w:val="both"/>
        <w:rPr>
          <w:rFonts w:ascii="Arial" w:eastAsia="Arial" w:hAnsi="Arial" w:cs="Arial"/>
          <w:sz w:val="20"/>
          <w:szCs w:val="20"/>
        </w:rPr>
      </w:pPr>
      <w:r w:rsidRPr="00FF2D7F">
        <w:rPr>
          <w:rFonts w:ascii="Arial" w:eastAsia="Arial" w:hAnsi="Arial" w:cs="Arial"/>
          <w:sz w:val="20"/>
          <w:szCs w:val="20"/>
        </w:rPr>
        <w:t xml:space="preserve">Pollutant transport is formulated using the Advection-Dispersion Equation (ADE), with each reaction derived from the parameters considered </w:t>
      </w:r>
      <w:sdt>
        <w:sdtPr>
          <w:rPr>
            <w:rFonts w:ascii="Arial" w:eastAsia="Arial" w:hAnsi="Arial" w:cs="Arial"/>
            <w:color w:val="000000"/>
            <w:sz w:val="20"/>
            <w:szCs w:val="20"/>
          </w:rPr>
          <w:tag w:val="MENDELEY_CITATION_v3_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"/>
          <w:id w:val="1035848187"/>
          <w:placeholder>
            <w:docPart w:val="DefaultPlaceholder_-1854013440"/>
          </w:placeholder>
        </w:sdtPr>
        <w:sdtContent>
          <w:r w:rsidR="008743B1" w:rsidRPr="008743B1">
            <w:rPr>
              <w:rFonts w:ascii="Arial" w:eastAsia="Arial" w:hAnsi="Arial" w:cs="Arial"/>
              <w:color w:val="000000"/>
              <w:sz w:val="20"/>
              <w:szCs w:val="20"/>
            </w:rPr>
            <w:t>[16], [17]</w:t>
          </w:r>
        </w:sdtContent>
      </w:sdt>
      <w:r w:rsidRPr="00FF2D7F">
        <w:rPr>
          <w:rFonts w:ascii="Arial" w:eastAsia="Arial" w:hAnsi="Arial" w:cs="Arial"/>
          <w:sz w:val="20"/>
          <w:szCs w:val="20"/>
        </w:rPr>
        <w:t xml:space="preserve">. ADE for heavy metals parameters can be seen in Equation (1). </w:t>
      </w:r>
    </w:p>
    <w:tbl>
      <w:tblPr>
        <w:tblStyle w:val="TableGrid"/>
        <w:tblW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425"/>
        <w:gridCol w:w="714"/>
      </w:tblGrid>
      <w:tr w:rsidR="0015406A" w14:paraId="23B22D5C" w14:textId="77777777" w:rsidTr="00940EA7">
        <w:trPr>
          <w:trHeight w:val="340"/>
        </w:trPr>
        <w:tc>
          <w:tcPr>
            <w:tcW w:w="3256" w:type="dxa"/>
          </w:tcPr>
          <w:p w14:paraId="7D0B9DBA" w14:textId="14BDA468" w:rsidR="0015406A" w:rsidRPr="0015406A" w:rsidRDefault="00635F94" w:rsidP="00635F94">
            <w:pPr>
              <w:ind w:leftChars="0" w:left="0" w:firstLineChars="0" w:firstLine="0"/>
              <w:rPr>
                <w:rFonts w:ascii="Arial" w:eastAsia="Arial" w:hAnsi="Arial" w:cs="Arial"/>
                <w:sz w:val="18"/>
                <w:szCs w:val="18"/>
              </w:rPr>
            </w:pPr>
            <w:r>
              <w:rPr>
                <w:rFonts w:ascii="Arial" w:eastAsia="Arial" w:hAnsi="Arial" w:cs="Arial"/>
                <w:sz w:val="18"/>
                <w:szCs w:val="18"/>
              </w:rPr>
              <w:object w:dxaOrig="2740" w:dyaOrig="580" w14:anchorId="2F06CCC9">
                <v:shape id="_x0000_i1025" type="#_x0000_t75" style="width:136.9pt;height:28.7pt" o:ole="">
                  <v:imagedata r:id="rId26" o:title=""/>
                </v:shape>
                <o:OLEObject Type="Embed" ProgID="Equation.DSMT4" ShapeID="_x0000_i1025" DrawAspect="Content" ObjectID="_1793448186" r:id="rId27"/>
              </w:object>
            </w:r>
          </w:p>
        </w:tc>
        <w:tc>
          <w:tcPr>
            <w:tcW w:w="425" w:type="dxa"/>
            <w:vAlign w:val="center"/>
          </w:tcPr>
          <w:p w14:paraId="41AEE121" w14:textId="4F87FABA" w:rsidR="0015406A" w:rsidRDefault="0015406A" w:rsidP="00635F94">
            <w:pPr>
              <w:ind w:leftChars="0" w:left="0" w:firstLineChars="0" w:firstLine="0"/>
              <w:jc w:val="right"/>
              <w:rPr>
                <w:rFonts w:ascii="Arial" w:eastAsia="Arial" w:hAnsi="Arial" w:cs="Arial"/>
                <w:sz w:val="20"/>
                <w:szCs w:val="20"/>
              </w:rPr>
            </w:pPr>
          </w:p>
        </w:tc>
        <w:tc>
          <w:tcPr>
            <w:tcW w:w="714" w:type="dxa"/>
            <w:vAlign w:val="center"/>
          </w:tcPr>
          <w:p w14:paraId="6CFF92DE" w14:textId="1B202714" w:rsidR="0015406A" w:rsidRDefault="0015406A" w:rsidP="00940EA7">
            <w:pPr>
              <w:ind w:leftChars="0" w:left="0" w:firstLineChars="0" w:firstLine="0"/>
              <w:jc w:val="right"/>
              <w:rPr>
                <w:rFonts w:ascii="Arial" w:eastAsia="Arial" w:hAnsi="Arial" w:cs="Arial"/>
                <w:sz w:val="20"/>
                <w:szCs w:val="20"/>
              </w:rPr>
            </w:pPr>
            <w:r>
              <w:rPr>
                <w:rFonts w:ascii="Arial" w:eastAsia="Arial" w:hAnsi="Arial" w:cs="Arial"/>
                <w:sz w:val="20"/>
                <w:szCs w:val="20"/>
              </w:rPr>
              <w:t>(1)</w:t>
            </w:r>
          </w:p>
        </w:tc>
      </w:tr>
    </w:tbl>
    <w:p w14:paraId="20355E41" w14:textId="47A55250" w:rsidR="00FF2D7F" w:rsidRPr="00FF2D7F" w:rsidRDefault="00FF2D7F" w:rsidP="002F2302">
      <w:pPr>
        <w:spacing w:before="240" w:after="0" w:line="240" w:lineRule="auto"/>
        <w:ind w:left="0" w:hanging="2"/>
        <w:jc w:val="both"/>
        <w:rPr>
          <w:rFonts w:ascii="Arial" w:eastAsia="Arial" w:hAnsi="Arial" w:cs="Arial"/>
          <w:sz w:val="20"/>
          <w:szCs w:val="20"/>
        </w:rPr>
      </w:pPr>
      <w:r w:rsidRPr="00FF2D7F">
        <w:rPr>
          <w:rFonts w:ascii="Arial" w:eastAsia="Arial" w:hAnsi="Arial" w:cs="Arial"/>
          <w:sz w:val="20"/>
          <w:szCs w:val="20"/>
        </w:rPr>
        <w:t xml:space="preserve">Where: </w:t>
      </w:r>
    </w:p>
    <w:p w14:paraId="1A21B555" w14:textId="3EBB7FF2" w:rsidR="00FF2D7F" w:rsidRPr="00FF2D7F" w:rsidRDefault="00000000" w:rsidP="000C1E0F">
      <w:pPr>
        <w:spacing w:after="0"/>
        <w:ind w:left="0" w:hanging="2"/>
        <w:jc w:val="both"/>
        <w:rPr>
          <w:rFonts w:ascii="Arial" w:eastAsia="Arial" w:hAnsi="Arial" w:cs="Arial"/>
          <w:sz w:val="20"/>
          <w:szCs w:val="20"/>
        </w:rPr>
      </w:pPr>
      <m:oMath>
        <m:sSub>
          <m:sSubPr>
            <m:ctrlPr>
              <w:rPr>
                <w:rFonts w:ascii="Cambria Math" w:eastAsia="Arial" w:hAnsi="Cambria Math" w:cs="Arial"/>
                <w:i/>
                <w:sz w:val="20"/>
                <w:szCs w:val="20"/>
              </w:rPr>
            </m:ctrlPr>
          </m:sSubPr>
          <m:e>
            <m:r>
              <w:rPr>
                <w:rFonts w:ascii="Cambria Math" w:eastAsia="Arial" w:hAnsi="Cambria Math" w:cs="Arial"/>
                <w:sz w:val="20"/>
                <w:szCs w:val="20"/>
              </w:rPr>
              <m:t>C</m:t>
            </m:r>
          </m:e>
          <m:sub>
            <m:r>
              <w:rPr>
                <w:rFonts w:ascii="Cambria Math" w:eastAsia="Arial" w:hAnsi="Cambria Math" w:cs="Arial"/>
                <w:sz w:val="20"/>
                <w:szCs w:val="20"/>
              </w:rPr>
              <m:t>u</m:t>
            </m:r>
          </m:sub>
        </m:sSub>
      </m:oMath>
      <w:r w:rsidR="00FF2D7F" w:rsidRPr="00FF2D7F">
        <w:rPr>
          <w:rFonts w:ascii="Arial" w:eastAsia="Arial" w:hAnsi="Arial" w:cs="Arial"/>
          <w:sz w:val="20"/>
          <w:szCs w:val="20"/>
        </w:rPr>
        <w:tab/>
        <w:t>: Copper’s concentration (mg/L)</w:t>
      </w:r>
    </w:p>
    <w:p w14:paraId="18C7045E" w14:textId="0AA37275" w:rsidR="000C1E0F" w:rsidRDefault="00000000" w:rsidP="000C1E0F">
      <w:pPr>
        <w:spacing w:after="0"/>
        <w:ind w:left="0" w:hanging="2"/>
        <w:jc w:val="both"/>
        <w:rPr>
          <w:rFonts w:ascii="Arial" w:eastAsia="Arial" w:hAnsi="Arial" w:cs="Arial"/>
          <w:sz w:val="20"/>
          <w:szCs w:val="20"/>
        </w:rPr>
      </w:pPr>
      <m:oMath>
        <m:sSub>
          <m:sSubPr>
            <m:ctrlPr>
              <w:rPr>
                <w:rFonts w:ascii="Cambria Math" w:eastAsia="Arial" w:hAnsi="Cambria Math" w:cs="Arial"/>
                <w:i/>
                <w:sz w:val="20"/>
                <w:szCs w:val="20"/>
              </w:rPr>
            </m:ctrlPr>
          </m:sSubPr>
          <m:e>
            <m:r>
              <w:rPr>
                <w:rFonts w:ascii="Cambria Math" w:eastAsia="Arial" w:hAnsi="Cambria Math" w:cs="Arial"/>
                <w:sz w:val="20"/>
                <w:szCs w:val="20"/>
              </w:rPr>
              <m:t>u</m:t>
            </m:r>
          </m:e>
          <m:sub>
            <m:r>
              <w:rPr>
                <w:rFonts w:ascii="Cambria Math" w:eastAsia="Arial" w:hAnsi="Cambria Math" w:cs="Arial"/>
                <w:sz w:val="20"/>
                <w:szCs w:val="20"/>
              </w:rPr>
              <m:t>x</m:t>
            </m:r>
          </m:sub>
        </m:sSub>
      </m:oMath>
      <w:r w:rsidR="00FF2D7F" w:rsidRPr="00FF2D7F">
        <w:rPr>
          <w:rFonts w:ascii="Arial" w:eastAsia="Arial" w:hAnsi="Arial" w:cs="Arial"/>
          <w:sz w:val="20"/>
          <w:szCs w:val="20"/>
        </w:rPr>
        <w:tab/>
        <w:t>: Advection term (m/s)</w:t>
      </w:r>
    </w:p>
    <w:p w14:paraId="2BABA642" w14:textId="129E25D5" w:rsidR="00FF2D7F" w:rsidRPr="00FF2D7F" w:rsidRDefault="00000000" w:rsidP="000C1E0F">
      <w:pPr>
        <w:spacing w:after="0" w:line="240" w:lineRule="auto"/>
        <w:ind w:left="0" w:hanging="2"/>
        <w:jc w:val="both"/>
        <w:rPr>
          <w:rFonts w:ascii="Arial" w:eastAsia="Arial" w:hAnsi="Arial" w:cs="Arial"/>
          <w:sz w:val="20"/>
          <w:szCs w:val="20"/>
        </w:rPr>
      </w:pPr>
      <m:oMath>
        <m:sSub>
          <m:sSubPr>
            <m:ctrlPr>
              <w:rPr>
                <w:rFonts w:ascii="Cambria Math" w:eastAsia="Arial" w:hAnsi="Cambria Math" w:cs="Arial"/>
                <w:i/>
                <w:sz w:val="20"/>
                <w:szCs w:val="20"/>
              </w:rPr>
            </m:ctrlPr>
          </m:sSubPr>
          <m:e>
            <m:r>
              <w:rPr>
                <w:rFonts w:ascii="Cambria Math" w:eastAsia="Arial" w:hAnsi="Cambria Math" w:cs="Arial"/>
                <w:sz w:val="20"/>
                <w:szCs w:val="20"/>
              </w:rPr>
              <m:t>E</m:t>
            </m:r>
          </m:e>
          <m:sub>
            <m:r>
              <w:rPr>
                <w:rFonts w:ascii="Cambria Math" w:eastAsia="Arial" w:hAnsi="Cambria Math" w:cs="Arial"/>
                <w:sz w:val="20"/>
                <w:szCs w:val="20"/>
              </w:rPr>
              <m:t>x</m:t>
            </m:r>
          </m:sub>
        </m:sSub>
      </m:oMath>
      <w:r w:rsidR="000C1E0F">
        <w:rPr>
          <w:rFonts w:ascii="Arial" w:eastAsia="Arial" w:hAnsi="Arial" w:cs="Arial"/>
          <w:sz w:val="20"/>
          <w:szCs w:val="20"/>
        </w:rPr>
        <w:tab/>
      </w:r>
      <w:r w:rsidR="00FF2D7F" w:rsidRPr="00FF2D7F">
        <w:rPr>
          <w:rFonts w:ascii="Arial" w:eastAsia="Arial" w:hAnsi="Arial" w:cs="Arial"/>
          <w:sz w:val="20"/>
          <w:szCs w:val="20"/>
        </w:rPr>
        <w:t>: Dispersion coefficient (m/s</w:t>
      </w:r>
      <w:r w:rsidR="00FF2D7F" w:rsidRPr="000C1E0F">
        <w:rPr>
          <w:rFonts w:ascii="Arial" w:eastAsia="Arial" w:hAnsi="Arial" w:cs="Arial"/>
          <w:sz w:val="20"/>
          <w:szCs w:val="20"/>
          <w:vertAlign w:val="superscript"/>
        </w:rPr>
        <w:t>2</w:t>
      </w:r>
      <w:r w:rsidR="00FF2D7F" w:rsidRPr="00FF2D7F">
        <w:rPr>
          <w:rFonts w:ascii="Arial" w:eastAsia="Arial" w:hAnsi="Arial" w:cs="Arial"/>
          <w:sz w:val="20"/>
          <w:szCs w:val="20"/>
        </w:rPr>
        <w:t>)</w:t>
      </w:r>
    </w:p>
    <w:p w14:paraId="73160226" w14:textId="62F1E221" w:rsidR="00FF2D7F" w:rsidRPr="00FF2D7F" w:rsidRDefault="000C1E0F" w:rsidP="000C1E0F">
      <w:pPr>
        <w:spacing w:after="0"/>
        <w:ind w:left="0" w:hanging="2"/>
        <w:jc w:val="both"/>
        <w:rPr>
          <w:rFonts w:ascii="Arial" w:eastAsia="Arial" w:hAnsi="Arial" w:cs="Arial"/>
          <w:sz w:val="20"/>
          <w:szCs w:val="20"/>
        </w:rPr>
      </w:pPr>
      <w:r>
        <w:rPr>
          <w:rFonts w:ascii="Arial" w:eastAsia="Arial" w:hAnsi="Arial" w:cs="Arial"/>
          <w:sz w:val="20"/>
          <w:szCs w:val="20"/>
        </w:rPr>
        <w:tab/>
      </w:r>
      <m:oMath>
        <m:r>
          <w:rPr>
            <w:rFonts w:ascii="Cambria Math" w:eastAsia="Arial" w:hAnsi="Cambria Math" w:cs="Arial"/>
            <w:sz w:val="20"/>
            <w:szCs w:val="20"/>
          </w:rPr>
          <m:t>α</m:t>
        </m:r>
      </m:oMath>
      <w:r w:rsidR="00635F94">
        <w:rPr>
          <w:rFonts w:ascii="Arial" w:eastAsia="Arial" w:hAnsi="Arial" w:cs="Arial"/>
          <w:sz w:val="20"/>
          <w:szCs w:val="20"/>
        </w:rPr>
        <w:tab/>
      </w:r>
      <w:r w:rsidR="00FF2D7F" w:rsidRPr="00FF2D7F">
        <w:rPr>
          <w:rFonts w:ascii="Arial" w:eastAsia="Arial" w:hAnsi="Arial" w:cs="Arial"/>
          <w:sz w:val="20"/>
          <w:szCs w:val="20"/>
        </w:rPr>
        <w:t>: Settling coefficient for copper (day</w:t>
      </w:r>
      <w:r w:rsidR="00FF2D7F" w:rsidRPr="000C1E0F">
        <w:rPr>
          <w:rFonts w:ascii="Arial" w:eastAsia="Arial" w:hAnsi="Arial" w:cs="Arial"/>
          <w:sz w:val="20"/>
          <w:szCs w:val="20"/>
          <w:vertAlign w:val="superscript"/>
        </w:rPr>
        <w:t>-1</w:t>
      </w:r>
      <w:r w:rsidR="00FF2D7F" w:rsidRPr="00FF2D7F">
        <w:rPr>
          <w:rFonts w:ascii="Arial" w:eastAsia="Arial" w:hAnsi="Arial" w:cs="Arial"/>
          <w:sz w:val="20"/>
          <w:szCs w:val="20"/>
        </w:rPr>
        <w:t>)</w:t>
      </w:r>
    </w:p>
    <w:p w14:paraId="32FB9949" w14:textId="505C8879" w:rsidR="00F94593" w:rsidRDefault="00FF2D7F" w:rsidP="00F94593">
      <w:pPr>
        <w:spacing w:after="0" w:line="240" w:lineRule="auto"/>
        <w:ind w:leftChars="0" w:left="0" w:firstLineChars="0" w:firstLine="720"/>
        <w:jc w:val="both"/>
        <w:rPr>
          <w:rFonts w:ascii="Arial" w:eastAsia="Arial" w:hAnsi="Arial" w:cs="Arial"/>
          <w:sz w:val="20"/>
          <w:szCs w:val="20"/>
        </w:rPr>
      </w:pPr>
      <w:r w:rsidRPr="00FF2D7F">
        <w:rPr>
          <w:rFonts w:ascii="Arial" w:eastAsia="Arial" w:hAnsi="Arial" w:cs="Arial"/>
          <w:sz w:val="20"/>
          <w:szCs w:val="20"/>
        </w:rPr>
        <w:t xml:space="preserve">Heavy metal parameters do not decompose like other organic parameters. Heavy metals in the flow can be found in two phases: the dissolved and deposited phases. Sedimentation and erosion processes in channels are the main causes of phase changes experienced by heavy metals parameters. When wastewater containing heavy metals enters a river flow, these parameters will first be found in the dissolved phase. As the flow progresses, heavy metal particles will be absorbed by sediment and sedimented at the bottom of the channel. Heavy metal particles that have been sedimented will be able to return to the dissolved phase if channel erosion occurs. Channel erosion will cause flow fluctuations, releasing heavy metal particles from the sediment back to a dissolved state. This process </w:t>
      </w:r>
      <w:r w:rsidR="006A039D">
        <w:rPr>
          <w:rFonts w:ascii="Arial" w:eastAsia="Arial" w:hAnsi="Arial" w:cs="Arial"/>
          <w:sz w:val="20"/>
          <w:szCs w:val="20"/>
        </w:rPr>
        <w:t>has</w:t>
      </w:r>
      <w:r w:rsidRPr="00FF2D7F">
        <w:rPr>
          <w:rFonts w:ascii="Arial" w:eastAsia="Arial" w:hAnsi="Arial" w:cs="Arial"/>
          <w:sz w:val="20"/>
          <w:szCs w:val="20"/>
        </w:rPr>
        <w:t xml:space="preserve"> be</w:t>
      </w:r>
      <w:r w:rsidR="006A039D">
        <w:rPr>
          <w:rFonts w:ascii="Arial" w:eastAsia="Arial" w:hAnsi="Arial" w:cs="Arial"/>
          <w:sz w:val="20"/>
          <w:szCs w:val="20"/>
        </w:rPr>
        <w:t>en</w:t>
      </w:r>
      <w:r w:rsidRPr="00FF2D7F">
        <w:rPr>
          <w:rFonts w:ascii="Arial" w:eastAsia="Arial" w:hAnsi="Arial" w:cs="Arial"/>
          <w:sz w:val="20"/>
          <w:szCs w:val="20"/>
        </w:rPr>
        <w:t xml:space="preserve"> modelled </w:t>
      </w:r>
      <w:r w:rsidR="006A039D">
        <w:rPr>
          <w:rFonts w:ascii="Arial" w:eastAsia="Arial" w:hAnsi="Arial" w:cs="Arial"/>
          <w:sz w:val="20"/>
          <w:szCs w:val="20"/>
        </w:rPr>
        <w:t xml:space="preserve">by </w:t>
      </w:r>
      <w:sdt>
        <w:sdtPr>
          <w:rPr>
            <w:rFonts w:ascii="Arial" w:eastAsia="Arial" w:hAnsi="Arial" w:cs="Arial"/>
            <w:color w:val="000000"/>
            <w:sz w:val="20"/>
            <w:szCs w:val="20"/>
          </w:rPr>
          <w:tag w:val="MENDELEY_CITATION_v3_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"/>
          <w:id w:val="-1273474181"/>
          <w:placeholder>
            <w:docPart w:val="DefaultPlaceholder_-1854013440"/>
          </w:placeholder>
        </w:sdtPr>
        <w:sdtContent>
          <w:r w:rsidR="008743B1" w:rsidRPr="008743B1">
            <w:rPr>
              <w:rFonts w:ascii="Arial" w:eastAsia="Arial" w:hAnsi="Arial" w:cs="Arial"/>
              <w:color w:val="000000"/>
              <w:sz w:val="20"/>
              <w:szCs w:val="20"/>
            </w:rPr>
            <w:t>[18]</w:t>
          </w:r>
        </w:sdtContent>
      </w:sdt>
      <w:r w:rsidR="006A039D">
        <w:rPr>
          <w:rFonts w:ascii="Arial" w:eastAsia="Arial" w:hAnsi="Arial" w:cs="Arial"/>
          <w:color w:val="000000"/>
          <w:sz w:val="20"/>
          <w:szCs w:val="20"/>
        </w:rPr>
        <w:t xml:space="preserve"> </w:t>
      </w:r>
      <w:r w:rsidRPr="00FF2D7F">
        <w:rPr>
          <w:rFonts w:ascii="Arial" w:eastAsia="Arial" w:hAnsi="Arial" w:cs="Arial"/>
          <w:sz w:val="20"/>
          <w:szCs w:val="20"/>
        </w:rPr>
        <w:t xml:space="preserve">using a </w:t>
      </w:r>
      <w:r w:rsidR="006A039D">
        <w:rPr>
          <w:rFonts w:ascii="Arial" w:eastAsia="Arial" w:hAnsi="Arial" w:cs="Arial"/>
          <w:sz w:val="20"/>
          <w:szCs w:val="20"/>
        </w:rPr>
        <w:t>constant</w:t>
      </w:r>
      <w:r w:rsidRPr="00FF2D7F">
        <w:rPr>
          <w:rFonts w:ascii="Arial" w:eastAsia="Arial" w:hAnsi="Arial" w:cs="Arial"/>
          <w:sz w:val="20"/>
          <w:szCs w:val="20"/>
        </w:rPr>
        <w:t xml:space="preserve"> that describes the settling coefficient of the heavy metal particles concerned</w:t>
      </w:r>
      <w:r w:rsidR="006A039D">
        <w:rPr>
          <w:rFonts w:ascii="Arial" w:eastAsia="Arial" w:hAnsi="Arial" w:cs="Arial"/>
          <w:sz w:val="20"/>
          <w:szCs w:val="20"/>
        </w:rPr>
        <w:t xml:space="preserve"> </w:t>
      </w:r>
      <w:sdt>
        <w:sdtPr>
          <w:rPr>
            <w:rFonts w:ascii="Arial" w:eastAsia="Arial" w:hAnsi="Arial" w:cs="Arial"/>
            <w:color w:val="000000"/>
            <w:sz w:val="20"/>
            <w:szCs w:val="20"/>
          </w:rPr>
          <w:tag w:val="MENDELEY_CITATION_v3_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"/>
          <w:id w:val="-1744326797"/>
          <w:placeholder>
            <w:docPart w:val="DefaultPlaceholder_-1854013440"/>
          </w:placeholder>
        </w:sdtPr>
        <w:sdtContent>
          <w:r w:rsidR="008743B1" w:rsidRPr="008743B1">
            <w:rPr>
              <w:rFonts w:ascii="Arial" w:eastAsia="Arial" w:hAnsi="Arial" w:cs="Arial"/>
              <w:color w:val="000000"/>
              <w:sz w:val="20"/>
              <w:szCs w:val="20"/>
            </w:rPr>
            <w:t>[19]</w:t>
          </w:r>
        </w:sdtContent>
      </w:sdt>
      <w:r w:rsidRPr="00FF2D7F">
        <w:rPr>
          <w:rFonts w:ascii="Arial" w:eastAsia="Arial" w:hAnsi="Arial" w:cs="Arial"/>
          <w:sz w:val="20"/>
          <w:szCs w:val="20"/>
        </w:rPr>
        <w:t>. The settling coefficient values of the heavy metal parameters will be estimated during the calibration and verification process.</w:t>
      </w:r>
      <w:r>
        <w:rPr>
          <w:rFonts w:ascii="Arial" w:eastAsia="Arial" w:hAnsi="Arial" w:cs="Arial"/>
          <w:sz w:val="20"/>
          <w:szCs w:val="20"/>
        </w:rPr>
        <w:t xml:space="preserve"> </w:t>
      </w:r>
    </w:p>
    <w:p w14:paraId="31CF04CE" w14:textId="77777777" w:rsidR="002F2302" w:rsidRDefault="002F2302" w:rsidP="00F94593">
      <w:pPr>
        <w:spacing w:after="0" w:line="240" w:lineRule="auto"/>
        <w:ind w:leftChars="0" w:left="0" w:firstLineChars="0" w:firstLine="720"/>
        <w:jc w:val="both"/>
        <w:rPr>
          <w:rFonts w:ascii="Arial" w:eastAsia="Arial" w:hAnsi="Arial" w:cs="Arial"/>
          <w:sz w:val="20"/>
          <w:szCs w:val="20"/>
        </w:rPr>
      </w:pPr>
    </w:p>
    <w:p w14:paraId="62822384" w14:textId="25241BA0" w:rsidR="000C1E0F" w:rsidRDefault="00C920EC" w:rsidP="000C1E0F">
      <w:pPr>
        <w:spacing w:before="240" w:after="0" w:line="240" w:lineRule="auto"/>
        <w:ind w:left="0" w:hanging="2"/>
        <w:jc w:val="both"/>
        <w:rPr>
          <w:rFonts w:ascii="Arial" w:eastAsia="Arial" w:hAnsi="Arial" w:cs="Arial"/>
          <w:color w:val="1F4E79"/>
          <w:sz w:val="20"/>
          <w:szCs w:val="20"/>
        </w:rPr>
      </w:pPr>
      <w:r>
        <w:rPr>
          <w:rFonts w:ascii="Arial" w:eastAsia="Arial" w:hAnsi="Arial" w:cs="Arial"/>
          <w:b/>
          <w:color w:val="1F4E79"/>
          <w:sz w:val="20"/>
          <w:szCs w:val="20"/>
        </w:rPr>
        <w:lastRenderedPageBreak/>
        <w:t>Discretization Scheme</w:t>
      </w:r>
    </w:p>
    <w:p w14:paraId="5958F3BE" w14:textId="4AB544BA" w:rsidR="000C1E0F" w:rsidRDefault="000C1E0F" w:rsidP="00363742">
      <w:pPr>
        <w:spacing w:after="0" w:line="240" w:lineRule="auto"/>
        <w:ind w:leftChars="0" w:left="0" w:firstLineChars="0" w:firstLine="720"/>
        <w:jc w:val="both"/>
        <w:rPr>
          <w:rFonts w:ascii="Arial" w:eastAsia="Arial" w:hAnsi="Arial" w:cs="Arial"/>
          <w:sz w:val="20"/>
          <w:szCs w:val="20"/>
        </w:rPr>
        <w:sectPr w:rsidR="000C1E0F">
          <w:type w:val="continuous"/>
          <w:pgSz w:w="11907" w:h="16840"/>
          <w:pgMar w:top="1701" w:right="1134" w:bottom="1701" w:left="1701" w:header="680" w:footer="680" w:gutter="0"/>
          <w:cols w:num="2" w:space="720" w:equalWidth="0">
            <w:col w:w="4394" w:space="284"/>
            <w:col w:w="4394" w:space="0"/>
          </w:cols>
          <w:titlePg/>
        </w:sectPr>
      </w:pPr>
      <w:r w:rsidRPr="000C1E0F">
        <w:rPr>
          <w:rFonts w:ascii="Arial" w:eastAsia="Arial" w:hAnsi="Arial" w:cs="Arial"/>
          <w:sz w:val="20"/>
          <w:szCs w:val="20"/>
        </w:rPr>
        <w:t xml:space="preserve">ADE for the Copper parameter can be solved using the Runge Kutte-4 explicit </w:t>
      </w:r>
      <w:proofErr w:type="spellStart"/>
      <w:r w:rsidRPr="000C1E0F">
        <w:rPr>
          <w:rFonts w:ascii="Arial" w:eastAsia="Arial" w:hAnsi="Arial" w:cs="Arial"/>
          <w:sz w:val="20"/>
          <w:szCs w:val="20"/>
        </w:rPr>
        <w:t>discretisation</w:t>
      </w:r>
      <w:proofErr w:type="spellEnd"/>
      <w:r w:rsidRPr="000C1E0F">
        <w:rPr>
          <w:rFonts w:ascii="Arial" w:eastAsia="Arial" w:hAnsi="Arial" w:cs="Arial"/>
          <w:sz w:val="20"/>
          <w:szCs w:val="20"/>
        </w:rPr>
        <w:t xml:space="preserve"> scheme, with mathematical </w:t>
      </w:r>
      <w:r w:rsidRPr="000C1E0F">
        <w:rPr>
          <w:rFonts w:ascii="Arial" w:eastAsia="Arial" w:hAnsi="Arial" w:cs="Arial"/>
          <w:sz w:val="20"/>
          <w:szCs w:val="20"/>
        </w:rPr>
        <w:t xml:space="preserve">formulas written in Equation 2 to Equation 6. The Runge Kutte-4 discretization scheme is often used to solve differential equations because of its ease of computing </w:t>
      </w:r>
      <w:sdt>
        <w:sdtPr>
          <w:rPr>
            <w:rFonts w:ascii="Arial" w:eastAsia="Arial" w:hAnsi="Arial" w:cs="Arial"/>
            <w:color w:val="000000"/>
            <w:sz w:val="20"/>
            <w:szCs w:val="20"/>
          </w:rPr>
          <w:tag w:val="MENDELEY_CITATION_v3_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"/>
          <w:id w:val="-526405521"/>
          <w:placeholder>
            <w:docPart w:val="DefaultPlaceholder_-1854013440"/>
          </w:placeholder>
        </w:sdtPr>
        <w:sdtContent>
          <w:r w:rsidR="008743B1" w:rsidRPr="008743B1">
            <w:rPr>
              <w:rFonts w:ascii="Arial" w:eastAsia="Arial" w:hAnsi="Arial" w:cs="Arial"/>
              <w:color w:val="000000"/>
              <w:sz w:val="20"/>
              <w:szCs w:val="20"/>
            </w:rPr>
            <w:t>[20], [21]</w:t>
          </w:r>
        </w:sdtContent>
      </w:sdt>
      <w:r w:rsidRPr="000C1E0F">
        <w:rPr>
          <w:rFonts w:ascii="Arial" w:eastAsia="Arial" w:hAnsi="Arial" w:cs="Arial"/>
          <w:sz w:val="20"/>
          <w:szCs w:val="20"/>
        </w:rPr>
        <w:t xml:space="preserve">.  </w:t>
      </w:r>
    </w:p>
    <w:p w14:paraId="619B21E3" w14:textId="35C94FFD" w:rsidR="00635F94" w:rsidRDefault="00635F94" w:rsidP="000E13C8">
      <w:pPr>
        <w:pStyle w:val="MTDisplayEquation"/>
        <w:tabs>
          <w:tab w:val="clear" w:pos="4540"/>
        </w:tabs>
        <w:ind w:leftChars="0" w:firstLineChars="0" w:firstLine="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1"/>
        <w:gridCol w:w="461"/>
      </w:tblGrid>
      <w:tr w:rsidR="00635F94" w14:paraId="75FFC6CD" w14:textId="77777777" w:rsidTr="00940EA7">
        <w:tc>
          <w:tcPr>
            <w:tcW w:w="8642" w:type="dxa"/>
          </w:tcPr>
          <w:p w14:paraId="45F415AA" w14:textId="1EA5B9D8" w:rsidR="00635F94" w:rsidRDefault="00635F94" w:rsidP="000C1E0F">
            <w:pPr>
              <w:pStyle w:val="MTDisplayEquation"/>
              <w:tabs>
                <w:tab w:val="clear" w:pos="4540"/>
              </w:tabs>
              <w:ind w:leftChars="0" w:firstLineChars="0" w:firstLine="0"/>
            </w:pPr>
            <w:r>
              <w:object w:dxaOrig="2880" w:dyaOrig="499" w14:anchorId="48DE9923">
                <v:shape id="_x0000_i1026" type="#_x0000_t75" style="width:2in;height:24.95pt" o:ole="">
                  <v:imagedata r:id="rId28" o:title=""/>
                </v:shape>
                <o:OLEObject Type="Embed" ProgID="Equation.DSMT4" ShapeID="_x0000_i1026" DrawAspect="Content" ObjectID="_1793448187" r:id="rId29"/>
              </w:object>
            </w:r>
          </w:p>
        </w:tc>
        <w:tc>
          <w:tcPr>
            <w:tcW w:w="420" w:type="dxa"/>
            <w:vAlign w:val="center"/>
          </w:tcPr>
          <w:p w14:paraId="3FF00515" w14:textId="38B38854" w:rsidR="00635F94" w:rsidRPr="00635F94" w:rsidRDefault="00635F94" w:rsidP="00940EA7">
            <w:pPr>
              <w:pStyle w:val="MTDisplayEquation"/>
              <w:tabs>
                <w:tab w:val="clear" w:pos="4540"/>
              </w:tabs>
              <w:ind w:leftChars="0" w:firstLineChars="0" w:firstLine="0"/>
              <w:jc w:val="right"/>
              <w:rPr>
                <w:rFonts w:ascii="Arial" w:hAnsi="Arial" w:cs="Arial"/>
                <w:sz w:val="20"/>
                <w:szCs w:val="20"/>
              </w:rPr>
            </w:pPr>
            <w:r w:rsidRPr="00635F94">
              <w:rPr>
                <w:rFonts w:ascii="Arial" w:hAnsi="Arial" w:cs="Arial"/>
                <w:sz w:val="20"/>
                <w:szCs w:val="20"/>
              </w:rPr>
              <w:t>(2)</w:t>
            </w:r>
          </w:p>
        </w:tc>
      </w:tr>
      <w:tr w:rsidR="00635F94" w14:paraId="488083BC" w14:textId="77777777" w:rsidTr="00940EA7">
        <w:tc>
          <w:tcPr>
            <w:tcW w:w="8642" w:type="dxa"/>
          </w:tcPr>
          <w:p w14:paraId="707A8DF2" w14:textId="228DF193" w:rsidR="00635F94" w:rsidRDefault="00635F94" w:rsidP="000C1E0F">
            <w:pPr>
              <w:pStyle w:val="MTDisplayEquation"/>
              <w:tabs>
                <w:tab w:val="clear" w:pos="4540"/>
              </w:tabs>
              <w:ind w:leftChars="0" w:firstLineChars="0" w:firstLine="0"/>
            </w:pPr>
            <w:r>
              <w:object w:dxaOrig="4020" w:dyaOrig="520" w14:anchorId="19210372">
                <v:shape id="_x0000_i1027" type="#_x0000_t75" style="width:201pt;height:25.8pt" o:ole="">
                  <v:imagedata r:id="rId30" o:title=""/>
                </v:shape>
                <o:OLEObject Type="Embed" ProgID="Equation.DSMT4" ShapeID="_x0000_i1027" DrawAspect="Content" ObjectID="_1793448188" r:id="rId31"/>
              </w:object>
            </w:r>
          </w:p>
        </w:tc>
        <w:tc>
          <w:tcPr>
            <w:tcW w:w="420" w:type="dxa"/>
            <w:vAlign w:val="center"/>
          </w:tcPr>
          <w:p w14:paraId="28A47746" w14:textId="5BB51DA3" w:rsidR="00635F94" w:rsidRPr="00635F94" w:rsidRDefault="00635F94" w:rsidP="00940EA7">
            <w:pPr>
              <w:pStyle w:val="MTDisplayEquation"/>
              <w:tabs>
                <w:tab w:val="clear" w:pos="4540"/>
              </w:tabs>
              <w:ind w:leftChars="0" w:firstLineChars="0" w:firstLine="0"/>
              <w:jc w:val="right"/>
              <w:rPr>
                <w:rFonts w:ascii="Arial" w:hAnsi="Arial" w:cs="Arial"/>
                <w:sz w:val="20"/>
                <w:szCs w:val="20"/>
              </w:rPr>
            </w:pPr>
            <w:r w:rsidRPr="00635F94">
              <w:rPr>
                <w:rFonts w:ascii="Arial" w:hAnsi="Arial" w:cs="Arial"/>
                <w:sz w:val="20"/>
                <w:szCs w:val="20"/>
              </w:rPr>
              <w:t>(3)</w:t>
            </w:r>
          </w:p>
        </w:tc>
      </w:tr>
      <w:tr w:rsidR="00635F94" w14:paraId="7E00379C" w14:textId="77777777" w:rsidTr="00940EA7">
        <w:tc>
          <w:tcPr>
            <w:tcW w:w="8642" w:type="dxa"/>
          </w:tcPr>
          <w:p w14:paraId="054A8BD5" w14:textId="4614CB1A" w:rsidR="00635F94" w:rsidRDefault="00635F94" w:rsidP="000C1E0F">
            <w:pPr>
              <w:pStyle w:val="MTDisplayEquation"/>
              <w:tabs>
                <w:tab w:val="clear" w:pos="4540"/>
              </w:tabs>
              <w:ind w:leftChars="0" w:firstLineChars="0" w:firstLine="0"/>
            </w:pPr>
            <w:r>
              <w:object w:dxaOrig="6060" w:dyaOrig="520" w14:anchorId="201E50F7">
                <v:shape id="_x0000_i1028" type="#_x0000_t75" style="width:303pt;height:25.8pt" o:ole="">
                  <v:imagedata r:id="rId32" o:title=""/>
                </v:shape>
                <o:OLEObject Type="Embed" ProgID="Equation.DSMT4" ShapeID="_x0000_i1028" DrawAspect="Content" ObjectID="_1793448189" r:id="rId33"/>
              </w:object>
            </w:r>
          </w:p>
        </w:tc>
        <w:tc>
          <w:tcPr>
            <w:tcW w:w="420" w:type="dxa"/>
            <w:vAlign w:val="center"/>
          </w:tcPr>
          <w:p w14:paraId="17E31744" w14:textId="6013AC62" w:rsidR="00635F94" w:rsidRPr="00635F94" w:rsidRDefault="00635F94" w:rsidP="00940EA7">
            <w:pPr>
              <w:pStyle w:val="MTDisplayEquation"/>
              <w:tabs>
                <w:tab w:val="clear" w:pos="4540"/>
              </w:tabs>
              <w:ind w:leftChars="0" w:firstLineChars="0" w:firstLine="0"/>
              <w:jc w:val="right"/>
              <w:rPr>
                <w:rFonts w:ascii="Arial" w:hAnsi="Arial" w:cs="Arial"/>
                <w:sz w:val="20"/>
                <w:szCs w:val="20"/>
              </w:rPr>
            </w:pPr>
            <w:r w:rsidRPr="00635F94">
              <w:rPr>
                <w:rFonts w:ascii="Arial" w:hAnsi="Arial" w:cs="Arial"/>
                <w:sz w:val="20"/>
                <w:szCs w:val="20"/>
              </w:rPr>
              <w:t>(4)</w:t>
            </w:r>
          </w:p>
        </w:tc>
      </w:tr>
      <w:tr w:rsidR="00635F94" w14:paraId="6B5BA2E3" w14:textId="77777777" w:rsidTr="00940EA7">
        <w:tc>
          <w:tcPr>
            <w:tcW w:w="8642" w:type="dxa"/>
          </w:tcPr>
          <w:p w14:paraId="69624671" w14:textId="287C723F" w:rsidR="00635F94" w:rsidRDefault="00635F94" w:rsidP="000C1E0F">
            <w:pPr>
              <w:pStyle w:val="MTDisplayEquation"/>
              <w:tabs>
                <w:tab w:val="clear" w:pos="4540"/>
              </w:tabs>
              <w:ind w:leftChars="0" w:firstLineChars="0" w:firstLine="0"/>
            </w:pPr>
            <w:r>
              <w:object w:dxaOrig="6060" w:dyaOrig="520" w14:anchorId="59CCFFC1">
                <v:shape id="_x0000_i1029" type="#_x0000_t75" style="width:303pt;height:25.8pt" o:ole="">
                  <v:imagedata r:id="rId34" o:title=""/>
                </v:shape>
                <o:OLEObject Type="Embed" ProgID="Equation.DSMT4" ShapeID="_x0000_i1029" DrawAspect="Content" ObjectID="_1793448190" r:id="rId35"/>
              </w:object>
            </w:r>
          </w:p>
        </w:tc>
        <w:tc>
          <w:tcPr>
            <w:tcW w:w="420" w:type="dxa"/>
            <w:vAlign w:val="center"/>
          </w:tcPr>
          <w:p w14:paraId="7A35571B" w14:textId="17C24B25" w:rsidR="00635F94" w:rsidRPr="00635F94" w:rsidRDefault="00635F94" w:rsidP="00940EA7">
            <w:pPr>
              <w:pStyle w:val="MTDisplayEquation"/>
              <w:tabs>
                <w:tab w:val="clear" w:pos="4540"/>
              </w:tabs>
              <w:ind w:leftChars="0" w:firstLineChars="0" w:firstLine="0"/>
              <w:jc w:val="right"/>
              <w:rPr>
                <w:rFonts w:ascii="Arial" w:hAnsi="Arial" w:cs="Arial"/>
                <w:sz w:val="20"/>
                <w:szCs w:val="20"/>
              </w:rPr>
            </w:pPr>
            <w:r w:rsidRPr="00635F94">
              <w:rPr>
                <w:rFonts w:ascii="Arial" w:hAnsi="Arial" w:cs="Arial"/>
                <w:sz w:val="20"/>
                <w:szCs w:val="20"/>
              </w:rPr>
              <w:t>(5)</w:t>
            </w:r>
          </w:p>
        </w:tc>
      </w:tr>
      <w:tr w:rsidR="00635F94" w14:paraId="1F887B61" w14:textId="77777777" w:rsidTr="00940EA7">
        <w:tc>
          <w:tcPr>
            <w:tcW w:w="8642" w:type="dxa"/>
          </w:tcPr>
          <w:p w14:paraId="3584D6E0" w14:textId="32A9F4CF" w:rsidR="00635F94" w:rsidRDefault="00635F94" w:rsidP="000C1E0F">
            <w:pPr>
              <w:pStyle w:val="MTDisplayEquation"/>
              <w:tabs>
                <w:tab w:val="clear" w:pos="4540"/>
              </w:tabs>
              <w:ind w:leftChars="0" w:firstLineChars="0" w:firstLine="0"/>
            </w:pPr>
            <w:r>
              <w:object w:dxaOrig="5400" w:dyaOrig="520" w14:anchorId="7A1FD7E2">
                <v:shape id="_x0000_i1030" type="#_x0000_t75" style="width:270.1pt;height:25.8pt" o:ole="">
                  <v:imagedata r:id="rId36" o:title=""/>
                </v:shape>
                <o:OLEObject Type="Embed" ProgID="Equation.DSMT4" ShapeID="_x0000_i1030" DrawAspect="Content" ObjectID="_1793448191" r:id="rId37"/>
              </w:object>
            </w:r>
          </w:p>
        </w:tc>
        <w:tc>
          <w:tcPr>
            <w:tcW w:w="420" w:type="dxa"/>
            <w:vAlign w:val="center"/>
          </w:tcPr>
          <w:p w14:paraId="44342551" w14:textId="280FAE01" w:rsidR="00635F94" w:rsidRPr="00635F94" w:rsidRDefault="00635F94" w:rsidP="00940EA7">
            <w:pPr>
              <w:pStyle w:val="MTDisplayEquation"/>
              <w:tabs>
                <w:tab w:val="clear" w:pos="4540"/>
              </w:tabs>
              <w:ind w:leftChars="0" w:firstLineChars="0" w:firstLine="0"/>
              <w:jc w:val="right"/>
              <w:rPr>
                <w:rFonts w:ascii="Arial" w:hAnsi="Arial" w:cs="Arial"/>
                <w:sz w:val="20"/>
                <w:szCs w:val="20"/>
              </w:rPr>
            </w:pPr>
            <w:r w:rsidRPr="00635F94">
              <w:rPr>
                <w:rFonts w:ascii="Arial" w:hAnsi="Arial" w:cs="Arial"/>
                <w:sz w:val="20"/>
                <w:szCs w:val="20"/>
              </w:rPr>
              <w:t>(6)</w:t>
            </w:r>
          </w:p>
        </w:tc>
      </w:tr>
    </w:tbl>
    <w:p w14:paraId="6AEFDF79" w14:textId="77777777" w:rsidR="000C1E0F" w:rsidRDefault="000C1E0F" w:rsidP="00940EA7">
      <w:pPr>
        <w:spacing w:before="240" w:after="0"/>
        <w:ind w:left="0" w:hanging="2"/>
        <w:rPr>
          <w:rFonts w:ascii="Arial" w:hAnsi="Arial" w:cs="Arial"/>
          <w:sz w:val="20"/>
          <w:szCs w:val="20"/>
        </w:rPr>
      </w:pPr>
      <w:r w:rsidRPr="000C1E0F">
        <w:rPr>
          <w:rFonts w:ascii="Arial" w:hAnsi="Arial" w:cs="Arial"/>
          <w:sz w:val="20"/>
          <w:szCs w:val="20"/>
        </w:rPr>
        <w:t xml:space="preserve">Where: </w:t>
      </w:r>
    </w:p>
    <w:p w14:paraId="128B05F8" w14:textId="352AFC11" w:rsidR="00635F94" w:rsidRDefault="00635F94" w:rsidP="00635F94">
      <w:pPr>
        <w:spacing w:after="0"/>
        <w:ind w:left="0" w:hanging="2"/>
        <w:rPr>
          <w:rFonts w:ascii="Arial" w:hAnsi="Arial" w:cs="Arial"/>
          <w:sz w:val="20"/>
          <w:szCs w:val="20"/>
        </w:rPr>
      </w:pPr>
      <m:oMath>
        <m:r>
          <w:rPr>
            <w:rFonts w:ascii="Cambria Math" w:hAnsi="Cambria Math" w:cs="Arial"/>
            <w:sz w:val="20"/>
            <w:szCs w:val="20"/>
          </w:rPr>
          <m:t>C</m:t>
        </m:r>
        <m:sSubSup>
          <m:sSubSupPr>
            <m:ctrlPr>
              <w:rPr>
                <w:rFonts w:ascii="Cambria Math" w:hAnsi="Cambria Math" w:cs="Arial"/>
                <w:i/>
                <w:sz w:val="20"/>
                <w:szCs w:val="20"/>
              </w:rPr>
            </m:ctrlPr>
          </m:sSubSupPr>
          <m:e>
            <m:r>
              <w:rPr>
                <w:rFonts w:ascii="Cambria Math" w:hAnsi="Cambria Math" w:cs="Arial"/>
                <w:sz w:val="20"/>
                <w:szCs w:val="20"/>
              </w:rPr>
              <m:t>u</m:t>
            </m:r>
          </m:e>
          <m:sub>
            <m:r>
              <w:rPr>
                <w:rFonts w:ascii="Cambria Math" w:hAnsi="Cambria Math" w:cs="Arial"/>
                <w:sz w:val="20"/>
                <w:szCs w:val="20"/>
              </w:rPr>
              <m:t>i</m:t>
            </m:r>
          </m:sub>
          <m:sup>
            <m:r>
              <w:rPr>
                <w:rFonts w:ascii="Cambria Math" w:hAnsi="Cambria Math" w:cs="Arial"/>
                <w:sz w:val="20"/>
                <w:szCs w:val="20"/>
              </w:rPr>
              <m:t>t</m:t>
            </m:r>
          </m:sup>
        </m:sSubSup>
        <m:r>
          <w:rPr>
            <w:rFonts w:ascii="Cambria Math" w:hAnsi="Cambria Math" w:cs="Arial"/>
            <w:sz w:val="20"/>
            <w:szCs w:val="20"/>
          </w:rPr>
          <m:t>, C</m:t>
        </m:r>
        <m:sSubSup>
          <m:sSubSupPr>
            <m:ctrlPr>
              <w:rPr>
                <w:rFonts w:ascii="Cambria Math" w:hAnsi="Cambria Math" w:cs="Arial"/>
                <w:i/>
                <w:sz w:val="20"/>
                <w:szCs w:val="20"/>
              </w:rPr>
            </m:ctrlPr>
          </m:sSubSupPr>
          <m:e>
            <m:r>
              <w:rPr>
                <w:rFonts w:ascii="Cambria Math" w:hAnsi="Cambria Math" w:cs="Arial"/>
                <w:sz w:val="20"/>
                <w:szCs w:val="20"/>
              </w:rPr>
              <m:t>u</m:t>
            </m:r>
          </m:e>
          <m:sub>
            <m:r>
              <w:rPr>
                <w:rFonts w:ascii="Cambria Math" w:hAnsi="Cambria Math" w:cs="Arial"/>
                <w:sz w:val="20"/>
                <w:szCs w:val="20"/>
              </w:rPr>
              <m:t>i-1</m:t>
            </m:r>
          </m:sub>
          <m:sup>
            <m:r>
              <w:rPr>
                <w:rFonts w:ascii="Cambria Math" w:hAnsi="Cambria Math" w:cs="Arial"/>
                <w:sz w:val="20"/>
                <w:szCs w:val="20"/>
              </w:rPr>
              <m:t>t</m:t>
            </m:r>
          </m:sup>
        </m:sSubSup>
        <m:r>
          <w:rPr>
            <w:rFonts w:ascii="Cambria Math" w:hAnsi="Cambria Math" w:cs="Arial"/>
            <w:sz w:val="20"/>
            <w:szCs w:val="20"/>
          </w:rPr>
          <m:t>, C</m:t>
        </m:r>
        <m:sSubSup>
          <m:sSubSupPr>
            <m:ctrlPr>
              <w:rPr>
                <w:rFonts w:ascii="Cambria Math" w:hAnsi="Cambria Math" w:cs="Arial"/>
                <w:i/>
                <w:sz w:val="20"/>
                <w:szCs w:val="20"/>
              </w:rPr>
            </m:ctrlPr>
          </m:sSubSupPr>
          <m:e>
            <m:r>
              <w:rPr>
                <w:rFonts w:ascii="Cambria Math" w:hAnsi="Cambria Math" w:cs="Arial"/>
                <w:sz w:val="20"/>
                <w:szCs w:val="20"/>
              </w:rPr>
              <m:t>u</m:t>
            </m:r>
          </m:e>
          <m:sub>
            <m:r>
              <w:rPr>
                <w:rFonts w:ascii="Cambria Math" w:hAnsi="Cambria Math" w:cs="Arial"/>
                <w:sz w:val="20"/>
                <w:szCs w:val="20"/>
              </w:rPr>
              <m:t>i+1</m:t>
            </m:r>
          </m:sub>
          <m:sup>
            <m:r>
              <w:rPr>
                <w:rFonts w:ascii="Cambria Math" w:hAnsi="Cambria Math" w:cs="Arial"/>
                <w:sz w:val="20"/>
                <w:szCs w:val="20"/>
              </w:rPr>
              <m:t>t</m:t>
            </m:r>
          </m:sup>
        </m:sSubSup>
      </m:oMath>
      <w:r>
        <w:rPr>
          <w:rFonts w:ascii="Arial" w:hAnsi="Arial" w:cs="Arial"/>
          <w:sz w:val="20"/>
          <w:szCs w:val="20"/>
        </w:rPr>
        <w:tab/>
        <w:t xml:space="preserve">: </w:t>
      </w:r>
      <w:r w:rsidRPr="000C1E0F">
        <w:rPr>
          <w:rFonts w:ascii="Arial" w:hAnsi="Arial" w:cs="Arial"/>
          <w:sz w:val="20"/>
          <w:szCs w:val="20"/>
        </w:rPr>
        <w:t xml:space="preserve">Copper’s concentration at each spatial step with temporal step-t (mg/L). </w:t>
      </w:r>
    </w:p>
    <w:p w14:paraId="516BE2A6" w14:textId="01F088EB" w:rsidR="00635F94" w:rsidRDefault="00635F94" w:rsidP="00635F94">
      <w:pPr>
        <w:spacing w:after="0"/>
        <w:ind w:left="0" w:hanging="2"/>
        <w:rPr>
          <w:rFonts w:ascii="Arial" w:hAnsi="Arial" w:cs="Arial"/>
          <w:sz w:val="20"/>
          <w:szCs w:val="20"/>
        </w:rPr>
      </w:pPr>
      <m:oMath>
        <m:r>
          <w:rPr>
            <w:rFonts w:ascii="Cambria Math" w:hAnsi="Cambria Math" w:cs="Arial"/>
            <w:sz w:val="20"/>
            <w:szCs w:val="20"/>
          </w:rPr>
          <m:t>C</m:t>
        </m:r>
        <m:sSubSup>
          <m:sSubSupPr>
            <m:ctrlPr>
              <w:rPr>
                <w:rFonts w:ascii="Cambria Math" w:hAnsi="Cambria Math" w:cs="Arial"/>
                <w:i/>
                <w:sz w:val="20"/>
                <w:szCs w:val="20"/>
              </w:rPr>
            </m:ctrlPr>
          </m:sSubSupPr>
          <m:e>
            <m:r>
              <w:rPr>
                <w:rFonts w:ascii="Cambria Math" w:hAnsi="Cambria Math" w:cs="Arial"/>
                <w:sz w:val="20"/>
                <w:szCs w:val="20"/>
              </w:rPr>
              <m:t>u</m:t>
            </m:r>
          </m:e>
          <m:sub>
            <m:r>
              <w:rPr>
                <w:rFonts w:ascii="Cambria Math" w:hAnsi="Cambria Math" w:cs="Arial"/>
                <w:sz w:val="20"/>
                <w:szCs w:val="20"/>
              </w:rPr>
              <m:t>i</m:t>
            </m:r>
          </m:sub>
          <m:sup>
            <m:r>
              <w:rPr>
                <w:rFonts w:ascii="Cambria Math" w:hAnsi="Cambria Math" w:cs="Arial"/>
                <w:sz w:val="20"/>
                <w:szCs w:val="20"/>
              </w:rPr>
              <m:t>t+1</m:t>
            </m:r>
          </m:sup>
        </m:sSubSup>
      </m:oMath>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Pr="000C1E0F">
        <w:rPr>
          <w:rFonts w:ascii="Arial" w:hAnsi="Arial" w:cs="Arial"/>
          <w:sz w:val="20"/>
          <w:szCs w:val="20"/>
        </w:rPr>
        <w:t>Copper’s concentration at each spatial step with temporal step-t</w:t>
      </w:r>
      <w:r>
        <w:rPr>
          <w:rFonts w:ascii="Arial" w:hAnsi="Arial" w:cs="Arial"/>
          <w:sz w:val="20"/>
          <w:szCs w:val="20"/>
        </w:rPr>
        <w:t>+1</w:t>
      </w:r>
      <w:r w:rsidRPr="000C1E0F">
        <w:rPr>
          <w:rFonts w:ascii="Arial" w:hAnsi="Arial" w:cs="Arial"/>
          <w:sz w:val="20"/>
          <w:szCs w:val="20"/>
        </w:rPr>
        <w:t xml:space="preserve"> (mg/L). </w:t>
      </w:r>
    </w:p>
    <w:p w14:paraId="345F3A1D" w14:textId="72892F08" w:rsidR="00635F94" w:rsidRDefault="00635F94" w:rsidP="00635F94">
      <w:pPr>
        <w:spacing w:after="0"/>
        <w:ind w:left="0" w:hanging="2"/>
        <w:rPr>
          <w:rFonts w:ascii="Arial" w:hAnsi="Arial" w:cs="Arial"/>
          <w:sz w:val="20"/>
          <w:szCs w:val="20"/>
        </w:rPr>
      </w:pPr>
      <m:oMath>
        <m:r>
          <w:rPr>
            <w:rFonts w:ascii="Cambria Math" w:hAnsi="Cambria Math" w:cs="Arial"/>
            <w:sz w:val="20"/>
            <w:szCs w:val="20"/>
          </w:rPr>
          <m:t>∆t</m:t>
        </m:r>
      </m:oMath>
      <w:r>
        <w:rPr>
          <w:rFonts w:ascii="Arial" w:hAnsi="Arial" w:cs="Arial"/>
          <w:sz w:val="20"/>
          <w:szCs w:val="20"/>
        </w:rPr>
        <w:tab/>
      </w:r>
      <w:r>
        <w:rPr>
          <w:rFonts w:ascii="Arial" w:hAnsi="Arial" w:cs="Arial"/>
          <w:sz w:val="20"/>
          <w:szCs w:val="20"/>
        </w:rPr>
        <w:tab/>
      </w:r>
      <w:r>
        <w:rPr>
          <w:rFonts w:ascii="Arial" w:hAnsi="Arial" w:cs="Arial"/>
          <w:sz w:val="20"/>
          <w:szCs w:val="20"/>
        </w:rPr>
        <w:tab/>
        <w:t>: The temporal step (s)</w:t>
      </w:r>
    </w:p>
    <w:p w14:paraId="1EE65C32" w14:textId="4778B6C0" w:rsidR="00635F94" w:rsidRDefault="00635F94" w:rsidP="00635F94">
      <w:pPr>
        <w:spacing w:after="0"/>
        <w:ind w:left="0" w:hanging="2"/>
        <w:rPr>
          <w:rFonts w:ascii="Arial" w:hAnsi="Arial" w:cs="Arial"/>
          <w:sz w:val="20"/>
          <w:szCs w:val="20"/>
        </w:rPr>
      </w:pPr>
      <m:oMath>
        <m:r>
          <w:rPr>
            <w:rFonts w:ascii="Cambria Math" w:hAnsi="Cambria Math" w:cs="Arial"/>
            <w:sz w:val="20"/>
            <w:szCs w:val="20"/>
          </w:rPr>
          <m:t>∆x</m:t>
        </m:r>
      </m:oMath>
      <w:r>
        <w:rPr>
          <w:rFonts w:ascii="Arial" w:hAnsi="Arial" w:cs="Arial"/>
          <w:sz w:val="20"/>
          <w:szCs w:val="20"/>
        </w:rPr>
        <w:tab/>
      </w:r>
      <w:r>
        <w:rPr>
          <w:rFonts w:ascii="Arial" w:hAnsi="Arial" w:cs="Arial"/>
          <w:sz w:val="20"/>
          <w:szCs w:val="20"/>
        </w:rPr>
        <w:tab/>
      </w:r>
      <w:r>
        <w:rPr>
          <w:rFonts w:ascii="Arial" w:hAnsi="Arial" w:cs="Arial"/>
          <w:sz w:val="20"/>
          <w:szCs w:val="20"/>
        </w:rPr>
        <w:tab/>
        <w:t>: The spatial step (m)</w:t>
      </w:r>
    </w:p>
    <w:p w14:paraId="52344655" w14:textId="376C70E5" w:rsidR="00635F94" w:rsidRPr="000C1E0F" w:rsidRDefault="00000000" w:rsidP="00635F94">
      <w:pPr>
        <w:spacing w:after="0"/>
        <w:ind w:left="0" w:hanging="2"/>
        <w:rPr>
          <w:rFonts w:ascii="Arial" w:hAnsi="Arial" w:cs="Arial"/>
          <w:sz w:val="20"/>
          <w:szCs w:val="20"/>
        </w:rPr>
      </w:pPr>
      <m:oMath>
        <m:sSubSup>
          <m:sSubSupPr>
            <m:ctrlPr>
              <w:rPr>
                <w:rFonts w:ascii="Cambria Math" w:hAnsi="Cambria Math" w:cs="Arial"/>
                <w:i/>
                <w:sz w:val="20"/>
                <w:szCs w:val="20"/>
              </w:rPr>
            </m:ctrlPr>
          </m:sSubSupPr>
          <m:e>
            <m:r>
              <w:rPr>
                <w:rFonts w:ascii="Cambria Math" w:hAnsi="Cambria Math" w:cs="Arial"/>
                <w:sz w:val="20"/>
                <w:szCs w:val="20"/>
              </w:rPr>
              <m:t>k</m:t>
            </m:r>
          </m:e>
          <m:sub>
            <m:r>
              <w:rPr>
                <w:rFonts w:ascii="Cambria Math" w:hAnsi="Cambria Math" w:cs="Arial"/>
                <w:sz w:val="20"/>
                <w:szCs w:val="20"/>
              </w:rPr>
              <m:t>1</m:t>
            </m:r>
          </m:sub>
          <m:sup>
            <m:r>
              <w:rPr>
                <w:rFonts w:ascii="Cambria Math" w:hAnsi="Cambria Math" w:cs="Arial"/>
                <w:sz w:val="20"/>
                <w:szCs w:val="20"/>
              </w:rPr>
              <m:t>t</m:t>
            </m:r>
          </m:sup>
        </m:sSubSup>
        <m:r>
          <w:rPr>
            <w:rFonts w:ascii="Cambria Math" w:hAnsi="Cambria Math" w:cs="Arial"/>
            <w:sz w:val="20"/>
            <w:szCs w:val="20"/>
          </w:rPr>
          <m:t xml:space="preserve">, </m:t>
        </m:r>
        <m:sSubSup>
          <m:sSubSupPr>
            <m:ctrlPr>
              <w:rPr>
                <w:rFonts w:ascii="Cambria Math" w:hAnsi="Cambria Math" w:cs="Arial"/>
                <w:i/>
                <w:sz w:val="20"/>
                <w:szCs w:val="20"/>
              </w:rPr>
            </m:ctrlPr>
          </m:sSubSupPr>
          <m:e>
            <m:r>
              <w:rPr>
                <w:rFonts w:ascii="Cambria Math" w:hAnsi="Cambria Math" w:cs="Arial"/>
                <w:sz w:val="20"/>
                <w:szCs w:val="20"/>
              </w:rPr>
              <m:t>k</m:t>
            </m:r>
          </m:e>
          <m:sub>
            <m:r>
              <w:rPr>
                <w:rFonts w:ascii="Cambria Math" w:hAnsi="Cambria Math" w:cs="Arial"/>
                <w:sz w:val="20"/>
                <w:szCs w:val="20"/>
              </w:rPr>
              <m:t>2</m:t>
            </m:r>
          </m:sub>
          <m:sup>
            <m:r>
              <w:rPr>
                <w:rFonts w:ascii="Cambria Math" w:hAnsi="Cambria Math" w:cs="Arial"/>
                <w:sz w:val="20"/>
                <w:szCs w:val="20"/>
              </w:rPr>
              <m:t>t</m:t>
            </m:r>
          </m:sup>
        </m:sSubSup>
        <m:r>
          <w:rPr>
            <w:rFonts w:ascii="Cambria Math" w:hAnsi="Cambria Math" w:cs="Arial"/>
            <w:sz w:val="20"/>
            <w:szCs w:val="20"/>
          </w:rPr>
          <m:t xml:space="preserve">, </m:t>
        </m:r>
        <m:sSubSup>
          <m:sSubSupPr>
            <m:ctrlPr>
              <w:rPr>
                <w:rFonts w:ascii="Cambria Math" w:hAnsi="Cambria Math" w:cs="Arial"/>
                <w:i/>
                <w:sz w:val="20"/>
                <w:szCs w:val="20"/>
              </w:rPr>
            </m:ctrlPr>
          </m:sSubSupPr>
          <m:e>
            <m:r>
              <w:rPr>
                <w:rFonts w:ascii="Cambria Math" w:hAnsi="Cambria Math" w:cs="Arial"/>
                <w:sz w:val="20"/>
                <w:szCs w:val="20"/>
              </w:rPr>
              <m:t>k</m:t>
            </m:r>
          </m:e>
          <m:sub>
            <m:r>
              <w:rPr>
                <w:rFonts w:ascii="Cambria Math" w:hAnsi="Cambria Math" w:cs="Arial"/>
                <w:sz w:val="20"/>
                <w:szCs w:val="20"/>
              </w:rPr>
              <m:t>3</m:t>
            </m:r>
          </m:sub>
          <m:sup>
            <m:r>
              <w:rPr>
                <w:rFonts w:ascii="Cambria Math" w:hAnsi="Cambria Math" w:cs="Arial"/>
                <w:sz w:val="20"/>
                <w:szCs w:val="20"/>
              </w:rPr>
              <m:t>t</m:t>
            </m:r>
          </m:sup>
        </m:sSubSup>
        <m:r>
          <w:rPr>
            <w:rFonts w:ascii="Cambria Math" w:hAnsi="Cambria Math" w:cs="Arial"/>
            <w:sz w:val="20"/>
            <w:szCs w:val="20"/>
          </w:rPr>
          <m:t xml:space="preserve">, </m:t>
        </m:r>
        <m:sSubSup>
          <m:sSubSupPr>
            <m:ctrlPr>
              <w:rPr>
                <w:rFonts w:ascii="Cambria Math" w:hAnsi="Cambria Math" w:cs="Arial"/>
                <w:i/>
                <w:sz w:val="20"/>
                <w:szCs w:val="20"/>
              </w:rPr>
            </m:ctrlPr>
          </m:sSubSupPr>
          <m:e>
            <m:r>
              <w:rPr>
                <w:rFonts w:ascii="Cambria Math" w:hAnsi="Cambria Math" w:cs="Arial"/>
                <w:sz w:val="20"/>
                <w:szCs w:val="20"/>
              </w:rPr>
              <m:t>k</m:t>
            </m:r>
          </m:e>
          <m:sub>
            <m:r>
              <w:rPr>
                <w:rFonts w:ascii="Cambria Math" w:hAnsi="Cambria Math" w:cs="Arial"/>
                <w:sz w:val="20"/>
                <w:szCs w:val="20"/>
              </w:rPr>
              <m:t>4</m:t>
            </m:r>
          </m:sub>
          <m:sup>
            <m:r>
              <w:rPr>
                <w:rFonts w:ascii="Cambria Math" w:hAnsi="Cambria Math" w:cs="Arial"/>
                <w:sz w:val="20"/>
                <w:szCs w:val="20"/>
              </w:rPr>
              <m:t>t</m:t>
            </m:r>
          </m:sup>
        </m:sSubSup>
      </m:oMath>
      <w:r w:rsidR="00635F94">
        <w:rPr>
          <w:rFonts w:ascii="Arial" w:hAnsi="Arial" w:cs="Arial"/>
          <w:sz w:val="20"/>
          <w:szCs w:val="20"/>
        </w:rPr>
        <w:tab/>
      </w:r>
      <w:r w:rsidR="00635F94">
        <w:rPr>
          <w:rFonts w:ascii="Arial" w:hAnsi="Arial" w:cs="Arial"/>
          <w:sz w:val="20"/>
          <w:szCs w:val="20"/>
        </w:rPr>
        <w:tab/>
        <w:t>: Runge Kutte-4 constants</w:t>
      </w:r>
    </w:p>
    <w:p w14:paraId="448BAB78" w14:textId="77777777" w:rsidR="00635F94" w:rsidRDefault="00635F94" w:rsidP="00635F94">
      <w:pPr>
        <w:spacing w:after="0" w:line="240" w:lineRule="auto"/>
        <w:ind w:leftChars="0" w:left="0" w:firstLineChars="0" w:firstLine="0"/>
        <w:jc w:val="both"/>
        <w:rPr>
          <w:rFonts w:ascii="Arial" w:eastAsia="Arial" w:hAnsi="Arial" w:cs="Arial"/>
          <w:b/>
          <w:color w:val="1F4E79"/>
          <w:sz w:val="20"/>
          <w:szCs w:val="20"/>
        </w:rPr>
        <w:sectPr w:rsidR="00635F94" w:rsidSect="000C1E0F">
          <w:type w:val="continuous"/>
          <w:pgSz w:w="11907" w:h="16840"/>
          <w:pgMar w:top="1701" w:right="1134" w:bottom="1701" w:left="1701" w:header="680" w:footer="680" w:gutter="0"/>
          <w:cols w:space="284"/>
          <w:titlePg/>
        </w:sectPr>
      </w:pPr>
    </w:p>
    <w:p w14:paraId="1F7A2F4E" w14:textId="6311D6B1" w:rsidR="003C434A" w:rsidRDefault="003C434A" w:rsidP="00635F94">
      <w:pPr>
        <w:spacing w:before="240" w:after="0" w:line="240" w:lineRule="auto"/>
        <w:ind w:leftChars="0" w:left="0" w:firstLineChars="0" w:firstLine="0"/>
        <w:jc w:val="both"/>
        <w:rPr>
          <w:rFonts w:ascii="Arial" w:eastAsia="Arial" w:hAnsi="Arial" w:cs="Arial"/>
          <w:color w:val="1F4E79"/>
          <w:sz w:val="20"/>
          <w:szCs w:val="20"/>
        </w:rPr>
      </w:pPr>
      <w:r w:rsidRPr="003C434A">
        <w:rPr>
          <w:rFonts w:ascii="Arial" w:eastAsia="Arial" w:hAnsi="Arial" w:cs="Arial"/>
          <w:b/>
          <w:color w:val="1F4E79"/>
          <w:sz w:val="20"/>
          <w:szCs w:val="20"/>
        </w:rPr>
        <w:t xml:space="preserve">Hydraulic Parameter of the </w:t>
      </w:r>
      <w:proofErr w:type="spellStart"/>
      <w:r w:rsidRPr="003C434A">
        <w:rPr>
          <w:rFonts w:ascii="Arial" w:eastAsia="Arial" w:hAnsi="Arial" w:cs="Arial"/>
          <w:b/>
          <w:color w:val="1F4E79"/>
          <w:sz w:val="20"/>
          <w:szCs w:val="20"/>
        </w:rPr>
        <w:t>Cikakembang</w:t>
      </w:r>
      <w:proofErr w:type="spellEnd"/>
      <w:r w:rsidRPr="003C434A">
        <w:rPr>
          <w:rFonts w:ascii="Arial" w:eastAsia="Arial" w:hAnsi="Arial" w:cs="Arial"/>
          <w:b/>
          <w:color w:val="1F4E79"/>
          <w:sz w:val="20"/>
          <w:szCs w:val="20"/>
        </w:rPr>
        <w:t xml:space="preserve"> River</w:t>
      </w:r>
    </w:p>
    <w:p w14:paraId="6A4346A9" w14:textId="5577AC40" w:rsidR="003C434A" w:rsidRDefault="003C434A" w:rsidP="00363742">
      <w:pPr>
        <w:spacing w:after="0" w:line="240" w:lineRule="auto"/>
        <w:ind w:leftChars="0" w:left="0" w:firstLineChars="0" w:firstLine="720"/>
        <w:jc w:val="both"/>
        <w:rPr>
          <w:rFonts w:ascii="Arial" w:eastAsia="Arial" w:hAnsi="Arial" w:cs="Arial"/>
          <w:sz w:val="20"/>
          <w:szCs w:val="20"/>
        </w:rPr>
      </w:pPr>
      <w:r w:rsidRPr="003C434A">
        <w:rPr>
          <w:rFonts w:ascii="Arial" w:eastAsia="Arial" w:hAnsi="Arial" w:cs="Arial"/>
          <w:sz w:val="20"/>
          <w:szCs w:val="20"/>
        </w:rPr>
        <w:t xml:space="preserve">Water quality modelling requires </w:t>
      </w:r>
      <w:proofErr w:type="spellStart"/>
      <w:r w:rsidRPr="003C434A">
        <w:rPr>
          <w:rFonts w:ascii="Arial" w:eastAsia="Arial" w:hAnsi="Arial" w:cs="Arial"/>
          <w:sz w:val="20"/>
          <w:szCs w:val="20"/>
        </w:rPr>
        <w:t>Cikakembang</w:t>
      </w:r>
      <w:proofErr w:type="spellEnd"/>
      <w:r w:rsidRPr="003C434A">
        <w:rPr>
          <w:rFonts w:ascii="Arial" w:eastAsia="Arial" w:hAnsi="Arial" w:cs="Arial"/>
          <w:sz w:val="20"/>
          <w:szCs w:val="20"/>
        </w:rPr>
        <w:t xml:space="preserve"> River hydraulic parameters to estimate the value of water quality coefficients, such as the dispersion coefficient (E</w:t>
      </w:r>
      <w:r w:rsidRPr="00635F94">
        <w:rPr>
          <w:rFonts w:ascii="Arial" w:eastAsia="Arial" w:hAnsi="Arial" w:cs="Arial"/>
          <w:sz w:val="20"/>
          <w:szCs w:val="20"/>
          <w:vertAlign w:val="subscript"/>
        </w:rPr>
        <w:t>x</w:t>
      </w:r>
      <w:r w:rsidRPr="003C434A">
        <w:rPr>
          <w:rFonts w:ascii="Arial" w:eastAsia="Arial" w:hAnsi="Arial" w:cs="Arial"/>
          <w:sz w:val="20"/>
          <w:szCs w:val="20"/>
        </w:rPr>
        <w:t xml:space="preserve">). Previous research has succeeded in producing hydraulic parameters for the </w:t>
      </w:r>
      <w:proofErr w:type="spellStart"/>
      <w:r w:rsidRPr="003C434A">
        <w:rPr>
          <w:rFonts w:ascii="Arial" w:eastAsia="Arial" w:hAnsi="Arial" w:cs="Arial"/>
          <w:sz w:val="20"/>
          <w:szCs w:val="20"/>
        </w:rPr>
        <w:t>Cikakembang</w:t>
      </w:r>
      <w:proofErr w:type="spellEnd"/>
      <w:r w:rsidRPr="003C434A">
        <w:rPr>
          <w:rFonts w:ascii="Arial" w:eastAsia="Arial" w:hAnsi="Arial" w:cs="Arial"/>
          <w:sz w:val="20"/>
          <w:szCs w:val="20"/>
        </w:rPr>
        <w:t xml:space="preserve"> River in the rainy season and dry season, such as longitudinal flow velocity (</w:t>
      </w:r>
      <w:proofErr w:type="spellStart"/>
      <w:r w:rsidRPr="003C434A">
        <w:rPr>
          <w:rFonts w:ascii="Arial" w:eastAsia="Arial" w:hAnsi="Arial" w:cs="Arial"/>
          <w:sz w:val="20"/>
          <w:szCs w:val="20"/>
        </w:rPr>
        <w:t>u</w:t>
      </w:r>
      <w:r w:rsidRPr="00635F94">
        <w:rPr>
          <w:rFonts w:ascii="Arial" w:eastAsia="Arial" w:hAnsi="Arial" w:cs="Arial"/>
          <w:sz w:val="20"/>
          <w:szCs w:val="20"/>
          <w:vertAlign w:val="subscript"/>
        </w:rPr>
        <w:t>x</w:t>
      </w:r>
      <w:proofErr w:type="spellEnd"/>
      <w:r w:rsidRPr="003C434A">
        <w:rPr>
          <w:rFonts w:ascii="Arial" w:eastAsia="Arial" w:hAnsi="Arial" w:cs="Arial"/>
          <w:sz w:val="20"/>
          <w:szCs w:val="20"/>
        </w:rPr>
        <w:t>), Froud Number (Fr), water depth (H), and channel's top width (W)</w:t>
      </w:r>
      <w:r w:rsidR="000E13C8">
        <w:rPr>
          <w:rFonts w:ascii="Arial" w:eastAsia="Arial" w:hAnsi="Arial" w:cs="Arial"/>
          <w:sz w:val="20"/>
          <w:szCs w:val="20"/>
        </w:rPr>
        <w:t xml:space="preserve"> </w:t>
      </w:r>
      <w:sdt>
        <w:sdtPr>
          <w:rPr>
            <w:rFonts w:ascii="Arial" w:eastAsia="Arial" w:hAnsi="Arial" w:cs="Arial"/>
            <w:color w:val="000000"/>
            <w:sz w:val="20"/>
            <w:szCs w:val="20"/>
          </w:rPr>
          <w:tag w:val="MENDELEY_CITATION_v3_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"/>
          <w:id w:val="-347793411"/>
          <w:placeholder>
            <w:docPart w:val="DefaultPlaceholder_-1854013440"/>
          </w:placeholder>
        </w:sdtPr>
        <w:sdtContent>
          <w:r w:rsidR="008743B1" w:rsidRPr="008743B1">
            <w:rPr>
              <w:rFonts w:ascii="Arial" w:eastAsia="Arial" w:hAnsi="Arial" w:cs="Arial"/>
              <w:color w:val="000000"/>
              <w:sz w:val="20"/>
              <w:szCs w:val="20"/>
            </w:rPr>
            <w:t>[15]</w:t>
          </w:r>
        </w:sdtContent>
      </w:sdt>
      <w:r w:rsidRPr="003C434A">
        <w:rPr>
          <w:rFonts w:ascii="Arial" w:eastAsia="Arial" w:hAnsi="Arial" w:cs="Arial"/>
          <w:sz w:val="20"/>
          <w:szCs w:val="20"/>
        </w:rPr>
        <w:t xml:space="preserve">. All hydraulic parameters of the </w:t>
      </w:r>
      <w:proofErr w:type="spellStart"/>
      <w:r w:rsidRPr="003C434A">
        <w:rPr>
          <w:rFonts w:ascii="Arial" w:eastAsia="Arial" w:hAnsi="Arial" w:cs="Arial"/>
          <w:sz w:val="20"/>
          <w:szCs w:val="20"/>
        </w:rPr>
        <w:t>Cikakembang</w:t>
      </w:r>
      <w:proofErr w:type="spellEnd"/>
      <w:r w:rsidRPr="003C434A">
        <w:rPr>
          <w:rFonts w:ascii="Arial" w:eastAsia="Arial" w:hAnsi="Arial" w:cs="Arial"/>
          <w:sz w:val="20"/>
          <w:szCs w:val="20"/>
        </w:rPr>
        <w:t xml:space="preserve"> River are shown in Figure 4.</w:t>
      </w:r>
    </w:p>
    <w:p w14:paraId="01B5DB9A" w14:textId="38B64E54" w:rsidR="003C434A" w:rsidRDefault="003C434A" w:rsidP="00363742">
      <w:pPr>
        <w:spacing w:before="240" w:after="0" w:line="240" w:lineRule="auto"/>
        <w:ind w:left="0" w:hanging="2"/>
        <w:jc w:val="both"/>
        <w:rPr>
          <w:rFonts w:ascii="Arial" w:eastAsia="Arial" w:hAnsi="Arial" w:cs="Arial"/>
          <w:b/>
          <w:color w:val="1F4E79"/>
          <w:sz w:val="20"/>
          <w:szCs w:val="20"/>
        </w:rPr>
      </w:pPr>
      <w:r>
        <w:rPr>
          <w:noProof/>
        </w:rPr>
        <w:drawing>
          <wp:inline distT="0" distB="0" distL="0" distR="0" wp14:anchorId="44E7CCE0" wp14:editId="5627A262">
            <wp:extent cx="2651125" cy="2520000"/>
            <wp:effectExtent l="0" t="0" r="15875" b="13970"/>
            <wp:docPr id="1472071206" name="Chart 1">
              <a:extLst xmlns:a="http://schemas.openxmlformats.org/drawingml/2006/main">
                <a:ext uri="{FF2B5EF4-FFF2-40B4-BE49-F238E27FC236}">
                  <a16:creationId xmlns:a16="http://schemas.microsoft.com/office/drawing/2014/main" id="{43C629C9-F68E-1DC4-B8FE-0696B3B298E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3855434D" w14:textId="77777777" w:rsidR="003C434A" w:rsidRPr="003C434A" w:rsidRDefault="003C434A" w:rsidP="003C434A">
      <w:pPr>
        <w:spacing w:after="120"/>
        <w:ind w:left="0" w:hanging="2"/>
        <w:jc w:val="center"/>
        <w:rPr>
          <w:rFonts w:ascii="Arial" w:eastAsia="Cambria" w:hAnsi="Arial" w:cs="Arial"/>
          <w:bCs/>
          <w:sz w:val="16"/>
          <w:szCs w:val="16"/>
        </w:rPr>
      </w:pPr>
      <w:r w:rsidRPr="003C434A">
        <w:rPr>
          <w:rFonts w:ascii="Arial" w:eastAsia="Cambria" w:hAnsi="Arial" w:cs="Arial"/>
          <w:bCs/>
          <w:sz w:val="16"/>
          <w:szCs w:val="16"/>
        </w:rPr>
        <w:t>(a)</w:t>
      </w:r>
    </w:p>
    <w:p w14:paraId="4EDABB6E" w14:textId="14623D30" w:rsidR="003C434A" w:rsidRDefault="003C434A" w:rsidP="003C434A">
      <w:pPr>
        <w:spacing w:after="0" w:line="240" w:lineRule="auto"/>
        <w:ind w:left="0" w:hanging="2"/>
        <w:jc w:val="both"/>
        <w:rPr>
          <w:rFonts w:ascii="Arial" w:eastAsia="Arial" w:hAnsi="Arial" w:cs="Arial"/>
          <w:b/>
          <w:color w:val="1F4E79"/>
          <w:sz w:val="20"/>
          <w:szCs w:val="20"/>
        </w:rPr>
      </w:pPr>
      <w:r>
        <w:rPr>
          <w:noProof/>
        </w:rPr>
        <w:drawing>
          <wp:inline distT="0" distB="0" distL="0" distR="0" wp14:anchorId="17D21285" wp14:editId="19CFD371">
            <wp:extent cx="2651125" cy="2520000"/>
            <wp:effectExtent l="0" t="0" r="15875" b="13970"/>
            <wp:docPr id="122322659" name="Chart 1">
              <a:extLst xmlns:a="http://schemas.openxmlformats.org/drawingml/2006/main">
                <a:ext uri="{FF2B5EF4-FFF2-40B4-BE49-F238E27FC236}">
                  <a16:creationId xmlns:a16="http://schemas.microsoft.com/office/drawing/2014/main" id="{4FCA86CF-B1DA-40F9-87D8-669A22C0CA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31BABA2D" w14:textId="77777777" w:rsidR="003C434A" w:rsidRPr="003C434A" w:rsidRDefault="003C434A" w:rsidP="003C434A">
      <w:pPr>
        <w:keepNext/>
        <w:spacing w:after="120"/>
        <w:ind w:left="0" w:hanging="2"/>
        <w:jc w:val="center"/>
        <w:rPr>
          <w:rFonts w:ascii="Arial" w:hAnsi="Arial" w:cs="Arial"/>
          <w:sz w:val="16"/>
          <w:szCs w:val="16"/>
        </w:rPr>
      </w:pPr>
      <w:r w:rsidRPr="003C434A">
        <w:rPr>
          <w:rFonts w:ascii="Arial" w:hAnsi="Arial" w:cs="Arial"/>
          <w:sz w:val="16"/>
          <w:szCs w:val="16"/>
        </w:rPr>
        <w:t>(b)</w:t>
      </w:r>
    </w:p>
    <w:p w14:paraId="69E525E7" w14:textId="6EA47B52" w:rsidR="003C434A" w:rsidRDefault="003C434A" w:rsidP="003C434A">
      <w:pPr>
        <w:keepNext/>
        <w:pBdr>
          <w:top w:val="nil"/>
          <w:left w:val="nil"/>
          <w:bottom w:val="nil"/>
          <w:right w:val="nil"/>
          <w:between w:val="nil"/>
        </w:pBdr>
        <w:spacing w:after="0"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t xml:space="preserve">Figure 4. </w:t>
      </w:r>
      <w:r w:rsidRPr="003C434A">
        <w:rPr>
          <w:rFonts w:ascii="Arial" w:eastAsia="Arial" w:hAnsi="Arial" w:cs="Arial"/>
          <w:color w:val="000000"/>
          <w:sz w:val="20"/>
          <w:szCs w:val="20"/>
        </w:rPr>
        <w:t xml:space="preserve">Existing Hydraulic Parameter of the </w:t>
      </w:r>
      <w:proofErr w:type="spellStart"/>
      <w:r w:rsidRPr="003C434A">
        <w:rPr>
          <w:rFonts w:ascii="Arial" w:eastAsia="Arial" w:hAnsi="Arial" w:cs="Arial"/>
          <w:color w:val="000000"/>
          <w:sz w:val="20"/>
          <w:szCs w:val="20"/>
        </w:rPr>
        <w:t>Cikakembang</w:t>
      </w:r>
      <w:proofErr w:type="spellEnd"/>
      <w:r w:rsidRPr="003C434A">
        <w:rPr>
          <w:rFonts w:ascii="Arial" w:eastAsia="Arial" w:hAnsi="Arial" w:cs="Arial"/>
          <w:color w:val="000000"/>
          <w:sz w:val="20"/>
          <w:szCs w:val="20"/>
        </w:rPr>
        <w:t xml:space="preserve"> River in (a) Rainy Season and (b) Dry Season</w:t>
      </w:r>
    </w:p>
    <w:p w14:paraId="2BFCE66D" w14:textId="32273081" w:rsidR="003C434A" w:rsidRDefault="003C434A" w:rsidP="003C434A">
      <w:pPr>
        <w:spacing w:before="240" w:after="0" w:line="240" w:lineRule="auto"/>
        <w:ind w:left="0" w:hanging="2"/>
        <w:jc w:val="both"/>
        <w:rPr>
          <w:rFonts w:ascii="Arial" w:eastAsia="Arial" w:hAnsi="Arial" w:cs="Arial"/>
          <w:color w:val="1F4E79"/>
          <w:sz w:val="20"/>
          <w:szCs w:val="20"/>
        </w:rPr>
      </w:pPr>
      <w:r>
        <w:rPr>
          <w:rFonts w:ascii="Arial" w:eastAsia="Arial" w:hAnsi="Arial" w:cs="Arial"/>
          <w:b/>
          <w:color w:val="1F4E79"/>
          <w:sz w:val="20"/>
          <w:szCs w:val="20"/>
        </w:rPr>
        <w:t>Point Source Pollution (PSP)</w:t>
      </w:r>
    </w:p>
    <w:p w14:paraId="483D9707" w14:textId="77777777" w:rsidR="003C434A" w:rsidRDefault="003C434A" w:rsidP="00363742">
      <w:pPr>
        <w:spacing w:line="240" w:lineRule="auto"/>
        <w:ind w:leftChars="0" w:left="0" w:firstLineChars="0" w:firstLine="720"/>
        <w:jc w:val="both"/>
        <w:rPr>
          <w:rFonts w:ascii="Arial" w:eastAsia="Arial" w:hAnsi="Arial" w:cs="Arial"/>
          <w:sz w:val="20"/>
          <w:szCs w:val="20"/>
        </w:rPr>
      </w:pPr>
      <w:r w:rsidRPr="003C434A">
        <w:rPr>
          <w:rFonts w:ascii="Arial" w:eastAsia="Arial" w:hAnsi="Arial" w:cs="Arial"/>
          <w:sz w:val="20"/>
          <w:szCs w:val="20"/>
        </w:rPr>
        <w:t xml:space="preserve">The source of copper parameter pollution that enters the </w:t>
      </w:r>
      <w:proofErr w:type="spellStart"/>
      <w:r w:rsidRPr="003C434A">
        <w:rPr>
          <w:rFonts w:ascii="Arial" w:eastAsia="Arial" w:hAnsi="Arial" w:cs="Arial"/>
          <w:sz w:val="20"/>
          <w:szCs w:val="20"/>
        </w:rPr>
        <w:t>Cikakembang</w:t>
      </w:r>
      <w:proofErr w:type="spellEnd"/>
      <w:r w:rsidRPr="003C434A">
        <w:rPr>
          <w:rFonts w:ascii="Arial" w:eastAsia="Arial" w:hAnsi="Arial" w:cs="Arial"/>
          <w:sz w:val="20"/>
          <w:szCs w:val="20"/>
        </w:rPr>
        <w:t xml:space="preserve"> River comes from the textile industry. Twelve PSPs were detected, with detailed locations depicted using the scheme in Figure 5. Prior research has successfully estimated the discharge value at each PSP, ranging from 0.001 m</w:t>
      </w:r>
      <w:r w:rsidRPr="003C434A">
        <w:rPr>
          <w:rFonts w:ascii="Arial" w:eastAsia="Arial" w:hAnsi="Arial" w:cs="Arial"/>
          <w:sz w:val="20"/>
          <w:szCs w:val="20"/>
          <w:vertAlign w:val="superscript"/>
        </w:rPr>
        <w:t>3</w:t>
      </w:r>
      <w:r w:rsidRPr="003C434A">
        <w:rPr>
          <w:rFonts w:ascii="Arial" w:eastAsia="Arial" w:hAnsi="Arial" w:cs="Arial"/>
          <w:sz w:val="20"/>
          <w:szCs w:val="20"/>
        </w:rPr>
        <w:t>/s to 0.053 m</w:t>
      </w:r>
      <w:r w:rsidRPr="003C434A">
        <w:rPr>
          <w:rFonts w:ascii="Arial" w:eastAsia="Arial" w:hAnsi="Arial" w:cs="Arial"/>
          <w:sz w:val="20"/>
          <w:szCs w:val="20"/>
          <w:vertAlign w:val="superscript"/>
        </w:rPr>
        <w:t>3</w:t>
      </w:r>
      <w:r w:rsidRPr="003C434A">
        <w:rPr>
          <w:rFonts w:ascii="Arial" w:eastAsia="Arial" w:hAnsi="Arial" w:cs="Arial"/>
          <w:sz w:val="20"/>
          <w:szCs w:val="20"/>
        </w:rPr>
        <w:t>/s.</w:t>
      </w:r>
    </w:p>
    <w:p w14:paraId="59CB3B0D" w14:textId="64A545AD" w:rsidR="003C434A" w:rsidRDefault="003C434A">
      <w:pPr>
        <w:spacing w:after="0" w:line="240" w:lineRule="auto"/>
        <w:ind w:left="0" w:hanging="2"/>
        <w:jc w:val="both"/>
        <w:rPr>
          <w:rFonts w:ascii="Arial" w:eastAsia="Arial" w:hAnsi="Arial" w:cs="Arial"/>
          <w:sz w:val="20"/>
          <w:szCs w:val="20"/>
        </w:rPr>
      </w:pPr>
      <w:r w:rsidRPr="00516839">
        <w:rPr>
          <w:noProof/>
        </w:rPr>
        <w:lastRenderedPageBreak/>
        <w:drawing>
          <wp:inline distT="0" distB="0" distL="0" distR="0" wp14:anchorId="336EE387" wp14:editId="03ED8F19">
            <wp:extent cx="2651760" cy="1469860"/>
            <wp:effectExtent l="0" t="0" r="0" b="0"/>
            <wp:docPr id="1538744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74463" name=""/>
                    <pic:cNvPicPr/>
                  </pic:nvPicPr>
                  <pic:blipFill>
                    <a:blip r:embed="rId40"/>
                    <a:stretch>
                      <a:fillRect/>
                    </a:stretch>
                  </pic:blipFill>
                  <pic:spPr>
                    <a:xfrm>
                      <a:off x="0" y="0"/>
                      <a:ext cx="2651760" cy="1469860"/>
                    </a:xfrm>
                    <a:prstGeom prst="rect">
                      <a:avLst/>
                    </a:prstGeom>
                  </pic:spPr>
                </pic:pic>
              </a:graphicData>
            </a:graphic>
          </wp:inline>
        </w:drawing>
      </w:r>
    </w:p>
    <w:p w14:paraId="61B73C26" w14:textId="1BA615E6" w:rsidR="003C434A" w:rsidRDefault="003C434A" w:rsidP="003C434A">
      <w:pPr>
        <w:keepNext/>
        <w:pBdr>
          <w:top w:val="nil"/>
          <w:left w:val="nil"/>
          <w:bottom w:val="nil"/>
          <w:right w:val="nil"/>
          <w:between w:val="nil"/>
        </w:pBdr>
        <w:spacing w:after="0"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t xml:space="preserve">Figure 5. </w:t>
      </w:r>
      <w:r w:rsidRPr="003C434A">
        <w:rPr>
          <w:rFonts w:ascii="Arial" w:eastAsia="Arial" w:hAnsi="Arial" w:cs="Arial"/>
          <w:color w:val="000000"/>
          <w:sz w:val="20"/>
          <w:szCs w:val="20"/>
        </w:rPr>
        <w:t xml:space="preserve">PSP Discharging Scheme of the </w:t>
      </w:r>
      <w:proofErr w:type="spellStart"/>
      <w:r w:rsidRPr="003C434A">
        <w:rPr>
          <w:rFonts w:ascii="Arial" w:eastAsia="Arial" w:hAnsi="Arial" w:cs="Arial"/>
          <w:color w:val="000000"/>
          <w:sz w:val="20"/>
          <w:szCs w:val="20"/>
        </w:rPr>
        <w:t>Cikakembang</w:t>
      </w:r>
      <w:proofErr w:type="spellEnd"/>
      <w:r w:rsidRPr="003C434A">
        <w:rPr>
          <w:rFonts w:ascii="Arial" w:eastAsia="Arial" w:hAnsi="Arial" w:cs="Arial"/>
          <w:color w:val="000000"/>
          <w:sz w:val="20"/>
          <w:szCs w:val="20"/>
        </w:rPr>
        <w:t xml:space="preserve"> River</w:t>
      </w:r>
    </w:p>
    <w:p w14:paraId="243A0AA6" w14:textId="77777777" w:rsidR="003C434A" w:rsidRDefault="003C434A">
      <w:pPr>
        <w:spacing w:after="0" w:line="240" w:lineRule="auto"/>
        <w:ind w:left="0" w:hanging="2"/>
        <w:jc w:val="both"/>
        <w:rPr>
          <w:rFonts w:ascii="Arial" w:eastAsia="Arial" w:hAnsi="Arial" w:cs="Arial"/>
          <w:sz w:val="20"/>
          <w:szCs w:val="20"/>
        </w:rPr>
      </w:pPr>
    </w:p>
    <w:p w14:paraId="46E9C673" w14:textId="77777777" w:rsidR="003C434A" w:rsidRDefault="003C434A" w:rsidP="003C434A">
      <w:pPr>
        <w:spacing w:after="0" w:line="240" w:lineRule="auto"/>
        <w:ind w:left="0" w:hanging="2"/>
        <w:jc w:val="both"/>
        <w:rPr>
          <w:rFonts w:ascii="Arial" w:eastAsia="Arial" w:hAnsi="Arial" w:cs="Arial"/>
          <w:b/>
          <w:color w:val="1F4E79"/>
          <w:sz w:val="20"/>
          <w:szCs w:val="20"/>
        </w:rPr>
      </w:pPr>
      <w:r w:rsidRPr="003C434A">
        <w:rPr>
          <w:rFonts w:ascii="Arial" w:eastAsia="Arial" w:hAnsi="Arial" w:cs="Arial"/>
          <w:b/>
          <w:color w:val="1F4E79"/>
          <w:sz w:val="20"/>
          <w:szCs w:val="20"/>
        </w:rPr>
        <w:t>Relative Root Mean Square Error (RRMSE)</w:t>
      </w:r>
    </w:p>
    <w:p w14:paraId="4BCA8878" w14:textId="6C633383" w:rsidR="003C434A" w:rsidRDefault="003C434A" w:rsidP="00363742">
      <w:pPr>
        <w:spacing w:before="240" w:after="0" w:line="240" w:lineRule="auto"/>
        <w:ind w:leftChars="0" w:left="0" w:firstLineChars="0" w:firstLine="720"/>
        <w:jc w:val="both"/>
        <w:rPr>
          <w:rFonts w:ascii="Arial" w:eastAsia="Cambria" w:hAnsi="Arial" w:cs="Arial"/>
          <w:bCs/>
          <w:sz w:val="20"/>
          <w:szCs w:val="20"/>
        </w:rPr>
      </w:pPr>
      <w:r w:rsidRPr="003C434A">
        <w:rPr>
          <w:rFonts w:ascii="Arial" w:eastAsia="Cambria" w:hAnsi="Arial" w:cs="Arial"/>
          <w:bCs/>
          <w:sz w:val="20"/>
          <w:szCs w:val="20"/>
        </w:rPr>
        <w:t xml:space="preserve">Evaluation of modelling results is needed to measure the accuracy of water quality coefficient values in the calibration and verification process. Relative Root Mean Square Error is an objective function measuring the error percentage in the observation data. The mathematical formula for calculating RRMSE can be seen in Equation 7. The error threshold for using RRMSE to declare the model accurate is 10% </w:t>
      </w:r>
      <w:sdt>
        <w:sdtPr>
          <w:rPr>
            <w:rFonts w:ascii="Arial" w:eastAsia="Cambria" w:hAnsi="Arial" w:cs="Arial"/>
            <w:bCs/>
            <w:color w:val="000000"/>
            <w:sz w:val="20"/>
            <w:szCs w:val="20"/>
          </w:rPr>
          <w:tag w:val="MENDELEY_CITATION_v3_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"/>
          <w:id w:val="1699360976"/>
          <w:placeholder>
            <w:docPart w:val="0F432A1DB4CF412BA9449F084CA5D0F7"/>
          </w:placeholder>
        </w:sdtPr>
        <w:sdtContent>
          <w:r w:rsidR="008743B1" w:rsidRPr="008743B1">
            <w:rPr>
              <w:rFonts w:ascii="Arial" w:eastAsia="Cambria" w:hAnsi="Arial" w:cs="Arial"/>
              <w:bCs/>
              <w:color w:val="000000"/>
              <w:sz w:val="20"/>
              <w:szCs w:val="20"/>
            </w:rPr>
            <w:t>[22]</w:t>
          </w:r>
        </w:sdtContent>
      </w:sdt>
      <w:r w:rsidRPr="003C434A">
        <w:rPr>
          <w:rFonts w:ascii="Arial" w:eastAsia="Cambria" w:hAnsi="Arial" w:cs="Arial"/>
          <w:bCs/>
          <w:sz w:val="20"/>
          <w:szCs w:val="20"/>
        </w:rPr>
        <w:t>.</w:t>
      </w:r>
    </w:p>
    <w:tbl>
      <w:tblPr>
        <w:tblStyle w:val="TableGrid"/>
        <w:tblW w:w="43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845"/>
      </w:tblGrid>
      <w:tr w:rsidR="00635F94" w14:paraId="6D55FBC5" w14:textId="77777777" w:rsidTr="00940EA7">
        <w:tc>
          <w:tcPr>
            <w:tcW w:w="3539" w:type="dxa"/>
            <w:vAlign w:val="center"/>
          </w:tcPr>
          <w:p w14:paraId="0BF0E866" w14:textId="17124E12" w:rsidR="00635F94" w:rsidRDefault="00635F94" w:rsidP="00635F94">
            <w:pPr>
              <w:spacing w:before="240" w:after="120"/>
              <w:ind w:leftChars="0" w:left="0" w:firstLineChars="0" w:firstLine="0"/>
              <w:rPr>
                <w:rFonts w:ascii="Arial" w:eastAsia="Cambria" w:hAnsi="Arial" w:cs="Arial"/>
                <w:bCs/>
                <w:sz w:val="20"/>
                <w:szCs w:val="20"/>
              </w:rPr>
            </w:pPr>
            <w:r>
              <w:object w:dxaOrig="3060" w:dyaOrig="840" w14:anchorId="3F255A9F">
                <v:shape id="_x0000_i1031" type="#_x0000_t75" style="width:152.75pt;height:42.05pt" o:ole="">
                  <v:imagedata r:id="rId41" o:title=""/>
                </v:shape>
                <o:OLEObject Type="Embed" ProgID="Equation.DSMT4" ShapeID="_x0000_i1031" DrawAspect="Content" ObjectID="_1793448192" r:id="rId42"/>
              </w:object>
            </w:r>
          </w:p>
        </w:tc>
        <w:tc>
          <w:tcPr>
            <w:tcW w:w="845" w:type="dxa"/>
            <w:vAlign w:val="center"/>
          </w:tcPr>
          <w:p w14:paraId="3410388B" w14:textId="3BFF7564" w:rsidR="00635F94" w:rsidRDefault="00635F94" w:rsidP="00635F94">
            <w:pPr>
              <w:spacing w:before="240" w:after="120"/>
              <w:ind w:leftChars="0" w:left="0" w:firstLineChars="0" w:firstLine="0"/>
              <w:jc w:val="right"/>
              <w:rPr>
                <w:rFonts w:ascii="Arial" w:eastAsia="Cambria" w:hAnsi="Arial" w:cs="Arial"/>
                <w:bCs/>
                <w:sz w:val="20"/>
                <w:szCs w:val="20"/>
              </w:rPr>
            </w:pPr>
            <w:r>
              <w:rPr>
                <w:rFonts w:ascii="Arial" w:eastAsia="Cambria" w:hAnsi="Arial" w:cs="Arial"/>
                <w:bCs/>
                <w:sz w:val="20"/>
                <w:szCs w:val="20"/>
              </w:rPr>
              <w:t>(7)</w:t>
            </w:r>
          </w:p>
        </w:tc>
      </w:tr>
    </w:tbl>
    <w:p w14:paraId="09BD589A" w14:textId="77777777" w:rsidR="003C434A" w:rsidRDefault="003C434A" w:rsidP="003C434A">
      <w:pPr>
        <w:spacing w:before="240" w:after="120" w:line="240" w:lineRule="auto"/>
        <w:ind w:left="0" w:hanging="2"/>
        <w:rPr>
          <w:rFonts w:ascii="Arial" w:eastAsia="Cambria" w:hAnsi="Arial" w:cs="Arial"/>
          <w:bCs/>
          <w:sz w:val="20"/>
          <w:szCs w:val="20"/>
        </w:rPr>
      </w:pPr>
      <w:r w:rsidRPr="003C434A">
        <w:rPr>
          <w:rFonts w:ascii="Arial" w:eastAsia="Cambria" w:hAnsi="Arial" w:cs="Arial"/>
          <w:bCs/>
          <w:sz w:val="20"/>
          <w:szCs w:val="20"/>
        </w:rPr>
        <w:t xml:space="preserve">Where: </w:t>
      </w:r>
    </w:p>
    <w:tbl>
      <w:tblPr>
        <w:tblStyle w:val="TableGrid"/>
        <w:tblW w:w="453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4"/>
        <w:gridCol w:w="272"/>
        <w:gridCol w:w="3321"/>
      </w:tblGrid>
      <w:tr w:rsidR="00253755" w14:paraId="7C8CACC5" w14:textId="77777777" w:rsidTr="00253755">
        <w:trPr>
          <w:trHeight w:val="268"/>
        </w:trPr>
        <w:tc>
          <w:tcPr>
            <w:tcW w:w="936" w:type="dxa"/>
          </w:tcPr>
          <w:p w14:paraId="7385726E" w14:textId="00AF125E" w:rsidR="00253755" w:rsidRDefault="00253755" w:rsidP="00253755">
            <w:pPr>
              <w:ind w:leftChars="0" w:left="0" w:firstLineChars="0" w:firstLine="0"/>
              <w:rPr>
                <w:rFonts w:ascii="Arial" w:eastAsia="Cambria" w:hAnsi="Arial" w:cs="Arial"/>
                <w:bCs/>
                <w:sz w:val="20"/>
                <w:szCs w:val="20"/>
              </w:rPr>
            </w:pPr>
            <w:r>
              <w:rPr>
                <w:rFonts w:ascii="Arial" w:eastAsia="Cambria" w:hAnsi="Arial" w:cs="Arial"/>
                <w:bCs/>
                <w:sz w:val="20"/>
                <w:szCs w:val="20"/>
              </w:rPr>
              <w:object w:dxaOrig="720" w:dyaOrig="240" w14:anchorId="51ECD471">
                <v:shape id="_x0000_i1032" type="#_x0000_t75" style="width:36.2pt;height:12.05pt" o:ole="">
                  <v:imagedata r:id="rId43" o:title=""/>
                </v:shape>
                <o:OLEObject Type="Embed" ProgID="Equation.DSMT4" ShapeID="_x0000_i1032" DrawAspect="Content" ObjectID="_1793448193" r:id="rId44"/>
              </w:object>
            </w:r>
          </w:p>
        </w:tc>
        <w:tc>
          <w:tcPr>
            <w:tcW w:w="272" w:type="dxa"/>
          </w:tcPr>
          <w:p w14:paraId="6183D0E2" w14:textId="7B21BC2C" w:rsidR="00253755" w:rsidRDefault="00253755" w:rsidP="00253755">
            <w:pPr>
              <w:ind w:leftChars="0" w:left="0" w:firstLineChars="0" w:firstLine="0"/>
              <w:rPr>
                <w:rFonts w:ascii="Arial" w:eastAsia="Cambria" w:hAnsi="Arial" w:cs="Arial"/>
                <w:bCs/>
                <w:sz w:val="20"/>
                <w:szCs w:val="20"/>
              </w:rPr>
            </w:pPr>
            <w:r>
              <w:rPr>
                <w:rFonts w:ascii="Arial" w:eastAsia="Cambria" w:hAnsi="Arial" w:cs="Arial"/>
                <w:bCs/>
                <w:sz w:val="20"/>
                <w:szCs w:val="20"/>
              </w:rPr>
              <w:t>:</w:t>
            </w:r>
          </w:p>
        </w:tc>
        <w:tc>
          <w:tcPr>
            <w:tcW w:w="3329" w:type="dxa"/>
          </w:tcPr>
          <w:p w14:paraId="18F14FBC" w14:textId="53ECCE2B" w:rsidR="00253755" w:rsidRPr="00253755" w:rsidRDefault="00253755" w:rsidP="00253755">
            <w:pPr>
              <w:ind w:left="0" w:hanging="2"/>
              <w:jc w:val="both"/>
              <w:rPr>
                <w:rFonts w:ascii="Arial" w:hAnsi="Arial" w:cs="Arial"/>
                <w:sz w:val="20"/>
                <w:szCs w:val="20"/>
              </w:rPr>
            </w:pPr>
            <w:r w:rsidRPr="003C434A">
              <w:rPr>
                <w:rFonts w:ascii="Arial" w:hAnsi="Arial" w:cs="Arial"/>
                <w:sz w:val="20"/>
                <w:szCs w:val="20"/>
              </w:rPr>
              <w:t>Relative Root Mean Square Error (unitless).</w:t>
            </w:r>
          </w:p>
        </w:tc>
      </w:tr>
      <w:tr w:rsidR="00253755" w14:paraId="14302348" w14:textId="77777777" w:rsidTr="00253755">
        <w:tc>
          <w:tcPr>
            <w:tcW w:w="936" w:type="dxa"/>
          </w:tcPr>
          <w:p w14:paraId="3BCCFABA" w14:textId="6015B86B" w:rsidR="00253755" w:rsidRDefault="00253755" w:rsidP="00253755">
            <w:pPr>
              <w:ind w:leftChars="0" w:left="0" w:firstLineChars="0" w:firstLine="0"/>
              <w:rPr>
                <w:rFonts w:ascii="Arial" w:eastAsia="Cambria" w:hAnsi="Arial" w:cs="Arial"/>
                <w:bCs/>
                <w:sz w:val="20"/>
                <w:szCs w:val="20"/>
              </w:rPr>
            </w:pPr>
            <w:r w:rsidRPr="003C434A">
              <w:rPr>
                <w:rFonts w:ascii="Arial" w:hAnsi="Arial" w:cs="Arial"/>
                <w:position w:val="-10"/>
                <w:sz w:val="20"/>
                <w:szCs w:val="20"/>
              </w:rPr>
              <w:object w:dxaOrig="279" w:dyaOrig="340" w14:anchorId="55595B70">
                <v:shape id="_x0000_i1033" type="#_x0000_t75" style="width:13.75pt;height:17.05pt" o:ole="">
                  <v:imagedata r:id="rId45" o:title=""/>
                </v:shape>
                <o:OLEObject Type="Embed" ProgID="Equation.DSMT4" ShapeID="_x0000_i1033" DrawAspect="Content" ObjectID="_1793448194" r:id="rId46"/>
              </w:object>
            </w:r>
          </w:p>
        </w:tc>
        <w:tc>
          <w:tcPr>
            <w:tcW w:w="272" w:type="dxa"/>
          </w:tcPr>
          <w:p w14:paraId="41BB8078" w14:textId="583CCE88" w:rsidR="00253755" w:rsidRDefault="00253755" w:rsidP="00253755">
            <w:pPr>
              <w:ind w:leftChars="0" w:left="0" w:firstLineChars="0" w:firstLine="0"/>
              <w:rPr>
                <w:rFonts w:ascii="Arial" w:eastAsia="Cambria" w:hAnsi="Arial" w:cs="Arial"/>
                <w:bCs/>
                <w:sz w:val="20"/>
                <w:szCs w:val="20"/>
              </w:rPr>
            </w:pPr>
            <w:r>
              <w:rPr>
                <w:rFonts w:ascii="Arial" w:eastAsia="Cambria" w:hAnsi="Arial" w:cs="Arial"/>
                <w:bCs/>
                <w:sz w:val="20"/>
                <w:szCs w:val="20"/>
              </w:rPr>
              <w:t>:</w:t>
            </w:r>
          </w:p>
        </w:tc>
        <w:tc>
          <w:tcPr>
            <w:tcW w:w="3329" w:type="dxa"/>
          </w:tcPr>
          <w:p w14:paraId="513C5FB2" w14:textId="52272473" w:rsidR="00253755" w:rsidRDefault="00253755" w:rsidP="00253755">
            <w:pPr>
              <w:ind w:leftChars="0" w:left="0" w:firstLineChars="0" w:firstLine="0"/>
              <w:jc w:val="both"/>
              <w:rPr>
                <w:rFonts w:ascii="Arial" w:eastAsia="Cambria" w:hAnsi="Arial" w:cs="Arial"/>
                <w:bCs/>
                <w:sz w:val="20"/>
                <w:szCs w:val="20"/>
              </w:rPr>
            </w:pPr>
            <w:r w:rsidRPr="003C434A">
              <w:rPr>
                <w:rFonts w:ascii="Arial" w:hAnsi="Arial" w:cs="Arial"/>
                <w:sz w:val="20"/>
                <w:szCs w:val="20"/>
              </w:rPr>
              <w:t>The mean observed data of a particular parameter (mg/L).</w:t>
            </w:r>
          </w:p>
        </w:tc>
      </w:tr>
      <w:tr w:rsidR="00253755" w14:paraId="60205EF2" w14:textId="77777777" w:rsidTr="00253755">
        <w:tc>
          <w:tcPr>
            <w:tcW w:w="936" w:type="dxa"/>
          </w:tcPr>
          <w:p w14:paraId="15C63F0D" w14:textId="704F15F9" w:rsidR="00253755" w:rsidRDefault="00253755" w:rsidP="00253755">
            <w:pPr>
              <w:ind w:leftChars="0" w:left="0" w:firstLineChars="0" w:firstLine="0"/>
              <w:rPr>
                <w:rFonts w:ascii="Arial" w:eastAsia="Cambria" w:hAnsi="Arial" w:cs="Arial"/>
                <w:bCs/>
                <w:sz w:val="20"/>
                <w:szCs w:val="20"/>
              </w:rPr>
            </w:pPr>
            <w:r w:rsidRPr="003C434A">
              <w:rPr>
                <w:rFonts w:ascii="Arial" w:hAnsi="Arial" w:cs="Arial"/>
                <w:position w:val="-10"/>
                <w:sz w:val="20"/>
                <w:szCs w:val="20"/>
              </w:rPr>
              <w:object w:dxaOrig="260" w:dyaOrig="300" w14:anchorId="081387D8">
                <v:shape id="_x0000_i1034" type="#_x0000_t75" style="width:12.9pt;height:15pt" o:ole="">
                  <v:imagedata r:id="rId47" o:title=""/>
                </v:shape>
                <o:OLEObject Type="Embed" ProgID="Equation.DSMT4" ShapeID="_x0000_i1034" DrawAspect="Content" ObjectID="_1793448195" r:id="rId48"/>
              </w:object>
            </w:r>
          </w:p>
        </w:tc>
        <w:tc>
          <w:tcPr>
            <w:tcW w:w="272" w:type="dxa"/>
          </w:tcPr>
          <w:p w14:paraId="716D8A8B" w14:textId="2FCC1CA3" w:rsidR="00253755" w:rsidRDefault="00253755" w:rsidP="00253755">
            <w:pPr>
              <w:ind w:leftChars="0" w:left="0" w:firstLineChars="0" w:firstLine="0"/>
              <w:rPr>
                <w:rFonts w:ascii="Arial" w:eastAsia="Cambria" w:hAnsi="Arial" w:cs="Arial"/>
                <w:bCs/>
                <w:sz w:val="20"/>
                <w:szCs w:val="20"/>
              </w:rPr>
            </w:pPr>
            <w:r>
              <w:rPr>
                <w:rFonts w:ascii="Arial" w:eastAsia="Cambria" w:hAnsi="Arial" w:cs="Arial"/>
                <w:bCs/>
                <w:sz w:val="20"/>
                <w:szCs w:val="20"/>
              </w:rPr>
              <w:t>:</w:t>
            </w:r>
          </w:p>
        </w:tc>
        <w:tc>
          <w:tcPr>
            <w:tcW w:w="3329" w:type="dxa"/>
          </w:tcPr>
          <w:p w14:paraId="1268F8E0" w14:textId="29416F12" w:rsidR="00253755" w:rsidRDefault="00253755" w:rsidP="00253755">
            <w:pPr>
              <w:ind w:leftChars="0" w:left="0" w:firstLineChars="0" w:firstLine="0"/>
              <w:jc w:val="both"/>
              <w:rPr>
                <w:rFonts w:ascii="Arial" w:eastAsia="Cambria" w:hAnsi="Arial" w:cs="Arial"/>
                <w:bCs/>
                <w:sz w:val="20"/>
                <w:szCs w:val="20"/>
              </w:rPr>
            </w:pPr>
            <w:r w:rsidRPr="003C434A">
              <w:rPr>
                <w:rFonts w:ascii="Arial" w:hAnsi="Arial" w:cs="Arial"/>
                <w:sz w:val="20"/>
                <w:szCs w:val="20"/>
              </w:rPr>
              <w:t>The observed data of a particular parameter (mg/L).</w:t>
            </w:r>
          </w:p>
        </w:tc>
      </w:tr>
      <w:tr w:rsidR="00253755" w14:paraId="51F36101" w14:textId="77777777" w:rsidTr="00253755">
        <w:tc>
          <w:tcPr>
            <w:tcW w:w="936" w:type="dxa"/>
          </w:tcPr>
          <w:p w14:paraId="54E7653F" w14:textId="2C3C415C" w:rsidR="00253755" w:rsidRDefault="00253755" w:rsidP="00253755">
            <w:pPr>
              <w:ind w:leftChars="0" w:left="0" w:firstLineChars="0" w:firstLine="0"/>
              <w:rPr>
                <w:rFonts w:ascii="Arial" w:eastAsia="Cambria" w:hAnsi="Arial" w:cs="Arial"/>
                <w:bCs/>
                <w:sz w:val="20"/>
                <w:szCs w:val="20"/>
              </w:rPr>
            </w:pPr>
            <w:r w:rsidRPr="003C434A">
              <w:rPr>
                <w:rFonts w:ascii="Arial" w:hAnsi="Arial" w:cs="Arial"/>
                <w:position w:val="-10"/>
                <w:sz w:val="20"/>
                <w:szCs w:val="20"/>
              </w:rPr>
              <w:object w:dxaOrig="300" w:dyaOrig="300" w14:anchorId="39166C0F">
                <v:shape id="_x0000_i1035" type="#_x0000_t75" style="width:15pt;height:15pt" o:ole="">
                  <v:imagedata r:id="rId49" o:title=""/>
                </v:shape>
                <o:OLEObject Type="Embed" ProgID="Equation.DSMT4" ShapeID="_x0000_i1035" DrawAspect="Content" ObjectID="_1793448196" r:id="rId50"/>
              </w:object>
            </w:r>
          </w:p>
        </w:tc>
        <w:tc>
          <w:tcPr>
            <w:tcW w:w="272" w:type="dxa"/>
          </w:tcPr>
          <w:p w14:paraId="4C23FAFA" w14:textId="44735BE7" w:rsidR="00253755" w:rsidRDefault="00253755" w:rsidP="00253755">
            <w:pPr>
              <w:ind w:leftChars="0" w:left="0" w:firstLineChars="0" w:firstLine="0"/>
              <w:rPr>
                <w:rFonts w:ascii="Arial" w:eastAsia="Cambria" w:hAnsi="Arial" w:cs="Arial"/>
                <w:bCs/>
                <w:sz w:val="20"/>
                <w:szCs w:val="20"/>
              </w:rPr>
            </w:pPr>
            <w:r>
              <w:rPr>
                <w:rFonts w:ascii="Arial" w:eastAsia="Cambria" w:hAnsi="Arial" w:cs="Arial"/>
                <w:bCs/>
                <w:sz w:val="20"/>
                <w:szCs w:val="20"/>
              </w:rPr>
              <w:t>:</w:t>
            </w:r>
          </w:p>
        </w:tc>
        <w:tc>
          <w:tcPr>
            <w:tcW w:w="3329" w:type="dxa"/>
          </w:tcPr>
          <w:p w14:paraId="1B60218A" w14:textId="1BC63BAE" w:rsidR="00253755" w:rsidRDefault="00253755" w:rsidP="00253755">
            <w:pPr>
              <w:ind w:leftChars="0" w:left="0" w:firstLineChars="0" w:firstLine="0"/>
              <w:jc w:val="both"/>
              <w:rPr>
                <w:rFonts w:ascii="Arial" w:eastAsia="Cambria" w:hAnsi="Arial" w:cs="Arial"/>
                <w:bCs/>
                <w:sz w:val="20"/>
                <w:szCs w:val="20"/>
              </w:rPr>
            </w:pPr>
            <w:r w:rsidRPr="003C434A">
              <w:rPr>
                <w:rFonts w:ascii="Arial" w:hAnsi="Arial" w:cs="Arial"/>
                <w:sz w:val="20"/>
                <w:szCs w:val="20"/>
              </w:rPr>
              <w:t>The model’s result of a particular parameter (mg/L).</w:t>
            </w:r>
          </w:p>
        </w:tc>
      </w:tr>
      <w:tr w:rsidR="00253755" w14:paraId="19EB54EF" w14:textId="77777777" w:rsidTr="00253755">
        <w:tc>
          <w:tcPr>
            <w:tcW w:w="936" w:type="dxa"/>
          </w:tcPr>
          <w:p w14:paraId="5F06EDF5" w14:textId="11797247" w:rsidR="00253755" w:rsidRPr="003C434A" w:rsidRDefault="00253755" w:rsidP="00253755">
            <w:pPr>
              <w:ind w:leftChars="0" w:left="0" w:firstLineChars="0" w:firstLine="0"/>
              <w:rPr>
                <w:rFonts w:ascii="Arial" w:hAnsi="Arial" w:cs="Arial"/>
                <w:position w:val="0"/>
                <w:sz w:val="20"/>
                <w:szCs w:val="20"/>
              </w:rPr>
            </w:pPr>
            <w:r w:rsidRPr="003C434A">
              <w:rPr>
                <w:rFonts w:ascii="Arial" w:hAnsi="Arial" w:cs="Arial"/>
                <w:position w:val="-6"/>
                <w:sz w:val="20"/>
                <w:szCs w:val="20"/>
              </w:rPr>
              <w:object w:dxaOrig="240" w:dyaOrig="240" w14:anchorId="2DCC4B81">
                <v:shape id="_x0000_i1036" type="#_x0000_t75" style="width:12.05pt;height:12.05pt" o:ole="">
                  <v:imagedata r:id="rId51" o:title=""/>
                </v:shape>
                <o:OLEObject Type="Embed" ProgID="Equation.DSMT4" ShapeID="_x0000_i1036" DrawAspect="Content" ObjectID="_1793448197" r:id="rId52"/>
              </w:object>
            </w:r>
          </w:p>
        </w:tc>
        <w:tc>
          <w:tcPr>
            <w:tcW w:w="272" w:type="dxa"/>
          </w:tcPr>
          <w:p w14:paraId="27E3BD67" w14:textId="189979B9" w:rsidR="00253755" w:rsidRDefault="00253755" w:rsidP="00253755">
            <w:pPr>
              <w:ind w:leftChars="0" w:left="0" w:firstLineChars="0" w:firstLine="0"/>
              <w:rPr>
                <w:rFonts w:ascii="Arial" w:eastAsia="Cambria" w:hAnsi="Arial" w:cs="Arial"/>
                <w:bCs/>
                <w:sz w:val="20"/>
                <w:szCs w:val="20"/>
              </w:rPr>
            </w:pPr>
            <w:r>
              <w:rPr>
                <w:rFonts w:ascii="Arial" w:eastAsia="Cambria" w:hAnsi="Arial" w:cs="Arial"/>
                <w:bCs/>
                <w:sz w:val="20"/>
                <w:szCs w:val="20"/>
              </w:rPr>
              <w:t>:</w:t>
            </w:r>
          </w:p>
        </w:tc>
        <w:tc>
          <w:tcPr>
            <w:tcW w:w="3329" w:type="dxa"/>
          </w:tcPr>
          <w:p w14:paraId="66E5D362" w14:textId="3ECDEC7B" w:rsidR="00253755" w:rsidRPr="00253755" w:rsidRDefault="00253755" w:rsidP="00253755">
            <w:pPr>
              <w:ind w:left="0" w:hanging="2"/>
              <w:jc w:val="both"/>
              <w:rPr>
                <w:rFonts w:ascii="Arial" w:hAnsi="Arial" w:cs="Arial"/>
                <w:sz w:val="20"/>
                <w:szCs w:val="20"/>
              </w:rPr>
            </w:pPr>
            <w:r w:rsidRPr="003C434A">
              <w:rPr>
                <w:rFonts w:ascii="Arial" w:hAnsi="Arial" w:cs="Arial"/>
                <w:sz w:val="20"/>
                <w:szCs w:val="20"/>
              </w:rPr>
              <w:t>Total amount of observation data (unitless).</w:t>
            </w:r>
          </w:p>
        </w:tc>
      </w:tr>
    </w:tbl>
    <w:p w14:paraId="57DED011" w14:textId="77777777" w:rsidR="003C434A" w:rsidRDefault="003C434A" w:rsidP="00253755">
      <w:pPr>
        <w:spacing w:before="240" w:after="0" w:line="240" w:lineRule="auto"/>
        <w:ind w:left="0" w:hanging="2"/>
        <w:jc w:val="both"/>
        <w:rPr>
          <w:rFonts w:ascii="Arial" w:eastAsia="Arial" w:hAnsi="Arial" w:cs="Arial"/>
          <w:b/>
          <w:color w:val="1F4E79"/>
          <w:sz w:val="20"/>
          <w:szCs w:val="20"/>
        </w:rPr>
      </w:pPr>
      <w:r w:rsidRPr="003C434A">
        <w:rPr>
          <w:rFonts w:ascii="Arial" w:eastAsia="Arial" w:hAnsi="Arial" w:cs="Arial"/>
          <w:b/>
          <w:color w:val="1F4E79"/>
          <w:sz w:val="20"/>
          <w:szCs w:val="20"/>
        </w:rPr>
        <w:t>Relative Root Mean Square Error (RRMSE)</w:t>
      </w:r>
    </w:p>
    <w:p w14:paraId="062217F3" w14:textId="74935238" w:rsidR="003C434A" w:rsidRDefault="003C434A" w:rsidP="00363742">
      <w:pPr>
        <w:spacing w:after="0" w:line="240" w:lineRule="auto"/>
        <w:ind w:leftChars="0" w:left="0" w:firstLineChars="0" w:firstLine="720"/>
        <w:jc w:val="both"/>
        <w:rPr>
          <w:rFonts w:ascii="Arial" w:eastAsia="Arial" w:hAnsi="Arial" w:cs="Arial"/>
          <w:sz w:val="20"/>
          <w:szCs w:val="20"/>
        </w:rPr>
      </w:pPr>
      <w:r w:rsidRPr="003C434A">
        <w:rPr>
          <w:rFonts w:ascii="Arial" w:eastAsia="Arial" w:hAnsi="Arial" w:cs="Arial"/>
          <w:sz w:val="20"/>
          <w:szCs w:val="20"/>
        </w:rPr>
        <w:t>Estimating the maximum amount of waste load without exceeding river water quality standards to a certain level can be an appropriate pollution control program. The pollutant carrying capacity (PCC) calculat</w:t>
      </w:r>
      <w:r w:rsidR="008C3A83">
        <w:rPr>
          <w:rFonts w:ascii="Arial" w:eastAsia="Arial" w:hAnsi="Arial" w:cs="Arial"/>
          <w:sz w:val="20"/>
          <w:szCs w:val="20"/>
        </w:rPr>
        <w:t>e the flowrate that</w:t>
      </w:r>
      <w:r w:rsidRPr="003C434A">
        <w:rPr>
          <w:rFonts w:ascii="Arial" w:eastAsia="Arial" w:hAnsi="Arial" w:cs="Arial"/>
          <w:sz w:val="20"/>
          <w:szCs w:val="20"/>
        </w:rPr>
        <w:t xml:space="preserve"> includes variable discharge and effluent concentration discharged into the channel</w:t>
      </w:r>
      <w:r w:rsidR="002A18E4">
        <w:rPr>
          <w:rFonts w:ascii="Arial" w:eastAsia="Arial" w:hAnsi="Arial" w:cs="Arial"/>
          <w:sz w:val="20"/>
          <w:szCs w:val="20"/>
        </w:rPr>
        <w:t xml:space="preserve"> </w:t>
      </w:r>
      <w:sdt>
        <w:sdtPr>
          <w:rPr>
            <w:rFonts w:ascii="Arial" w:eastAsia="Arial" w:hAnsi="Arial" w:cs="Arial"/>
            <w:color w:val="000000"/>
            <w:sz w:val="20"/>
            <w:szCs w:val="20"/>
          </w:rPr>
          <w:tag w:val="MENDELEY_CITATION_v3_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"/>
          <w:id w:val="1482392"/>
          <w:placeholder>
            <w:docPart w:val="DefaultPlaceholder_-1854013440"/>
          </w:placeholder>
        </w:sdtPr>
        <w:sdtContent>
          <w:r w:rsidR="008743B1" w:rsidRPr="008743B1">
            <w:rPr>
              <w:rFonts w:ascii="Arial" w:eastAsia="Arial" w:hAnsi="Arial" w:cs="Arial"/>
              <w:color w:val="000000"/>
              <w:sz w:val="20"/>
              <w:szCs w:val="20"/>
            </w:rPr>
            <w:t>[23]</w:t>
          </w:r>
        </w:sdtContent>
      </w:sdt>
      <w:r w:rsidRPr="003C434A">
        <w:rPr>
          <w:rFonts w:ascii="Arial" w:eastAsia="Arial" w:hAnsi="Arial" w:cs="Arial"/>
          <w:sz w:val="20"/>
          <w:szCs w:val="20"/>
        </w:rPr>
        <w:t>.</w:t>
      </w:r>
      <w:r w:rsidR="002A18E4">
        <w:rPr>
          <w:rFonts w:ascii="Arial" w:eastAsia="Arial" w:hAnsi="Arial" w:cs="Arial"/>
          <w:sz w:val="20"/>
          <w:szCs w:val="20"/>
        </w:rPr>
        <w:t xml:space="preserve"> </w:t>
      </w:r>
      <w:r w:rsidRPr="003C434A">
        <w:rPr>
          <w:rFonts w:ascii="Arial" w:eastAsia="Arial" w:hAnsi="Arial" w:cs="Arial"/>
          <w:sz w:val="20"/>
          <w:szCs w:val="20"/>
        </w:rPr>
        <w:t>The mathematical formula for calculating PCC is written in Equation 8</w:t>
      </w:r>
      <w:r w:rsidR="003E6989">
        <w:rPr>
          <w:rFonts w:ascii="Arial" w:eastAsia="Arial" w:hAnsi="Arial" w:cs="Arial"/>
          <w:sz w:val="20"/>
          <w:szCs w:val="20"/>
        </w:rPr>
        <w:t xml:space="preserve"> </w:t>
      </w:r>
      <w:sdt>
        <w:sdtPr>
          <w:rPr>
            <w:rFonts w:ascii="Arial" w:eastAsia="Arial" w:hAnsi="Arial" w:cs="Arial"/>
            <w:color w:val="000000"/>
            <w:sz w:val="20"/>
            <w:szCs w:val="20"/>
          </w:rPr>
          <w:tag w:val="MENDELEY_CITATION_v3_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"/>
          <w:id w:val="-101730023"/>
          <w:placeholder>
            <w:docPart w:val="DefaultPlaceholder_-1854013440"/>
          </w:placeholder>
        </w:sdtPr>
        <w:sdtContent>
          <w:r w:rsidR="008743B1" w:rsidRPr="008743B1">
            <w:rPr>
              <w:rFonts w:ascii="Arial" w:eastAsia="Arial" w:hAnsi="Arial" w:cs="Arial"/>
              <w:color w:val="000000"/>
              <w:sz w:val="20"/>
              <w:szCs w:val="20"/>
            </w:rPr>
            <w:t>[24]</w:t>
          </w:r>
        </w:sdtContent>
      </w:sdt>
      <w:r w:rsidRPr="003C434A">
        <w:rPr>
          <w:rFonts w:ascii="Arial" w:eastAsia="Arial" w:hAnsi="Arial" w:cs="Arial"/>
          <w:sz w:val="20"/>
          <w:szCs w:val="20"/>
        </w:rPr>
        <w:t>.</w:t>
      </w:r>
    </w:p>
    <w:p w14:paraId="644CC0BA" w14:textId="77777777" w:rsidR="002F2302" w:rsidRDefault="002F2302" w:rsidP="00363742">
      <w:pPr>
        <w:spacing w:after="0" w:line="240" w:lineRule="auto"/>
        <w:ind w:leftChars="0" w:left="0" w:firstLineChars="0" w:firstLine="720"/>
        <w:jc w:val="both"/>
        <w:rPr>
          <w:rFonts w:ascii="Arial" w:eastAsia="Arial" w:hAnsi="Arial" w:cs="Arial"/>
          <w:sz w:val="20"/>
          <w:szCs w:val="20"/>
        </w:rPr>
      </w:pPr>
    </w:p>
    <w:p w14:paraId="2F3AF8FD" w14:textId="77777777" w:rsidR="002F2302" w:rsidRDefault="002F2302" w:rsidP="00363742">
      <w:pPr>
        <w:spacing w:after="0" w:line="240" w:lineRule="auto"/>
        <w:ind w:leftChars="0" w:left="0" w:firstLineChars="0" w:firstLine="720"/>
        <w:jc w:val="both"/>
        <w:rPr>
          <w:rFonts w:ascii="Arial" w:eastAsia="Arial" w:hAnsi="Arial" w:cs="Arial"/>
          <w:sz w:val="20"/>
          <w:szCs w:val="20"/>
        </w:rPr>
      </w:pPr>
    </w:p>
    <w:p w14:paraId="2AF431CE" w14:textId="77777777" w:rsidR="002F2302" w:rsidRDefault="002F2302" w:rsidP="00363742">
      <w:pPr>
        <w:spacing w:after="0" w:line="240" w:lineRule="auto"/>
        <w:ind w:leftChars="0" w:left="0" w:firstLineChars="0" w:firstLine="720"/>
        <w:jc w:val="both"/>
        <w:rPr>
          <w:rFonts w:ascii="Arial" w:eastAsia="Arial" w:hAnsi="Arial" w:cs="Arial"/>
          <w:sz w:val="20"/>
          <w:szCs w:val="20"/>
        </w:rPr>
      </w:pPr>
    </w:p>
    <w:p w14:paraId="0509F483" w14:textId="77777777" w:rsidR="002F2302" w:rsidRDefault="002F2302" w:rsidP="00363742">
      <w:pPr>
        <w:spacing w:after="0" w:line="240" w:lineRule="auto"/>
        <w:ind w:leftChars="0" w:left="0" w:firstLineChars="0" w:firstLine="720"/>
        <w:jc w:val="both"/>
        <w:rPr>
          <w:rFonts w:ascii="Arial" w:eastAsia="Arial" w:hAnsi="Arial" w:cs="Arial"/>
          <w:sz w:val="20"/>
          <w:szCs w:val="20"/>
        </w:rPr>
      </w:pPr>
    </w:p>
    <w:tbl>
      <w:tblPr>
        <w:tblStyle w:val="TableGrid"/>
        <w:tblW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83"/>
        <w:gridCol w:w="2312"/>
      </w:tblGrid>
      <w:tr w:rsidR="00253755" w14:paraId="667B8226" w14:textId="77777777" w:rsidTr="00940EA7">
        <w:tc>
          <w:tcPr>
            <w:tcW w:w="2083" w:type="dxa"/>
          </w:tcPr>
          <w:p w14:paraId="3859E9A0" w14:textId="77F51403" w:rsidR="00253755" w:rsidRDefault="00253755" w:rsidP="003C434A">
            <w:pPr>
              <w:ind w:leftChars="0" w:left="0" w:firstLineChars="0" w:firstLine="0"/>
              <w:jc w:val="both"/>
              <w:rPr>
                <w:rFonts w:ascii="Arial" w:eastAsia="Arial" w:hAnsi="Arial" w:cs="Arial"/>
                <w:sz w:val="20"/>
                <w:szCs w:val="20"/>
              </w:rPr>
            </w:pPr>
            <w:r w:rsidRPr="0088443F">
              <w:rPr>
                <w:position w:val="-12"/>
              </w:rPr>
              <w:object w:dxaOrig="1300" w:dyaOrig="320" w14:anchorId="773CF0F6">
                <v:shape id="_x0000_i1037" type="#_x0000_t75" style="width:64.9pt;height:15.4pt" o:ole="">
                  <v:imagedata r:id="rId53" o:title=""/>
                </v:shape>
                <o:OLEObject Type="Embed" ProgID="Equation.DSMT4" ShapeID="_x0000_i1037" DrawAspect="Content" ObjectID="_1793448198" r:id="rId54"/>
              </w:object>
            </w:r>
          </w:p>
        </w:tc>
        <w:tc>
          <w:tcPr>
            <w:tcW w:w="2312" w:type="dxa"/>
            <w:vAlign w:val="center"/>
          </w:tcPr>
          <w:p w14:paraId="6C647F7B" w14:textId="08B45EB3" w:rsidR="00253755" w:rsidRDefault="00253755" w:rsidP="00940EA7">
            <w:pPr>
              <w:ind w:leftChars="0" w:left="0" w:firstLineChars="0" w:firstLine="0"/>
              <w:jc w:val="right"/>
              <w:rPr>
                <w:rFonts w:ascii="Arial" w:eastAsia="Arial" w:hAnsi="Arial" w:cs="Arial"/>
                <w:sz w:val="20"/>
                <w:szCs w:val="20"/>
              </w:rPr>
            </w:pPr>
            <w:r>
              <w:rPr>
                <w:rFonts w:ascii="Arial" w:eastAsia="Arial" w:hAnsi="Arial" w:cs="Arial"/>
                <w:sz w:val="20"/>
                <w:szCs w:val="20"/>
              </w:rPr>
              <w:t>(8)</w:t>
            </w:r>
          </w:p>
        </w:tc>
      </w:tr>
    </w:tbl>
    <w:p w14:paraId="79D93DBD" w14:textId="77777777" w:rsidR="00F94593" w:rsidRDefault="00F94593" w:rsidP="003C434A">
      <w:pPr>
        <w:spacing w:after="0"/>
        <w:ind w:left="0" w:hanging="2"/>
        <w:rPr>
          <w:rFonts w:ascii="Arial" w:hAnsi="Arial" w:cs="Arial"/>
          <w:sz w:val="20"/>
          <w:szCs w:val="20"/>
        </w:rPr>
      </w:pPr>
    </w:p>
    <w:p w14:paraId="76AFAD4B" w14:textId="1E227B0A" w:rsidR="003C434A" w:rsidRDefault="003C434A" w:rsidP="003C434A">
      <w:pPr>
        <w:spacing w:after="0"/>
        <w:ind w:left="0" w:hanging="2"/>
        <w:rPr>
          <w:rFonts w:ascii="Arial" w:hAnsi="Arial" w:cs="Arial"/>
          <w:sz w:val="20"/>
          <w:szCs w:val="20"/>
        </w:rPr>
      </w:pPr>
      <w:r w:rsidRPr="003C434A">
        <w:rPr>
          <w:rFonts w:ascii="Arial" w:hAnsi="Arial" w:cs="Arial"/>
          <w:sz w:val="20"/>
          <w:szCs w:val="20"/>
        </w:rPr>
        <w:t xml:space="preserve">Where: </w:t>
      </w:r>
    </w:p>
    <w:tbl>
      <w:tblPr>
        <w:tblStyle w:val="TableGrid"/>
        <w:tblW w:w="453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272"/>
        <w:gridCol w:w="3329"/>
      </w:tblGrid>
      <w:tr w:rsidR="00253755" w14:paraId="787463D2" w14:textId="77777777" w:rsidTr="00BB6400">
        <w:trPr>
          <w:trHeight w:val="268"/>
        </w:trPr>
        <w:tc>
          <w:tcPr>
            <w:tcW w:w="936" w:type="dxa"/>
          </w:tcPr>
          <w:p w14:paraId="76866229" w14:textId="457B4656" w:rsidR="00253755" w:rsidRDefault="00253755" w:rsidP="00BB6400">
            <w:pPr>
              <w:ind w:leftChars="0" w:left="0" w:firstLineChars="0" w:firstLine="0"/>
              <w:rPr>
                <w:rFonts w:ascii="Arial" w:eastAsia="Cambria" w:hAnsi="Arial" w:cs="Arial"/>
                <w:bCs/>
                <w:sz w:val="20"/>
                <w:szCs w:val="20"/>
              </w:rPr>
            </w:pPr>
            <w:r w:rsidRPr="003C434A">
              <w:rPr>
                <w:rFonts w:ascii="Arial" w:hAnsi="Arial" w:cs="Arial"/>
                <w:position w:val="-6"/>
                <w:sz w:val="20"/>
                <w:szCs w:val="20"/>
              </w:rPr>
              <w:object w:dxaOrig="480" w:dyaOrig="240" w14:anchorId="5D05E050">
                <v:shape id="_x0000_i1038" type="#_x0000_t75" style="width:23.3pt;height:12.05pt" o:ole="">
                  <v:imagedata r:id="rId55" o:title=""/>
                </v:shape>
                <o:OLEObject Type="Embed" ProgID="Equation.DSMT4" ShapeID="_x0000_i1038" DrawAspect="Content" ObjectID="_1793448199" r:id="rId56"/>
              </w:object>
            </w:r>
          </w:p>
        </w:tc>
        <w:tc>
          <w:tcPr>
            <w:tcW w:w="272" w:type="dxa"/>
          </w:tcPr>
          <w:p w14:paraId="1C70B07D" w14:textId="77777777" w:rsidR="00253755" w:rsidRDefault="00253755" w:rsidP="00BB6400">
            <w:pPr>
              <w:ind w:leftChars="0" w:left="0" w:firstLineChars="0" w:firstLine="0"/>
              <w:rPr>
                <w:rFonts w:ascii="Arial" w:eastAsia="Cambria" w:hAnsi="Arial" w:cs="Arial"/>
                <w:bCs/>
                <w:sz w:val="20"/>
                <w:szCs w:val="20"/>
              </w:rPr>
            </w:pPr>
            <w:r>
              <w:rPr>
                <w:rFonts w:ascii="Arial" w:eastAsia="Cambria" w:hAnsi="Arial" w:cs="Arial"/>
                <w:bCs/>
                <w:sz w:val="20"/>
                <w:szCs w:val="20"/>
              </w:rPr>
              <w:t>:</w:t>
            </w:r>
          </w:p>
        </w:tc>
        <w:tc>
          <w:tcPr>
            <w:tcW w:w="3329" w:type="dxa"/>
          </w:tcPr>
          <w:p w14:paraId="2A2F6CF9" w14:textId="362CB4A0" w:rsidR="00253755" w:rsidRPr="00253755" w:rsidRDefault="00253755" w:rsidP="00BB6400">
            <w:pPr>
              <w:ind w:left="0" w:hanging="2"/>
              <w:jc w:val="both"/>
              <w:rPr>
                <w:rFonts w:ascii="Arial" w:hAnsi="Arial" w:cs="Arial"/>
                <w:sz w:val="20"/>
                <w:szCs w:val="20"/>
              </w:rPr>
            </w:pPr>
            <w:r w:rsidRPr="003C434A">
              <w:rPr>
                <w:rFonts w:ascii="Arial" w:hAnsi="Arial" w:cs="Arial"/>
                <w:sz w:val="20"/>
                <w:szCs w:val="20"/>
              </w:rPr>
              <w:t>Pollutant Carrying Capacity of a particular solute (kg/day)</w:t>
            </w:r>
          </w:p>
        </w:tc>
      </w:tr>
      <w:tr w:rsidR="00253755" w14:paraId="6F8F0D75" w14:textId="77777777" w:rsidTr="00253755">
        <w:tc>
          <w:tcPr>
            <w:tcW w:w="936" w:type="dxa"/>
          </w:tcPr>
          <w:p w14:paraId="2426678D" w14:textId="21A4CEB8" w:rsidR="00253755" w:rsidRDefault="00253755" w:rsidP="00BB6400">
            <w:pPr>
              <w:ind w:leftChars="0" w:left="0" w:firstLineChars="0" w:firstLine="0"/>
              <w:rPr>
                <w:rFonts w:ascii="Arial" w:eastAsia="Cambria" w:hAnsi="Arial" w:cs="Arial"/>
                <w:bCs/>
                <w:sz w:val="20"/>
                <w:szCs w:val="20"/>
              </w:rPr>
            </w:pPr>
            <w:r w:rsidRPr="003C434A">
              <w:rPr>
                <w:rFonts w:ascii="Arial" w:hAnsi="Arial" w:cs="Arial"/>
                <w:position w:val="-12"/>
                <w:sz w:val="20"/>
                <w:szCs w:val="20"/>
              </w:rPr>
              <w:object w:dxaOrig="360" w:dyaOrig="320" w14:anchorId="3E321036">
                <v:shape id="_x0000_i1039" type="#_x0000_t75" style="width:18.75pt;height:15.4pt" o:ole="">
                  <v:imagedata r:id="rId57" o:title=""/>
                </v:shape>
                <o:OLEObject Type="Embed" ProgID="Equation.DSMT4" ShapeID="_x0000_i1039" DrawAspect="Content" ObjectID="_1793448200" r:id="rId58"/>
              </w:object>
            </w:r>
          </w:p>
        </w:tc>
        <w:tc>
          <w:tcPr>
            <w:tcW w:w="272" w:type="dxa"/>
            <w:vAlign w:val="center"/>
          </w:tcPr>
          <w:p w14:paraId="705F543A" w14:textId="77777777" w:rsidR="00253755" w:rsidRDefault="00253755" w:rsidP="00253755">
            <w:pPr>
              <w:ind w:leftChars="0" w:left="0" w:firstLineChars="0" w:firstLine="0"/>
              <w:rPr>
                <w:rFonts w:ascii="Arial" w:eastAsia="Cambria" w:hAnsi="Arial" w:cs="Arial"/>
                <w:bCs/>
                <w:sz w:val="20"/>
                <w:szCs w:val="20"/>
              </w:rPr>
            </w:pPr>
            <w:r>
              <w:rPr>
                <w:rFonts w:ascii="Arial" w:eastAsia="Cambria" w:hAnsi="Arial" w:cs="Arial"/>
                <w:bCs/>
                <w:sz w:val="20"/>
                <w:szCs w:val="20"/>
              </w:rPr>
              <w:t>:</w:t>
            </w:r>
          </w:p>
        </w:tc>
        <w:tc>
          <w:tcPr>
            <w:tcW w:w="3329" w:type="dxa"/>
            <w:vAlign w:val="center"/>
          </w:tcPr>
          <w:p w14:paraId="142F2444" w14:textId="5250B861" w:rsidR="00253755" w:rsidRPr="00253755" w:rsidRDefault="00253755" w:rsidP="00253755">
            <w:pPr>
              <w:ind w:left="0" w:hanging="2"/>
              <w:rPr>
                <w:rFonts w:ascii="Arial" w:hAnsi="Arial" w:cs="Arial"/>
                <w:sz w:val="20"/>
                <w:szCs w:val="20"/>
              </w:rPr>
            </w:pPr>
            <w:r w:rsidRPr="003C434A">
              <w:rPr>
                <w:rFonts w:ascii="Arial" w:hAnsi="Arial" w:cs="Arial"/>
                <w:sz w:val="20"/>
                <w:szCs w:val="20"/>
              </w:rPr>
              <w:t>Industrial effluent discharge (m</w:t>
            </w:r>
            <w:r w:rsidRPr="003C434A">
              <w:rPr>
                <w:rFonts w:ascii="Arial" w:hAnsi="Arial" w:cs="Arial"/>
                <w:sz w:val="20"/>
                <w:szCs w:val="20"/>
                <w:vertAlign w:val="superscript"/>
              </w:rPr>
              <w:t>3</w:t>
            </w:r>
            <w:r w:rsidRPr="003C434A">
              <w:rPr>
                <w:rFonts w:ascii="Arial" w:hAnsi="Arial" w:cs="Arial"/>
                <w:sz w:val="20"/>
                <w:szCs w:val="20"/>
              </w:rPr>
              <w:t>/s)</w:t>
            </w:r>
          </w:p>
        </w:tc>
      </w:tr>
      <w:tr w:rsidR="00253755" w14:paraId="5DA32ED4" w14:textId="77777777" w:rsidTr="00BB6400">
        <w:tc>
          <w:tcPr>
            <w:tcW w:w="936" w:type="dxa"/>
          </w:tcPr>
          <w:p w14:paraId="5E0429A7" w14:textId="3B0DD3DB" w:rsidR="00253755" w:rsidRDefault="00253755" w:rsidP="00BB6400">
            <w:pPr>
              <w:ind w:leftChars="0" w:left="0" w:firstLineChars="0" w:firstLine="0"/>
              <w:rPr>
                <w:rFonts w:ascii="Arial" w:eastAsia="Cambria" w:hAnsi="Arial" w:cs="Arial"/>
                <w:bCs/>
                <w:sz w:val="20"/>
                <w:szCs w:val="20"/>
              </w:rPr>
            </w:pPr>
            <w:r w:rsidRPr="003C434A">
              <w:rPr>
                <w:rFonts w:ascii="Arial" w:hAnsi="Arial" w:cs="Arial"/>
                <w:position w:val="-12"/>
                <w:sz w:val="20"/>
                <w:szCs w:val="20"/>
              </w:rPr>
              <w:object w:dxaOrig="340" w:dyaOrig="320" w14:anchorId="56B6BA16">
                <v:shape id="_x0000_i1040" type="#_x0000_t75" style="width:17.05pt;height:15.4pt" o:ole="">
                  <v:imagedata r:id="rId59" o:title=""/>
                </v:shape>
                <o:OLEObject Type="Embed" ProgID="Equation.DSMT4" ShapeID="_x0000_i1040" DrawAspect="Content" ObjectID="_1793448201" r:id="rId60"/>
              </w:object>
            </w:r>
          </w:p>
        </w:tc>
        <w:tc>
          <w:tcPr>
            <w:tcW w:w="272" w:type="dxa"/>
          </w:tcPr>
          <w:p w14:paraId="60BED816" w14:textId="77777777" w:rsidR="00253755" w:rsidRDefault="00253755" w:rsidP="00BB6400">
            <w:pPr>
              <w:ind w:leftChars="0" w:left="0" w:firstLineChars="0" w:firstLine="0"/>
              <w:rPr>
                <w:rFonts w:ascii="Arial" w:eastAsia="Cambria" w:hAnsi="Arial" w:cs="Arial"/>
                <w:bCs/>
                <w:sz w:val="20"/>
                <w:szCs w:val="20"/>
              </w:rPr>
            </w:pPr>
            <w:r>
              <w:rPr>
                <w:rFonts w:ascii="Arial" w:eastAsia="Cambria" w:hAnsi="Arial" w:cs="Arial"/>
                <w:bCs/>
                <w:sz w:val="20"/>
                <w:szCs w:val="20"/>
              </w:rPr>
              <w:t>:</w:t>
            </w:r>
          </w:p>
        </w:tc>
        <w:tc>
          <w:tcPr>
            <w:tcW w:w="3329" w:type="dxa"/>
          </w:tcPr>
          <w:p w14:paraId="1474BDD4" w14:textId="0739DFF0" w:rsidR="00253755" w:rsidRDefault="00253755" w:rsidP="00BB6400">
            <w:pPr>
              <w:ind w:leftChars="0" w:left="0" w:firstLineChars="0" w:firstLine="0"/>
              <w:jc w:val="both"/>
              <w:rPr>
                <w:rFonts w:ascii="Arial" w:eastAsia="Cambria" w:hAnsi="Arial" w:cs="Arial"/>
                <w:bCs/>
                <w:sz w:val="20"/>
                <w:szCs w:val="20"/>
              </w:rPr>
            </w:pPr>
            <w:r w:rsidRPr="003C434A">
              <w:rPr>
                <w:rFonts w:ascii="Arial" w:hAnsi="Arial" w:cs="Arial"/>
                <w:sz w:val="20"/>
                <w:szCs w:val="20"/>
              </w:rPr>
              <w:t>Industrial effluent’s concentration of a particular solute (mg/L)</w:t>
            </w:r>
          </w:p>
        </w:tc>
      </w:tr>
    </w:tbl>
    <w:p w14:paraId="7640F328" w14:textId="77777777" w:rsidR="00253755" w:rsidRDefault="00253755" w:rsidP="003C434A">
      <w:pPr>
        <w:spacing w:after="0"/>
        <w:ind w:left="0" w:hanging="2"/>
        <w:rPr>
          <w:rFonts w:ascii="Arial" w:eastAsia="Arial" w:hAnsi="Arial" w:cs="Arial"/>
          <w:b/>
          <w:color w:val="1F4E79"/>
          <w:sz w:val="20"/>
          <w:szCs w:val="20"/>
        </w:rPr>
      </w:pPr>
    </w:p>
    <w:p w14:paraId="2308433E" w14:textId="7829CA40" w:rsidR="003C434A" w:rsidRPr="003C434A" w:rsidRDefault="003C434A" w:rsidP="003C434A">
      <w:pPr>
        <w:spacing w:after="0"/>
        <w:ind w:left="0" w:hanging="2"/>
        <w:rPr>
          <w:rFonts w:ascii="Arial" w:hAnsi="Arial" w:cs="Arial"/>
          <w:sz w:val="20"/>
          <w:szCs w:val="20"/>
        </w:rPr>
      </w:pPr>
      <w:r w:rsidRPr="003C434A">
        <w:rPr>
          <w:rFonts w:ascii="Arial" w:eastAsia="Arial" w:hAnsi="Arial" w:cs="Arial"/>
          <w:b/>
          <w:color w:val="1F4E79"/>
          <w:sz w:val="20"/>
          <w:szCs w:val="20"/>
        </w:rPr>
        <w:t>The Indonesian Water Quality Regulations</w:t>
      </w:r>
    </w:p>
    <w:p w14:paraId="6423682D" w14:textId="77777777" w:rsidR="003C434A" w:rsidRDefault="003C434A" w:rsidP="00363742">
      <w:pPr>
        <w:spacing w:after="0" w:line="240" w:lineRule="auto"/>
        <w:ind w:leftChars="0" w:left="0" w:firstLineChars="0" w:firstLine="720"/>
        <w:jc w:val="both"/>
        <w:rPr>
          <w:rFonts w:ascii="Arial" w:eastAsia="Cambria" w:hAnsi="Arial" w:cs="Arial"/>
          <w:bCs/>
          <w:sz w:val="20"/>
          <w:szCs w:val="20"/>
        </w:rPr>
      </w:pPr>
      <w:r w:rsidRPr="003C434A">
        <w:rPr>
          <w:rFonts w:ascii="Arial" w:eastAsia="Cambria" w:hAnsi="Arial" w:cs="Arial"/>
          <w:bCs/>
          <w:sz w:val="20"/>
          <w:szCs w:val="20"/>
        </w:rPr>
        <w:t xml:space="preserve">The development of pollution control requires reference regulations to evaluate water quality conditions. This study uses two regulations from Indonesia relating to water quality. The first regulation is the Indonesian River Water Quality Standard No. 22 of 2021. River water quality regulations will be used to assess the pollution level of the </w:t>
      </w:r>
      <w:proofErr w:type="spellStart"/>
      <w:r w:rsidRPr="003C434A">
        <w:rPr>
          <w:rFonts w:ascii="Arial" w:eastAsia="Cambria" w:hAnsi="Arial" w:cs="Arial"/>
          <w:bCs/>
          <w:sz w:val="20"/>
          <w:szCs w:val="20"/>
        </w:rPr>
        <w:t>Cikakembang</w:t>
      </w:r>
      <w:proofErr w:type="spellEnd"/>
      <w:r w:rsidRPr="003C434A">
        <w:rPr>
          <w:rFonts w:ascii="Arial" w:eastAsia="Cambria" w:hAnsi="Arial" w:cs="Arial"/>
          <w:bCs/>
          <w:sz w:val="20"/>
          <w:szCs w:val="20"/>
        </w:rPr>
        <w:t xml:space="preserve"> River after including a certain level of pollutant load. The second regulation is the Indonesian Textile Industry Wastewater Standard No. 16 of 2019. Textile industry wastewater regulations were used to estimate the </w:t>
      </w:r>
      <w:proofErr w:type="spellStart"/>
      <w:r w:rsidRPr="003C434A">
        <w:rPr>
          <w:rFonts w:ascii="Arial" w:eastAsia="Cambria" w:hAnsi="Arial" w:cs="Arial"/>
          <w:bCs/>
          <w:sz w:val="20"/>
          <w:szCs w:val="20"/>
        </w:rPr>
        <w:t>Cikakembang</w:t>
      </w:r>
      <w:proofErr w:type="spellEnd"/>
      <w:r w:rsidRPr="003C434A">
        <w:rPr>
          <w:rFonts w:ascii="Arial" w:eastAsia="Cambria" w:hAnsi="Arial" w:cs="Arial"/>
          <w:bCs/>
          <w:sz w:val="20"/>
          <w:szCs w:val="20"/>
        </w:rPr>
        <w:t xml:space="preserve"> River PCC in a trial-and-error process. The copper parameter in the Indonesian textile industry waste regulations has not yet been regulated in terms of its levels, so the chromium parameter is the reference concentration. These two regulations can be seen in Table 4 and Table 5, respectively.</w:t>
      </w:r>
    </w:p>
    <w:p w14:paraId="65136C3F" w14:textId="2CF79AB2" w:rsidR="00FB3EFE" w:rsidRPr="00FB3EFE" w:rsidRDefault="00FB3EFE" w:rsidP="00FB3EFE">
      <w:pPr>
        <w:keepNext/>
        <w:pBdr>
          <w:top w:val="nil"/>
          <w:left w:val="nil"/>
          <w:bottom w:val="nil"/>
          <w:right w:val="nil"/>
          <w:between w:val="nil"/>
        </w:pBdr>
        <w:spacing w:before="240" w:after="0"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t xml:space="preserve">Table 4. </w:t>
      </w:r>
      <w:r w:rsidRPr="00FB3EFE">
        <w:rPr>
          <w:rFonts w:ascii="Arial" w:hAnsi="Arial" w:cs="Arial"/>
          <w:sz w:val="20"/>
          <w:szCs w:val="20"/>
        </w:rPr>
        <w:t xml:space="preserve">River Water Quality Standard No. 22 of 2021 </w:t>
      </w:r>
      <w:sdt>
        <w:sdtPr>
          <w:rPr>
            <w:rFonts w:ascii="Arial" w:hAnsi="Arial" w:cs="Arial"/>
            <w:i/>
            <w:iCs/>
            <w:color w:val="000000"/>
            <w:sz w:val="20"/>
            <w:szCs w:val="20"/>
          </w:rPr>
          <w:tag w:val="MENDELEY_CITATION_v3_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"/>
          <w:id w:val="1997377460"/>
          <w:placeholder>
            <w:docPart w:val="7A44FB88993F4F0C8DD6E2E68224F32A"/>
          </w:placeholder>
        </w:sdtPr>
        <w:sdtEndPr>
          <w:rPr>
            <w:iCs w:val="0"/>
          </w:rPr>
        </w:sdtEndPr>
        <w:sdtContent>
          <w:r w:rsidR="008743B1" w:rsidRPr="008743B1">
            <w:rPr>
              <w:rFonts w:ascii="Arial" w:hAnsi="Arial" w:cs="Arial"/>
              <w:color w:val="000000"/>
              <w:sz w:val="20"/>
              <w:szCs w:val="20"/>
            </w:rPr>
            <w:t>[25]</w:t>
          </w:r>
        </w:sdtContent>
      </w:sdt>
    </w:p>
    <w:tbl>
      <w:tblPr>
        <w:tblW w:w="4395" w:type="dxa"/>
        <w:tblLayout w:type="fixed"/>
        <w:tblLook w:val="04A0" w:firstRow="1" w:lastRow="0" w:firstColumn="1" w:lastColumn="0" w:noHBand="0" w:noVBand="1"/>
      </w:tblPr>
      <w:tblGrid>
        <w:gridCol w:w="1560"/>
        <w:gridCol w:w="709"/>
        <w:gridCol w:w="709"/>
        <w:gridCol w:w="708"/>
        <w:gridCol w:w="709"/>
      </w:tblGrid>
      <w:tr w:rsidR="003C434A" w:rsidRPr="003C434A" w14:paraId="6C7A4F08" w14:textId="77777777" w:rsidTr="00126FBD">
        <w:trPr>
          <w:trHeight w:val="300"/>
        </w:trPr>
        <w:tc>
          <w:tcPr>
            <w:tcW w:w="1560" w:type="dxa"/>
            <w:vMerge w:val="restart"/>
            <w:tcBorders>
              <w:top w:val="single" w:sz="8" w:space="0" w:color="auto"/>
              <w:left w:val="nil"/>
              <w:bottom w:val="single" w:sz="8" w:space="0" w:color="000000"/>
              <w:right w:val="nil"/>
            </w:tcBorders>
            <w:shd w:val="clear" w:color="auto" w:fill="auto"/>
            <w:vAlign w:val="center"/>
            <w:hideMark/>
          </w:tcPr>
          <w:p w14:paraId="18ABEBB1" w14:textId="77777777" w:rsidR="003C434A" w:rsidRPr="003C434A" w:rsidRDefault="003C434A" w:rsidP="003C434A">
            <w:pPr>
              <w:spacing w:after="0"/>
              <w:ind w:left="0" w:hanging="2"/>
              <w:jc w:val="center"/>
              <w:rPr>
                <w:rFonts w:ascii="Arial" w:eastAsia="Times New Roman" w:hAnsi="Arial" w:cs="Arial"/>
                <w:b/>
                <w:bCs/>
                <w:color w:val="000000"/>
                <w:sz w:val="16"/>
                <w:szCs w:val="16"/>
                <w:lang w:val="en-GB"/>
              </w:rPr>
            </w:pPr>
            <w:r w:rsidRPr="003C434A">
              <w:rPr>
                <w:rFonts w:ascii="Arial" w:eastAsia="Times New Roman" w:hAnsi="Arial" w:cs="Arial"/>
                <w:b/>
                <w:bCs/>
                <w:color w:val="000000"/>
                <w:sz w:val="16"/>
                <w:szCs w:val="16"/>
                <w:lang w:val="en-GB"/>
              </w:rPr>
              <w:t>Parameter</w:t>
            </w:r>
          </w:p>
        </w:tc>
        <w:tc>
          <w:tcPr>
            <w:tcW w:w="2835" w:type="dxa"/>
            <w:gridSpan w:val="4"/>
            <w:tcBorders>
              <w:top w:val="single" w:sz="8" w:space="0" w:color="auto"/>
              <w:left w:val="nil"/>
              <w:bottom w:val="single" w:sz="8" w:space="0" w:color="auto"/>
              <w:right w:val="nil"/>
            </w:tcBorders>
            <w:shd w:val="clear" w:color="auto" w:fill="auto"/>
            <w:vAlign w:val="center"/>
            <w:hideMark/>
          </w:tcPr>
          <w:p w14:paraId="167DA046" w14:textId="77777777" w:rsidR="003C434A" w:rsidRPr="003C434A" w:rsidRDefault="003C434A" w:rsidP="003C434A">
            <w:pPr>
              <w:spacing w:after="0"/>
              <w:ind w:left="0" w:hanging="2"/>
              <w:jc w:val="center"/>
              <w:rPr>
                <w:rFonts w:ascii="Arial" w:eastAsia="Times New Roman" w:hAnsi="Arial" w:cs="Arial"/>
                <w:b/>
                <w:bCs/>
                <w:color w:val="000000"/>
                <w:sz w:val="16"/>
                <w:szCs w:val="16"/>
                <w:lang w:val="en-GB"/>
              </w:rPr>
            </w:pPr>
            <w:r w:rsidRPr="003C434A">
              <w:rPr>
                <w:rFonts w:ascii="Arial" w:eastAsia="Times New Roman" w:hAnsi="Arial" w:cs="Arial"/>
                <w:b/>
                <w:bCs/>
                <w:color w:val="000000"/>
                <w:sz w:val="16"/>
                <w:szCs w:val="16"/>
                <w:lang w:val="en-GB"/>
              </w:rPr>
              <w:t>River Water Quality Standards</w:t>
            </w:r>
          </w:p>
        </w:tc>
      </w:tr>
      <w:tr w:rsidR="003C434A" w:rsidRPr="003C434A" w14:paraId="0FA3826A" w14:textId="77777777" w:rsidTr="00126FBD">
        <w:trPr>
          <w:trHeight w:val="300"/>
        </w:trPr>
        <w:tc>
          <w:tcPr>
            <w:tcW w:w="1560" w:type="dxa"/>
            <w:vMerge/>
            <w:tcBorders>
              <w:top w:val="single" w:sz="8" w:space="0" w:color="auto"/>
              <w:left w:val="nil"/>
              <w:bottom w:val="single" w:sz="8" w:space="0" w:color="000000"/>
              <w:right w:val="nil"/>
            </w:tcBorders>
            <w:vAlign w:val="center"/>
            <w:hideMark/>
          </w:tcPr>
          <w:p w14:paraId="2B36C930" w14:textId="77777777" w:rsidR="003C434A" w:rsidRPr="003C434A" w:rsidRDefault="003C434A" w:rsidP="003C434A">
            <w:pPr>
              <w:spacing w:after="0"/>
              <w:ind w:left="0" w:hanging="2"/>
              <w:rPr>
                <w:rFonts w:ascii="Arial" w:eastAsia="Times New Roman" w:hAnsi="Arial" w:cs="Arial"/>
                <w:b/>
                <w:bCs/>
                <w:color w:val="000000"/>
                <w:sz w:val="16"/>
                <w:szCs w:val="16"/>
                <w:lang w:val="en-GB"/>
              </w:rPr>
            </w:pPr>
          </w:p>
        </w:tc>
        <w:tc>
          <w:tcPr>
            <w:tcW w:w="709" w:type="dxa"/>
            <w:tcBorders>
              <w:top w:val="nil"/>
              <w:left w:val="nil"/>
              <w:bottom w:val="single" w:sz="8" w:space="0" w:color="auto"/>
              <w:right w:val="nil"/>
            </w:tcBorders>
            <w:shd w:val="clear" w:color="auto" w:fill="auto"/>
            <w:vAlign w:val="center"/>
            <w:hideMark/>
          </w:tcPr>
          <w:p w14:paraId="6FD103D6" w14:textId="77777777" w:rsidR="003C434A" w:rsidRPr="003C434A" w:rsidRDefault="003C434A" w:rsidP="003C434A">
            <w:pPr>
              <w:spacing w:after="0"/>
              <w:ind w:left="0" w:hanging="2"/>
              <w:jc w:val="center"/>
              <w:rPr>
                <w:rFonts w:ascii="Arial" w:eastAsia="Times New Roman" w:hAnsi="Arial" w:cs="Arial"/>
                <w:b/>
                <w:bCs/>
                <w:color w:val="000000"/>
                <w:sz w:val="16"/>
                <w:szCs w:val="16"/>
                <w:lang w:val="en-GB"/>
              </w:rPr>
            </w:pPr>
            <w:r w:rsidRPr="003C434A">
              <w:rPr>
                <w:rFonts w:ascii="Arial" w:eastAsia="Times New Roman" w:hAnsi="Arial" w:cs="Arial"/>
                <w:b/>
                <w:bCs/>
                <w:color w:val="000000"/>
                <w:sz w:val="16"/>
                <w:szCs w:val="16"/>
                <w:lang w:val="en-GB"/>
              </w:rPr>
              <w:t>Class 1</w:t>
            </w:r>
          </w:p>
        </w:tc>
        <w:tc>
          <w:tcPr>
            <w:tcW w:w="709" w:type="dxa"/>
            <w:tcBorders>
              <w:top w:val="nil"/>
              <w:left w:val="nil"/>
              <w:bottom w:val="single" w:sz="8" w:space="0" w:color="auto"/>
              <w:right w:val="nil"/>
            </w:tcBorders>
            <w:shd w:val="clear" w:color="auto" w:fill="auto"/>
            <w:vAlign w:val="center"/>
            <w:hideMark/>
          </w:tcPr>
          <w:p w14:paraId="408D1AEF" w14:textId="77777777" w:rsidR="003C434A" w:rsidRPr="003C434A" w:rsidRDefault="003C434A" w:rsidP="003C434A">
            <w:pPr>
              <w:spacing w:after="0"/>
              <w:ind w:left="0" w:hanging="2"/>
              <w:jc w:val="center"/>
              <w:rPr>
                <w:rFonts w:ascii="Arial" w:eastAsia="Times New Roman" w:hAnsi="Arial" w:cs="Arial"/>
                <w:b/>
                <w:bCs/>
                <w:color w:val="000000"/>
                <w:sz w:val="16"/>
                <w:szCs w:val="16"/>
                <w:lang w:val="en-GB"/>
              </w:rPr>
            </w:pPr>
            <w:r w:rsidRPr="003C434A">
              <w:rPr>
                <w:rFonts w:ascii="Arial" w:eastAsia="Times New Roman" w:hAnsi="Arial" w:cs="Arial"/>
                <w:b/>
                <w:bCs/>
                <w:color w:val="000000"/>
                <w:sz w:val="16"/>
                <w:szCs w:val="16"/>
                <w:lang w:val="en-GB"/>
              </w:rPr>
              <w:t>Class 2</w:t>
            </w:r>
          </w:p>
        </w:tc>
        <w:tc>
          <w:tcPr>
            <w:tcW w:w="708" w:type="dxa"/>
            <w:tcBorders>
              <w:top w:val="nil"/>
              <w:left w:val="nil"/>
              <w:bottom w:val="single" w:sz="8" w:space="0" w:color="auto"/>
              <w:right w:val="nil"/>
            </w:tcBorders>
            <w:shd w:val="clear" w:color="auto" w:fill="auto"/>
            <w:vAlign w:val="center"/>
            <w:hideMark/>
          </w:tcPr>
          <w:p w14:paraId="004F15C6" w14:textId="77777777" w:rsidR="003C434A" w:rsidRPr="003C434A" w:rsidRDefault="003C434A" w:rsidP="003C434A">
            <w:pPr>
              <w:spacing w:after="0"/>
              <w:ind w:left="0" w:hanging="2"/>
              <w:jc w:val="center"/>
              <w:rPr>
                <w:rFonts w:ascii="Arial" w:eastAsia="Times New Roman" w:hAnsi="Arial" w:cs="Arial"/>
                <w:b/>
                <w:bCs/>
                <w:color w:val="000000"/>
                <w:sz w:val="16"/>
                <w:szCs w:val="16"/>
                <w:lang w:val="en-GB"/>
              </w:rPr>
            </w:pPr>
            <w:r w:rsidRPr="003C434A">
              <w:rPr>
                <w:rFonts w:ascii="Arial" w:eastAsia="Times New Roman" w:hAnsi="Arial" w:cs="Arial"/>
                <w:b/>
                <w:bCs/>
                <w:color w:val="000000"/>
                <w:sz w:val="16"/>
                <w:szCs w:val="16"/>
                <w:lang w:val="en-GB"/>
              </w:rPr>
              <w:t>Class 3</w:t>
            </w:r>
          </w:p>
        </w:tc>
        <w:tc>
          <w:tcPr>
            <w:tcW w:w="709" w:type="dxa"/>
            <w:tcBorders>
              <w:top w:val="nil"/>
              <w:left w:val="nil"/>
              <w:bottom w:val="single" w:sz="8" w:space="0" w:color="auto"/>
              <w:right w:val="nil"/>
            </w:tcBorders>
            <w:shd w:val="clear" w:color="auto" w:fill="auto"/>
            <w:vAlign w:val="center"/>
            <w:hideMark/>
          </w:tcPr>
          <w:p w14:paraId="75030353" w14:textId="77777777" w:rsidR="003C434A" w:rsidRPr="003C434A" w:rsidRDefault="003C434A" w:rsidP="003C434A">
            <w:pPr>
              <w:spacing w:after="0"/>
              <w:ind w:left="0" w:hanging="2"/>
              <w:jc w:val="center"/>
              <w:rPr>
                <w:rFonts w:ascii="Arial" w:eastAsia="Times New Roman" w:hAnsi="Arial" w:cs="Arial"/>
                <w:b/>
                <w:bCs/>
                <w:color w:val="000000"/>
                <w:sz w:val="16"/>
                <w:szCs w:val="16"/>
                <w:lang w:val="en-GB"/>
              </w:rPr>
            </w:pPr>
            <w:r w:rsidRPr="003C434A">
              <w:rPr>
                <w:rFonts w:ascii="Arial" w:eastAsia="Times New Roman" w:hAnsi="Arial" w:cs="Arial"/>
                <w:b/>
                <w:bCs/>
                <w:color w:val="000000"/>
                <w:sz w:val="16"/>
                <w:szCs w:val="16"/>
                <w:lang w:val="en-GB"/>
              </w:rPr>
              <w:t>Class 4</w:t>
            </w:r>
          </w:p>
        </w:tc>
      </w:tr>
      <w:tr w:rsidR="003C434A" w:rsidRPr="003C434A" w14:paraId="40CB16E2" w14:textId="77777777" w:rsidTr="003C434A">
        <w:trPr>
          <w:trHeight w:val="279"/>
        </w:trPr>
        <w:tc>
          <w:tcPr>
            <w:tcW w:w="1560" w:type="dxa"/>
            <w:tcBorders>
              <w:top w:val="nil"/>
              <w:left w:val="nil"/>
              <w:bottom w:val="nil"/>
              <w:right w:val="nil"/>
            </w:tcBorders>
            <w:shd w:val="clear" w:color="auto" w:fill="auto"/>
            <w:vAlign w:val="center"/>
            <w:hideMark/>
          </w:tcPr>
          <w:p w14:paraId="0ECED6BB" w14:textId="77777777" w:rsidR="003C434A" w:rsidRPr="003C434A" w:rsidRDefault="003C434A" w:rsidP="003C434A">
            <w:pPr>
              <w:spacing w:after="0"/>
              <w:ind w:left="0" w:hanging="2"/>
              <w:jc w:val="center"/>
              <w:rPr>
                <w:rFonts w:ascii="Arial" w:eastAsia="Times New Roman" w:hAnsi="Arial" w:cs="Arial"/>
                <w:color w:val="000000"/>
                <w:sz w:val="16"/>
                <w:szCs w:val="16"/>
                <w:lang w:val="en-GB"/>
              </w:rPr>
            </w:pPr>
            <w:r w:rsidRPr="003C434A">
              <w:rPr>
                <w:rFonts w:ascii="Arial" w:eastAsia="Times New Roman" w:hAnsi="Arial" w:cs="Arial"/>
                <w:color w:val="000000"/>
                <w:sz w:val="16"/>
                <w:szCs w:val="16"/>
                <w:lang w:val="en-GB"/>
              </w:rPr>
              <w:t>DO (mg/L)</w:t>
            </w:r>
          </w:p>
        </w:tc>
        <w:tc>
          <w:tcPr>
            <w:tcW w:w="709" w:type="dxa"/>
            <w:tcBorders>
              <w:top w:val="nil"/>
              <w:left w:val="nil"/>
              <w:bottom w:val="nil"/>
              <w:right w:val="nil"/>
            </w:tcBorders>
            <w:shd w:val="clear" w:color="auto" w:fill="auto"/>
            <w:vAlign w:val="center"/>
            <w:hideMark/>
          </w:tcPr>
          <w:p w14:paraId="30107C95" w14:textId="77777777" w:rsidR="003C434A" w:rsidRPr="003C434A" w:rsidRDefault="003C434A" w:rsidP="003C434A">
            <w:pPr>
              <w:spacing w:after="0"/>
              <w:ind w:left="0" w:hanging="2"/>
              <w:jc w:val="center"/>
              <w:rPr>
                <w:rFonts w:ascii="Arial" w:eastAsia="Times New Roman" w:hAnsi="Arial" w:cs="Arial"/>
                <w:color w:val="000000"/>
                <w:sz w:val="16"/>
                <w:szCs w:val="16"/>
                <w:lang w:val="en-GB"/>
              </w:rPr>
            </w:pPr>
            <w:r w:rsidRPr="003C434A">
              <w:rPr>
                <w:rFonts w:ascii="Arial" w:eastAsia="Times New Roman" w:hAnsi="Arial" w:cs="Arial"/>
                <w:color w:val="000000"/>
                <w:sz w:val="16"/>
                <w:szCs w:val="16"/>
                <w:lang w:val="en-GB"/>
              </w:rPr>
              <w:t>&gt;6</w:t>
            </w:r>
          </w:p>
        </w:tc>
        <w:tc>
          <w:tcPr>
            <w:tcW w:w="709" w:type="dxa"/>
            <w:tcBorders>
              <w:top w:val="nil"/>
              <w:left w:val="nil"/>
              <w:bottom w:val="nil"/>
              <w:right w:val="nil"/>
            </w:tcBorders>
            <w:shd w:val="clear" w:color="auto" w:fill="auto"/>
            <w:vAlign w:val="center"/>
            <w:hideMark/>
          </w:tcPr>
          <w:p w14:paraId="03881FE6" w14:textId="77777777" w:rsidR="003C434A" w:rsidRPr="003C434A" w:rsidRDefault="003C434A" w:rsidP="003C434A">
            <w:pPr>
              <w:spacing w:after="0"/>
              <w:ind w:left="0" w:hanging="2"/>
              <w:jc w:val="center"/>
              <w:rPr>
                <w:rFonts w:ascii="Arial" w:eastAsia="Times New Roman" w:hAnsi="Arial" w:cs="Arial"/>
                <w:color w:val="000000"/>
                <w:sz w:val="16"/>
                <w:szCs w:val="16"/>
                <w:lang w:val="en-GB"/>
              </w:rPr>
            </w:pPr>
            <w:r w:rsidRPr="003C434A">
              <w:rPr>
                <w:rFonts w:ascii="Arial" w:eastAsia="Times New Roman" w:hAnsi="Arial" w:cs="Arial"/>
                <w:color w:val="000000"/>
                <w:sz w:val="16"/>
                <w:szCs w:val="16"/>
                <w:lang w:val="en-GB"/>
              </w:rPr>
              <w:t>&gt;4</w:t>
            </w:r>
          </w:p>
        </w:tc>
        <w:tc>
          <w:tcPr>
            <w:tcW w:w="708" w:type="dxa"/>
            <w:tcBorders>
              <w:top w:val="nil"/>
              <w:left w:val="nil"/>
              <w:bottom w:val="nil"/>
              <w:right w:val="nil"/>
            </w:tcBorders>
            <w:shd w:val="clear" w:color="auto" w:fill="auto"/>
            <w:vAlign w:val="center"/>
            <w:hideMark/>
          </w:tcPr>
          <w:p w14:paraId="183C5DC6" w14:textId="77777777" w:rsidR="003C434A" w:rsidRPr="003C434A" w:rsidRDefault="003C434A" w:rsidP="003C434A">
            <w:pPr>
              <w:spacing w:after="0"/>
              <w:ind w:left="0" w:hanging="2"/>
              <w:jc w:val="center"/>
              <w:rPr>
                <w:rFonts w:ascii="Arial" w:eastAsia="Times New Roman" w:hAnsi="Arial" w:cs="Arial"/>
                <w:color w:val="000000"/>
                <w:sz w:val="16"/>
                <w:szCs w:val="16"/>
                <w:lang w:val="en-GB"/>
              </w:rPr>
            </w:pPr>
            <w:r w:rsidRPr="003C434A">
              <w:rPr>
                <w:rFonts w:ascii="Arial" w:eastAsia="Times New Roman" w:hAnsi="Arial" w:cs="Arial"/>
                <w:color w:val="000000"/>
                <w:sz w:val="16"/>
                <w:szCs w:val="16"/>
                <w:lang w:val="en-GB"/>
              </w:rPr>
              <w:t>&gt;3</w:t>
            </w:r>
          </w:p>
        </w:tc>
        <w:tc>
          <w:tcPr>
            <w:tcW w:w="709" w:type="dxa"/>
            <w:tcBorders>
              <w:top w:val="nil"/>
              <w:left w:val="nil"/>
              <w:bottom w:val="nil"/>
              <w:right w:val="nil"/>
            </w:tcBorders>
            <w:shd w:val="clear" w:color="auto" w:fill="auto"/>
            <w:vAlign w:val="center"/>
            <w:hideMark/>
          </w:tcPr>
          <w:p w14:paraId="5EE636A4" w14:textId="77777777" w:rsidR="003C434A" w:rsidRPr="003C434A" w:rsidRDefault="003C434A" w:rsidP="003C434A">
            <w:pPr>
              <w:spacing w:after="0"/>
              <w:ind w:left="0" w:hanging="2"/>
              <w:jc w:val="center"/>
              <w:rPr>
                <w:rFonts w:ascii="Arial" w:eastAsia="Times New Roman" w:hAnsi="Arial" w:cs="Arial"/>
                <w:color w:val="000000"/>
                <w:sz w:val="16"/>
                <w:szCs w:val="16"/>
                <w:lang w:val="en-GB"/>
              </w:rPr>
            </w:pPr>
            <w:r w:rsidRPr="003C434A">
              <w:rPr>
                <w:rFonts w:ascii="Arial" w:eastAsia="Times New Roman" w:hAnsi="Arial" w:cs="Arial"/>
                <w:color w:val="000000"/>
                <w:sz w:val="16"/>
                <w:szCs w:val="16"/>
                <w:lang w:val="en-GB"/>
              </w:rPr>
              <w:t>&gt;1</w:t>
            </w:r>
          </w:p>
        </w:tc>
      </w:tr>
      <w:tr w:rsidR="003C434A" w:rsidRPr="003C434A" w14:paraId="3AEBED54" w14:textId="77777777" w:rsidTr="003C434A">
        <w:trPr>
          <w:trHeight w:val="290"/>
        </w:trPr>
        <w:tc>
          <w:tcPr>
            <w:tcW w:w="1560" w:type="dxa"/>
            <w:tcBorders>
              <w:top w:val="nil"/>
              <w:left w:val="nil"/>
              <w:bottom w:val="nil"/>
              <w:right w:val="nil"/>
            </w:tcBorders>
            <w:shd w:val="clear" w:color="auto" w:fill="auto"/>
            <w:vAlign w:val="center"/>
            <w:hideMark/>
          </w:tcPr>
          <w:p w14:paraId="4A39A5C1" w14:textId="77777777" w:rsidR="003C434A" w:rsidRPr="003C434A" w:rsidRDefault="003C434A" w:rsidP="003C434A">
            <w:pPr>
              <w:spacing w:after="0"/>
              <w:ind w:left="0" w:hanging="2"/>
              <w:jc w:val="center"/>
              <w:rPr>
                <w:rFonts w:ascii="Arial" w:eastAsia="Times New Roman" w:hAnsi="Arial" w:cs="Arial"/>
                <w:color w:val="000000"/>
                <w:sz w:val="16"/>
                <w:szCs w:val="16"/>
                <w:lang w:val="en-GB"/>
              </w:rPr>
            </w:pPr>
            <w:r w:rsidRPr="003C434A">
              <w:rPr>
                <w:rFonts w:ascii="Arial" w:eastAsia="Times New Roman" w:hAnsi="Arial" w:cs="Arial"/>
                <w:color w:val="000000"/>
                <w:sz w:val="16"/>
                <w:szCs w:val="16"/>
                <w:lang w:val="en-GB"/>
              </w:rPr>
              <w:t>BOD (mg/L)</w:t>
            </w:r>
          </w:p>
        </w:tc>
        <w:tc>
          <w:tcPr>
            <w:tcW w:w="709" w:type="dxa"/>
            <w:tcBorders>
              <w:top w:val="nil"/>
              <w:left w:val="nil"/>
              <w:bottom w:val="nil"/>
              <w:right w:val="nil"/>
            </w:tcBorders>
            <w:shd w:val="clear" w:color="auto" w:fill="auto"/>
            <w:vAlign w:val="center"/>
            <w:hideMark/>
          </w:tcPr>
          <w:p w14:paraId="2098CC29" w14:textId="77777777" w:rsidR="003C434A" w:rsidRPr="003C434A" w:rsidRDefault="003C434A" w:rsidP="003C434A">
            <w:pPr>
              <w:spacing w:after="0"/>
              <w:ind w:left="0" w:hanging="2"/>
              <w:jc w:val="center"/>
              <w:rPr>
                <w:rFonts w:ascii="Arial" w:eastAsia="Times New Roman" w:hAnsi="Arial" w:cs="Arial"/>
                <w:color w:val="000000"/>
                <w:sz w:val="16"/>
                <w:szCs w:val="16"/>
                <w:lang w:val="en-GB"/>
              </w:rPr>
            </w:pPr>
            <w:r w:rsidRPr="003C434A">
              <w:rPr>
                <w:rFonts w:ascii="Arial" w:eastAsia="Times New Roman" w:hAnsi="Arial" w:cs="Arial"/>
                <w:color w:val="000000"/>
                <w:sz w:val="16"/>
                <w:szCs w:val="16"/>
                <w:lang w:val="en-GB"/>
              </w:rPr>
              <w:t>&lt;2</w:t>
            </w:r>
          </w:p>
        </w:tc>
        <w:tc>
          <w:tcPr>
            <w:tcW w:w="709" w:type="dxa"/>
            <w:tcBorders>
              <w:top w:val="nil"/>
              <w:left w:val="nil"/>
              <w:bottom w:val="nil"/>
              <w:right w:val="nil"/>
            </w:tcBorders>
            <w:shd w:val="clear" w:color="auto" w:fill="auto"/>
            <w:vAlign w:val="center"/>
            <w:hideMark/>
          </w:tcPr>
          <w:p w14:paraId="20DCFBB7" w14:textId="77777777" w:rsidR="003C434A" w:rsidRPr="003C434A" w:rsidRDefault="003C434A" w:rsidP="003C434A">
            <w:pPr>
              <w:spacing w:after="0"/>
              <w:ind w:left="0" w:hanging="2"/>
              <w:jc w:val="center"/>
              <w:rPr>
                <w:rFonts w:ascii="Arial" w:eastAsia="Times New Roman" w:hAnsi="Arial" w:cs="Arial"/>
                <w:color w:val="000000"/>
                <w:sz w:val="16"/>
                <w:szCs w:val="16"/>
                <w:lang w:val="en-GB"/>
              </w:rPr>
            </w:pPr>
            <w:r w:rsidRPr="003C434A">
              <w:rPr>
                <w:rFonts w:ascii="Arial" w:eastAsia="Times New Roman" w:hAnsi="Arial" w:cs="Arial"/>
                <w:color w:val="000000"/>
                <w:sz w:val="16"/>
                <w:szCs w:val="16"/>
                <w:lang w:val="en-GB"/>
              </w:rPr>
              <w:t>&lt;3</w:t>
            </w:r>
          </w:p>
        </w:tc>
        <w:tc>
          <w:tcPr>
            <w:tcW w:w="708" w:type="dxa"/>
            <w:tcBorders>
              <w:top w:val="nil"/>
              <w:left w:val="nil"/>
              <w:bottom w:val="nil"/>
              <w:right w:val="nil"/>
            </w:tcBorders>
            <w:shd w:val="clear" w:color="auto" w:fill="auto"/>
            <w:vAlign w:val="center"/>
            <w:hideMark/>
          </w:tcPr>
          <w:p w14:paraId="58B16582" w14:textId="77777777" w:rsidR="003C434A" w:rsidRPr="003C434A" w:rsidRDefault="003C434A" w:rsidP="003C434A">
            <w:pPr>
              <w:spacing w:after="0"/>
              <w:ind w:left="0" w:hanging="2"/>
              <w:jc w:val="center"/>
              <w:rPr>
                <w:rFonts w:ascii="Arial" w:eastAsia="Times New Roman" w:hAnsi="Arial" w:cs="Arial"/>
                <w:color w:val="000000"/>
                <w:sz w:val="16"/>
                <w:szCs w:val="16"/>
                <w:lang w:val="en-GB"/>
              </w:rPr>
            </w:pPr>
            <w:r w:rsidRPr="003C434A">
              <w:rPr>
                <w:rFonts w:ascii="Arial" w:eastAsia="Times New Roman" w:hAnsi="Arial" w:cs="Arial"/>
                <w:color w:val="000000"/>
                <w:sz w:val="16"/>
                <w:szCs w:val="16"/>
                <w:lang w:val="en-GB"/>
              </w:rPr>
              <w:t>&lt;6</w:t>
            </w:r>
          </w:p>
        </w:tc>
        <w:tc>
          <w:tcPr>
            <w:tcW w:w="709" w:type="dxa"/>
            <w:tcBorders>
              <w:top w:val="nil"/>
              <w:left w:val="nil"/>
              <w:bottom w:val="nil"/>
              <w:right w:val="nil"/>
            </w:tcBorders>
            <w:shd w:val="clear" w:color="auto" w:fill="auto"/>
            <w:vAlign w:val="center"/>
            <w:hideMark/>
          </w:tcPr>
          <w:p w14:paraId="289017C0" w14:textId="77777777" w:rsidR="003C434A" w:rsidRPr="003C434A" w:rsidRDefault="003C434A" w:rsidP="003C434A">
            <w:pPr>
              <w:spacing w:after="0"/>
              <w:ind w:left="0" w:hanging="2"/>
              <w:jc w:val="center"/>
              <w:rPr>
                <w:rFonts w:ascii="Arial" w:eastAsia="Times New Roman" w:hAnsi="Arial" w:cs="Arial"/>
                <w:color w:val="000000"/>
                <w:sz w:val="16"/>
                <w:szCs w:val="16"/>
                <w:lang w:val="en-GB"/>
              </w:rPr>
            </w:pPr>
            <w:r w:rsidRPr="003C434A">
              <w:rPr>
                <w:rFonts w:ascii="Arial" w:eastAsia="Times New Roman" w:hAnsi="Arial" w:cs="Arial"/>
                <w:color w:val="000000"/>
                <w:sz w:val="16"/>
                <w:szCs w:val="16"/>
                <w:lang w:val="en-GB"/>
              </w:rPr>
              <w:t>&lt;12</w:t>
            </w:r>
          </w:p>
        </w:tc>
      </w:tr>
      <w:tr w:rsidR="003C434A" w:rsidRPr="003C434A" w14:paraId="01D9BF8C" w14:textId="77777777" w:rsidTr="00FB3EFE">
        <w:trPr>
          <w:trHeight w:val="280"/>
        </w:trPr>
        <w:tc>
          <w:tcPr>
            <w:tcW w:w="1560" w:type="dxa"/>
            <w:tcBorders>
              <w:top w:val="nil"/>
              <w:left w:val="nil"/>
              <w:bottom w:val="nil"/>
              <w:right w:val="nil"/>
            </w:tcBorders>
            <w:shd w:val="clear" w:color="auto" w:fill="auto"/>
            <w:vAlign w:val="center"/>
            <w:hideMark/>
          </w:tcPr>
          <w:p w14:paraId="07FC7B6C" w14:textId="77777777" w:rsidR="003C434A" w:rsidRPr="003C434A" w:rsidRDefault="003C434A" w:rsidP="003C434A">
            <w:pPr>
              <w:spacing w:after="0"/>
              <w:ind w:left="0" w:hanging="2"/>
              <w:jc w:val="center"/>
              <w:rPr>
                <w:rFonts w:ascii="Arial" w:eastAsia="Times New Roman" w:hAnsi="Arial" w:cs="Arial"/>
                <w:color w:val="000000"/>
                <w:sz w:val="16"/>
                <w:szCs w:val="16"/>
                <w:lang w:val="en-GB"/>
              </w:rPr>
            </w:pPr>
            <w:r w:rsidRPr="003C434A">
              <w:rPr>
                <w:rFonts w:ascii="Arial" w:eastAsia="Times New Roman" w:hAnsi="Arial" w:cs="Arial"/>
                <w:color w:val="000000"/>
                <w:sz w:val="16"/>
                <w:szCs w:val="16"/>
                <w:lang w:val="en-GB"/>
              </w:rPr>
              <w:t>COD (mg/L)</w:t>
            </w:r>
          </w:p>
        </w:tc>
        <w:tc>
          <w:tcPr>
            <w:tcW w:w="709" w:type="dxa"/>
            <w:tcBorders>
              <w:top w:val="nil"/>
              <w:left w:val="nil"/>
              <w:bottom w:val="nil"/>
              <w:right w:val="nil"/>
            </w:tcBorders>
            <w:shd w:val="clear" w:color="auto" w:fill="auto"/>
            <w:vAlign w:val="center"/>
            <w:hideMark/>
          </w:tcPr>
          <w:p w14:paraId="7C1791C8" w14:textId="77777777" w:rsidR="003C434A" w:rsidRPr="003C434A" w:rsidRDefault="003C434A" w:rsidP="003C434A">
            <w:pPr>
              <w:spacing w:after="0"/>
              <w:ind w:left="0" w:hanging="2"/>
              <w:jc w:val="center"/>
              <w:rPr>
                <w:rFonts w:ascii="Arial" w:eastAsia="Times New Roman" w:hAnsi="Arial" w:cs="Arial"/>
                <w:color w:val="000000"/>
                <w:sz w:val="16"/>
                <w:szCs w:val="16"/>
                <w:lang w:val="en-GB"/>
              </w:rPr>
            </w:pPr>
            <w:r w:rsidRPr="003C434A">
              <w:rPr>
                <w:rFonts w:ascii="Arial" w:eastAsia="Times New Roman" w:hAnsi="Arial" w:cs="Arial"/>
                <w:color w:val="000000"/>
                <w:sz w:val="16"/>
                <w:szCs w:val="16"/>
                <w:lang w:val="en-GB"/>
              </w:rPr>
              <w:t>&lt;10</w:t>
            </w:r>
          </w:p>
        </w:tc>
        <w:tc>
          <w:tcPr>
            <w:tcW w:w="709" w:type="dxa"/>
            <w:tcBorders>
              <w:top w:val="nil"/>
              <w:left w:val="nil"/>
              <w:bottom w:val="nil"/>
              <w:right w:val="nil"/>
            </w:tcBorders>
            <w:shd w:val="clear" w:color="auto" w:fill="auto"/>
            <w:vAlign w:val="center"/>
            <w:hideMark/>
          </w:tcPr>
          <w:p w14:paraId="2F40A4A9" w14:textId="77777777" w:rsidR="003C434A" w:rsidRPr="003C434A" w:rsidRDefault="003C434A" w:rsidP="003C434A">
            <w:pPr>
              <w:spacing w:after="0"/>
              <w:ind w:left="0" w:hanging="2"/>
              <w:jc w:val="center"/>
              <w:rPr>
                <w:rFonts w:ascii="Arial" w:eastAsia="Times New Roman" w:hAnsi="Arial" w:cs="Arial"/>
                <w:color w:val="000000"/>
                <w:sz w:val="16"/>
                <w:szCs w:val="16"/>
                <w:lang w:val="en-GB"/>
              </w:rPr>
            </w:pPr>
            <w:r w:rsidRPr="003C434A">
              <w:rPr>
                <w:rFonts w:ascii="Arial" w:eastAsia="Times New Roman" w:hAnsi="Arial" w:cs="Arial"/>
                <w:color w:val="000000"/>
                <w:sz w:val="16"/>
                <w:szCs w:val="16"/>
                <w:lang w:val="en-GB"/>
              </w:rPr>
              <w:t>&lt;25</w:t>
            </w:r>
          </w:p>
        </w:tc>
        <w:tc>
          <w:tcPr>
            <w:tcW w:w="708" w:type="dxa"/>
            <w:tcBorders>
              <w:top w:val="nil"/>
              <w:left w:val="nil"/>
              <w:bottom w:val="nil"/>
              <w:right w:val="nil"/>
            </w:tcBorders>
            <w:shd w:val="clear" w:color="auto" w:fill="auto"/>
            <w:vAlign w:val="center"/>
            <w:hideMark/>
          </w:tcPr>
          <w:p w14:paraId="5DF9BCBD" w14:textId="77777777" w:rsidR="003C434A" w:rsidRPr="003C434A" w:rsidRDefault="003C434A" w:rsidP="003C434A">
            <w:pPr>
              <w:spacing w:after="0"/>
              <w:ind w:left="0" w:hanging="2"/>
              <w:jc w:val="center"/>
              <w:rPr>
                <w:rFonts w:ascii="Arial" w:eastAsia="Times New Roman" w:hAnsi="Arial" w:cs="Arial"/>
                <w:color w:val="000000"/>
                <w:sz w:val="16"/>
                <w:szCs w:val="16"/>
                <w:lang w:val="en-GB"/>
              </w:rPr>
            </w:pPr>
            <w:r w:rsidRPr="003C434A">
              <w:rPr>
                <w:rFonts w:ascii="Arial" w:eastAsia="Times New Roman" w:hAnsi="Arial" w:cs="Arial"/>
                <w:color w:val="000000"/>
                <w:sz w:val="16"/>
                <w:szCs w:val="16"/>
                <w:lang w:val="en-GB"/>
              </w:rPr>
              <w:t>&lt;40</w:t>
            </w:r>
          </w:p>
        </w:tc>
        <w:tc>
          <w:tcPr>
            <w:tcW w:w="709" w:type="dxa"/>
            <w:tcBorders>
              <w:top w:val="nil"/>
              <w:left w:val="nil"/>
              <w:bottom w:val="nil"/>
              <w:right w:val="nil"/>
            </w:tcBorders>
            <w:shd w:val="clear" w:color="auto" w:fill="auto"/>
            <w:vAlign w:val="center"/>
            <w:hideMark/>
          </w:tcPr>
          <w:p w14:paraId="50CA743A" w14:textId="77777777" w:rsidR="003C434A" w:rsidRPr="003C434A" w:rsidRDefault="003C434A" w:rsidP="003C434A">
            <w:pPr>
              <w:spacing w:after="0"/>
              <w:ind w:left="0" w:hanging="2"/>
              <w:jc w:val="center"/>
              <w:rPr>
                <w:rFonts w:ascii="Arial" w:eastAsia="Times New Roman" w:hAnsi="Arial" w:cs="Arial"/>
                <w:color w:val="000000"/>
                <w:sz w:val="16"/>
                <w:szCs w:val="16"/>
                <w:lang w:val="en-GB"/>
              </w:rPr>
            </w:pPr>
            <w:r w:rsidRPr="003C434A">
              <w:rPr>
                <w:rFonts w:ascii="Arial" w:eastAsia="Times New Roman" w:hAnsi="Arial" w:cs="Arial"/>
                <w:color w:val="000000"/>
                <w:sz w:val="16"/>
                <w:szCs w:val="16"/>
                <w:lang w:val="en-GB"/>
              </w:rPr>
              <w:t>&lt;80</w:t>
            </w:r>
          </w:p>
        </w:tc>
      </w:tr>
      <w:tr w:rsidR="003C434A" w:rsidRPr="003C434A" w14:paraId="73C23D89" w14:textId="77777777" w:rsidTr="00FB3EFE">
        <w:trPr>
          <w:trHeight w:val="284"/>
        </w:trPr>
        <w:tc>
          <w:tcPr>
            <w:tcW w:w="1560" w:type="dxa"/>
            <w:tcBorders>
              <w:top w:val="nil"/>
              <w:left w:val="nil"/>
              <w:bottom w:val="single" w:sz="8" w:space="0" w:color="auto"/>
              <w:right w:val="nil"/>
            </w:tcBorders>
            <w:shd w:val="clear" w:color="auto" w:fill="auto"/>
            <w:vAlign w:val="center"/>
            <w:hideMark/>
          </w:tcPr>
          <w:p w14:paraId="1996159C" w14:textId="77777777" w:rsidR="003C434A" w:rsidRPr="003C434A" w:rsidRDefault="003C434A" w:rsidP="003C434A">
            <w:pPr>
              <w:spacing w:after="0"/>
              <w:ind w:left="0" w:hanging="2"/>
              <w:jc w:val="center"/>
              <w:rPr>
                <w:rFonts w:ascii="Arial" w:eastAsia="Times New Roman" w:hAnsi="Arial" w:cs="Arial"/>
                <w:color w:val="000000"/>
                <w:sz w:val="16"/>
                <w:szCs w:val="16"/>
                <w:lang w:val="en-GB"/>
              </w:rPr>
            </w:pPr>
            <w:r w:rsidRPr="003C434A">
              <w:rPr>
                <w:rFonts w:ascii="Arial" w:eastAsia="Times New Roman" w:hAnsi="Arial" w:cs="Arial"/>
                <w:color w:val="000000"/>
                <w:sz w:val="16"/>
                <w:szCs w:val="16"/>
                <w:lang w:val="en-GB"/>
              </w:rPr>
              <w:t>Cu (mg/L)</w:t>
            </w:r>
          </w:p>
        </w:tc>
        <w:tc>
          <w:tcPr>
            <w:tcW w:w="709" w:type="dxa"/>
            <w:tcBorders>
              <w:top w:val="nil"/>
              <w:left w:val="nil"/>
              <w:bottom w:val="single" w:sz="8" w:space="0" w:color="auto"/>
              <w:right w:val="nil"/>
            </w:tcBorders>
            <w:shd w:val="clear" w:color="auto" w:fill="auto"/>
            <w:vAlign w:val="center"/>
            <w:hideMark/>
          </w:tcPr>
          <w:p w14:paraId="2DC7BA8C" w14:textId="77777777" w:rsidR="003C434A" w:rsidRPr="003C434A" w:rsidRDefault="003C434A" w:rsidP="003C434A">
            <w:pPr>
              <w:spacing w:after="0"/>
              <w:ind w:left="0" w:hanging="2"/>
              <w:jc w:val="center"/>
              <w:rPr>
                <w:rFonts w:ascii="Arial" w:eastAsia="Times New Roman" w:hAnsi="Arial" w:cs="Arial"/>
                <w:color w:val="000000"/>
                <w:sz w:val="16"/>
                <w:szCs w:val="16"/>
                <w:lang w:val="en-GB"/>
              </w:rPr>
            </w:pPr>
            <w:r w:rsidRPr="003C434A">
              <w:rPr>
                <w:rFonts w:ascii="Arial" w:eastAsia="Times New Roman" w:hAnsi="Arial" w:cs="Arial"/>
                <w:color w:val="000000"/>
                <w:sz w:val="16"/>
                <w:szCs w:val="16"/>
                <w:lang w:val="en-GB"/>
              </w:rPr>
              <w:t>&lt;0.02</w:t>
            </w:r>
          </w:p>
        </w:tc>
        <w:tc>
          <w:tcPr>
            <w:tcW w:w="709" w:type="dxa"/>
            <w:tcBorders>
              <w:top w:val="nil"/>
              <w:left w:val="nil"/>
              <w:bottom w:val="single" w:sz="8" w:space="0" w:color="auto"/>
              <w:right w:val="nil"/>
            </w:tcBorders>
            <w:shd w:val="clear" w:color="auto" w:fill="auto"/>
            <w:vAlign w:val="center"/>
            <w:hideMark/>
          </w:tcPr>
          <w:p w14:paraId="624C522B" w14:textId="77777777" w:rsidR="003C434A" w:rsidRPr="003C434A" w:rsidRDefault="003C434A" w:rsidP="003C434A">
            <w:pPr>
              <w:spacing w:after="0"/>
              <w:ind w:left="0" w:hanging="2"/>
              <w:jc w:val="center"/>
              <w:rPr>
                <w:rFonts w:ascii="Arial" w:eastAsia="Times New Roman" w:hAnsi="Arial" w:cs="Arial"/>
                <w:color w:val="000000"/>
                <w:sz w:val="16"/>
                <w:szCs w:val="16"/>
                <w:lang w:val="en-GB"/>
              </w:rPr>
            </w:pPr>
            <w:r w:rsidRPr="003C434A">
              <w:rPr>
                <w:rFonts w:ascii="Arial" w:eastAsia="Times New Roman" w:hAnsi="Arial" w:cs="Arial"/>
                <w:color w:val="000000"/>
                <w:sz w:val="16"/>
                <w:szCs w:val="16"/>
                <w:lang w:val="en-GB"/>
              </w:rPr>
              <w:t>&lt;0.02</w:t>
            </w:r>
          </w:p>
        </w:tc>
        <w:tc>
          <w:tcPr>
            <w:tcW w:w="708" w:type="dxa"/>
            <w:tcBorders>
              <w:top w:val="nil"/>
              <w:left w:val="nil"/>
              <w:bottom w:val="single" w:sz="8" w:space="0" w:color="auto"/>
              <w:right w:val="nil"/>
            </w:tcBorders>
            <w:shd w:val="clear" w:color="auto" w:fill="auto"/>
            <w:vAlign w:val="center"/>
            <w:hideMark/>
          </w:tcPr>
          <w:p w14:paraId="24F91623" w14:textId="77777777" w:rsidR="003C434A" w:rsidRPr="003C434A" w:rsidRDefault="003C434A" w:rsidP="003C434A">
            <w:pPr>
              <w:spacing w:after="0"/>
              <w:ind w:left="0" w:hanging="2"/>
              <w:jc w:val="center"/>
              <w:rPr>
                <w:rFonts w:ascii="Arial" w:eastAsia="Times New Roman" w:hAnsi="Arial" w:cs="Arial"/>
                <w:color w:val="000000"/>
                <w:sz w:val="16"/>
                <w:szCs w:val="16"/>
                <w:lang w:val="en-GB"/>
              </w:rPr>
            </w:pPr>
            <w:r w:rsidRPr="003C434A">
              <w:rPr>
                <w:rFonts w:ascii="Arial" w:eastAsia="Times New Roman" w:hAnsi="Arial" w:cs="Arial"/>
                <w:color w:val="000000"/>
                <w:sz w:val="16"/>
                <w:szCs w:val="16"/>
                <w:lang w:val="en-GB"/>
              </w:rPr>
              <w:t>&lt;0.02</w:t>
            </w:r>
          </w:p>
        </w:tc>
        <w:tc>
          <w:tcPr>
            <w:tcW w:w="709" w:type="dxa"/>
            <w:tcBorders>
              <w:top w:val="nil"/>
              <w:left w:val="nil"/>
              <w:bottom w:val="single" w:sz="8" w:space="0" w:color="auto"/>
              <w:right w:val="nil"/>
            </w:tcBorders>
            <w:shd w:val="clear" w:color="auto" w:fill="auto"/>
            <w:vAlign w:val="center"/>
            <w:hideMark/>
          </w:tcPr>
          <w:p w14:paraId="02D30061" w14:textId="77777777" w:rsidR="003C434A" w:rsidRPr="003C434A" w:rsidRDefault="003C434A" w:rsidP="003C434A">
            <w:pPr>
              <w:spacing w:after="0"/>
              <w:ind w:left="0" w:hanging="2"/>
              <w:jc w:val="center"/>
              <w:rPr>
                <w:rFonts w:ascii="Arial" w:eastAsia="Times New Roman" w:hAnsi="Arial" w:cs="Arial"/>
                <w:color w:val="000000"/>
                <w:sz w:val="16"/>
                <w:szCs w:val="16"/>
                <w:lang w:val="en-GB"/>
              </w:rPr>
            </w:pPr>
            <w:r w:rsidRPr="003C434A">
              <w:rPr>
                <w:rFonts w:ascii="Arial" w:eastAsia="Times New Roman" w:hAnsi="Arial" w:cs="Arial"/>
                <w:color w:val="000000"/>
                <w:sz w:val="16"/>
                <w:szCs w:val="16"/>
                <w:lang w:val="en-GB"/>
              </w:rPr>
              <w:t>&lt;0.2</w:t>
            </w:r>
          </w:p>
        </w:tc>
      </w:tr>
    </w:tbl>
    <w:p w14:paraId="0365F98F" w14:textId="280561D8" w:rsidR="00FB3EFE" w:rsidRPr="00FB3EFE" w:rsidRDefault="00FB3EFE" w:rsidP="00FB3EFE">
      <w:pPr>
        <w:keepNext/>
        <w:pBdr>
          <w:top w:val="nil"/>
          <w:left w:val="nil"/>
          <w:bottom w:val="nil"/>
          <w:right w:val="nil"/>
          <w:between w:val="nil"/>
        </w:pBdr>
        <w:spacing w:before="240" w:after="0"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t xml:space="preserve">Table 5. </w:t>
      </w:r>
      <w:r w:rsidRPr="00FB3EFE">
        <w:rPr>
          <w:rFonts w:ascii="Arial" w:hAnsi="Arial" w:cs="Arial"/>
          <w:sz w:val="20"/>
          <w:szCs w:val="20"/>
        </w:rPr>
        <w:t xml:space="preserve">Textile Industry Wastewater Standard No. 16 of 2019 </w:t>
      </w:r>
      <w:sdt>
        <w:sdtPr>
          <w:rPr>
            <w:rFonts w:ascii="Arial" w:hAnsi="Arial" w:cs="Arial"/>
            <w:color w:val="000000"/>
            <w:sz w:val="20"/>
            <w:szCs w:val="20"/>
          </w:rPr>
          <w:tag w:val="MENDELEY_CITATION_v3_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"/>
          <w:id w:val="-1877763965"/>
          <w:placeholder>
            <w:docPart w:val="DefaultPlaceholder_-1854013440"/>
          </w:placeholder>
        </w:sdtPr>
        <w:sdtContent>
          <w:r w:rsidR="008743B1" w:rsidRPr="008743B1">
            <w:rPr>
              <w:rFonts w:ascii="Arial" w:hAnsi="Arial" w:cs="Arial"/>
              <w:color w:val="000000"/>
              <w:sz w:val="20"/>
              <w:szCs w:val="20"/>
            </w:rPr>
            <w:t>[26]</w:t>
          </w:r>
        </w:sdtContent>
      </w:sdt>
    </w:p>
    <w:tbl>
      <w:tblPr>
        <w:tblW w:w="4395" w:type="dxa"/>
        <w:tblLook w:val="04A0" w:firstRow="1" w:lastRow="0" w:firstColumn="1" w:lastColumn="0" w:noHBand="0" w:noVBand="1"/>
      </w:tblPr>
      <w:tblGrid>
        <w:gridCol w:w="1701"/>
        <w:gridCol w:w="993"/>
        <w:gridCol w:w="850"/>
        <w:gridCol w:w="851"/>
      </w:tblGrid>
      <w:tr w:rsidR="00FB3EFE" w:rsidRPr="00FB3EFE" w14:paraId="1FEAA0D2" w14:textId="77777777" w:rsidTr="00126FBD">
        <w:trPr>
          <w:trHeight w:val="300"/>
        </w:trPr>
        <w:tc>
          <w:tcPr>
            <w:tcW w:w="1701" w:type="dxa"/>
            <w:tcBorders>
              <w:top w:val="single" w:sz="8" w:space="0" w:color="auto"/>
              <w:left w:val="nil"/>
              <w:bottom w:val="single" w:sz="8" w:space="0" w:color="auto"/>
              <w:right w:val="nil"/>
            </w:tcBorders>
            <w:shd w:val="clear" w:color="auto" w:fill="auto"/>
            <w:noWrap/>
            <w:vAlign w:val="center"/>
            <w:hideMark/>
          </w:tcPr>
          <w:p w14:paraId="003DBB22" w14:textId="77777777" w:rsidR="00FB3EFE" w:rsidRPr="00FB3EFE" w:rsidRDefault="00FB3EFE" w:rsidP="00FB3EFE">
            <w:pPr>
              <w:spacing w:after="0"/>
              <w:ind w:left="0" w:hanging="2"/>
              <w:jc w:val="center"/>
              <w:rPr>
                <w:rFonts w:ascii="Arial" w:eastAsia="Times New Roman" w:hAnsi="Arial" w:cs="Arial"/>
                <w:b/>
                <w:bCs/>
                <w:color w:val="000000"/>
                <w:sz w:val="16"/>
                <w:szCs w:val="16"/>
                <w:lang w:val="en-GB"/>
              </w:rPr>
            </w:pPr>
            <w:r w:rsidRPr="00FB3EFE">
              <w:rPr>
                <w:rFonts w:ascii="Arial" w:eastAsia="Times New Roman" w:hAnsi="Arial" w:cs="Arial"/>
                <w:b/>
                <w:bCs/>
                <w:color w:val="000000"/>
                <w:sz w:val="16"/>
                <w:szCs w:val="16"/>
                <w:lang w:val="en-GB"/>
              </w:rPr>
              <w:t>Discharge</w:t>
            </w:r>
          </w:p>
        </w:tc>
        <w:tc>
          <w:tcPr>
            <w:tcW w:w="993" w:type="dxa"/>
            <w:tcBorders>
              <w:top w:val="single" w:sz="8" w:space="0" w:color="auto"/>
              <w:left w:val="nil"/>
              <w:bottom w:val="single" w:sz="8" w:space="0" w:color="auto"/>
              <w:right w:val="nil"/>
            </w:tcBorders>
            <w:shd w:val="clear" w:color="auto" w:fill="auto"/>
            <w:noWrap/>
            <w:vAlign w:val="center"/>
            <w:hideMark/>
          </w:tcPr>
          <w:p w14:paraId="5B40BDC0" w14:textId="77777777" w:rsidR="00FB3EFE" w:rsidRPr="00FB3EFE" w:rsidRDefault="00FB3EFE" w:rsidP="00FB3EFE">
            <w:pPr>
              <w:spacing w:after="0"/>
              <w:ind w:left="0" w:hanging="2"/>
              <w:jc w:val="center"/>
              <w:rPr>
                <w:rFonts w:ascii="Arial" w:eastAsia="Times New Roman" w:hAnsi="Arial" w:cs="Arial"/>
                <w:b/>
                <w:bCs/>
                <w:color w:val="000000"/>
                <w:sz w:val="16"/>
                <w:szCs w:val="16"/>
                <w:lang w:val="en-GB"/>
              </w:rPr>
            </w:pPr>
            <w:r w:rsidRPr="00FB3EFE">
              <w:rPr>
                <w:rFonts w:ascii="Arial" w:eastAsia="Times New Roman" w:hAnsi="Arial" w:cs="Arial"/>
                <w:b/>
                <w:bCs/>
                <w:color w:val="000000"/>
                <w:sz w:val="16"/>
                <w:szCs w:val="16"/>
                <w:lang w:val="en-GB"/>
              </w:rPr>
              <w:t>BOD</w:t>
            </w:r>
          </w:p>
        </w:tc>
        <w:tc>
          <w:tcPr>
            <w:tcW w:w="850" w:type="dxa"/>
            <w:tcBorders>
              <w:top w:val="single" w:sz="8" w:space="0" w:color="auto"/>
              <w:left w:val="nil"/>
              <w:bottom w:val="single" w:sz="8" w:space="0" w:color="auto"/>
              <w:right w:val="nil"/>
            </w:tcBorders>
            <w:shd w:val="clear" w:color="auto" w:fill="auto"/>
            <w:noWrap/>
            <w:vAlign w:val="center"/>
            <w:hideMark/>
          </w:tcPr>
          <w:p w14:paraId="5DBC43A5" w14:textId="77777777" w:rsidR="00FB3EFE" w:rsidRPr="00FB3EFE" w:rsidRDefault="00FB3EFE" w:rsidP="00FB3EFE">
            <w:pPr>
              <w:spacing w:after="0"/>
              <w:ind w:left="0" w:hanging="2"/>
              <w:jc w:val="center"/>
              <w:rPr>
                <w:rFonts w:ascii="Arial" w:eastAsia="Times New Roman" w:hAnsi="Arial" w:cs="Arial"/>
                <w:b/>
                <w:bCs/>
                <w:color w:val="000000"/>
                <w:sz w:val="16"/>
                <w:szCs w:val="16"/>
                <w:lang w:val="en-GB"/>
              </w:rPr>
            </w:pPr>
            <w:r w:rsidRPr="00FB3EFE">
              <w:rPr>
                <w:rFonts w:ascii="Arial" w:eastAsia="Times New Roman" w:hAnsi="Arial" w:cs="Arial"/>
                <w:b/>
                <w:bCs/>
                <w:color w:val="000000"/>
                <w:sz w:val="16"/>
                <w:szCs w:val="16"/>
                <w:lang w:val="en-GB"/>
              </w:rPr>
              <w:t>COD</w:t>
            </w:r>
          </w:p>
        </w:tc>
        <w:tc>
          <w:tcPr>
            <w:tcW w:w="851" w:type="dxa"/>
            <w:tcBorders>
              <w:top w:val="single" w:sz="8" w:space="0" w:color="auto"/>
              <w:left w:val="nil"/>
              <w:bottom w:val="single" w:sz="8" w:space="0" w:color="auto"/>
              <w:right w:val="nil"/>
            </w:tcBorders>
            <w:shd w:val="clear" w:color="auto" w:fill="auto"/>
            <w:noWrap/>
            <w:vAlign w:val="center"/>
            <w:hideMark/>
          </w:tcPr>
          <w:p w14:paraId="1A7BF174" w14:textId="77777777" w:rsidR="00FB3EFE" w:rsidRPr="00FB3EFE" w:rsidRDefault="00FB3EFE" w:rsidP="00FB3EFE">
            <w:pPr>
              <w:spacing w:after="0"/>
              <w:ind w:left="0" w:hanging="2"/>
              <w:jc w:val="center"/>
              <w:rPr>
                <w:rFonts w:ascii="Arial" w:eastAsia="Times New Roman" w:hAnsi="Arial" w:cs="Arial"/>
                <w:b/>
                <w:bCs/>
                <w:color w:val="000000"/>
                <w:sz w:val="16"/>
                <w:szCs w:val="16"/>
                <w:lang w:val="en-GB"/>
              </w:rPr>
            </w:pPr>
            <w:r w:rsidRPr="00FB3EFE">
              <w:rPr>
                <w:rFonts w:ascii="Arial" w:eastAsia="Times New Roman" w:hAnsi="Arial" w:cs="Arial"/>
                <w:b/>
                <w:bCs/>
                <w:color w:val="000000"/>
                <w:sz w:val="16"/>
                <w:szCs w:val="16"/>
                <w:lang w:val="en-GB"/>
              </w:rPr>
              <w:t>Cr</w:t>
            </w:r>
          </w:p>
        </w:tc>
      </w:tr>
      <w:tr w:rsidR="00FB3EFE" w:rsidRPr="00FB3EFE" w14:paraId="14CE4387" w14:textId="77777777" w:rsidTr="00126FBD">
        <w:trPr>
          <w:trHeight w:val="290"/>
        </w:trPr>
        <w:tc>
          <w:tcPr>
            <w:tcW w:w="1701" w:type="dxa"/>
            <w:tcBorders>
              <w:top w:val="nil"/>
              <w:left w:val="nil"/>
              <w:bottom w:val="nil"/>
              <w:right w:val="nil"/>
            </w:tcBorders>
            <w:shd w:val="clear" w:color="auto" w:fill="auto"/>
            <w:noWrap/>
            <w:vAlign w:val="center"/>
            <w:hideMark/>
          </w:tcPr>
          <w:p w14:paraId="07285C2E" w14:textId="77777777" w:rsidR="00FB3EFE" w:rsidRPr="00FB3EFE" w:rsidRDefault="00FB3EFE" w:rsidP="00FB3EFE">
            <w:pPr>
              <w:spacing w:after="0"/>
              <w:ind w:left="0" w:hanging="2"/>
              <w:jc w:val="center"/>
              <w:rPr>
                <w:rFonts w:ascii="Arial" w:eastAsia="Times New Roman" w:hAnsi="Arial" w:cs="Arial"/>
                <w:color w:val="000000"/>
                <w:sz w:val="16"/>
                <w:szCs w:val="16"/>
                <w:lang w:val="en-GB"/>
              </w:rPr>
            </w:pPr>
            <w:r w:rsidRPr="00FB3EFE">
              <w:rPr>
                <w:rFonts w:ascii="Arial" w:eastAsia="Times New Roman" w:hAnsi="Arial" w:cs="Arial"/>
                <w:color w:val="000000"/>
                <w:sz w:val="16"/>
                <w:szCs w:val="16"/>
                <w:lang w:val="en-GB"/>
              </w:rPr>
              <w:t>≤ 100</w:t>
            </w:r>
          </w:p>
        </w:tc>
        <w:tc>
          <w:tcPr>
            <w:tcW w:w="993" w:type="dxa"/>
            <w:tcBorders>
              <w:top w:val="nil"/>
              <w:left w:val="nil"/>
              <w:bottom w:val="nil"/>
              <w:right w:val="nil"/>
            </w:tcBorders>
            <w:shd w:val="clear" w:color="auto" w:fill="auto"/>
            <w:noWrap/>
            <w:vAlign w:val="center"/>
            <w:hideMark/>
          </w:tcPr>
          <w:p w14:paraId="3264F38E" w14:textId="77777777" w:rsidR="00FB3EFE" w:rsidRPr="00FB3EFE" w:rsidRDefault="00FB3EFE" w:rsidP="00FB3EFE">
            <w:pPr>
              <w:spacing w:after="0"/>
              <w:ind w:left="0" w:hanging="2"/>
              <w:jc w:val="center"/>
              <w:rPr>
                <w:rFonts w:ascii="Arial" w:eastAsia="Times New Roman" w:hAnsi="Arial" w:cs="Arial"/>
                <w:color w:val="000000"/>
                <w:sz w:val="16"/>
                <w:szCs w:val="16"/>
                <w:lang w:val="en-GB"/>
              </w:rPr>
            </w:pPr>
            <w:r w:rsidRPr="00FB3EFE">
              <w:rPr>
                <w:rFonts w:ascii="Arial" w:eastAsia="Times New Roman" w:hAnsi="Arial" w:cs="Arial"/>
                <w:color w:val="000000"/>
                <w:sz w:val="16"/>
                <w:szCs w:val="16"/>
                <w:lang w:val="en-GB"/>
              </w:rPr>
              <w:t>60</w:t>
            </w:r>
          </w:p>
        </w:tc>
        <w:tc>
          <w:tcPr>
            <w:tcW w:w="850" w:type="dxa"/>
            <w:tcBorders>
              <w:top w:val="nil"/>
              <w:left w:val="nil"/>
              <w:bottom w:val="nil"/>
              <w:right w:val="nil"/>
            </w:tcBorders>
            <w:shd w:val="clear" w:color="auto" w:fill="auto"/>
            <w:noWrap/>
            <w:vAlign w:val="center"/>
            <w:hideMark/>
          </w:tcPr>
          <w:p w14:paraId="65E053D1" w14:textId="77777777" w:rsidR="00FB3EFE" w:rsidRPr="00FB3EFE" w:rsidRDefault="00FB3EFE" w:rsidP="00FB3EFE">
            <w:pPr>
              <w:spacing w:after="0"/>
              <w:ind w:left="0" w:hanging="2"/>
              <w:jc w:val="center"/>
              <w:rPr>
                <w:rFonts w:ascii="Arial" w:eastAsia="Times New Roman" w:hAnsi="Arial" w:cs="Arial"/>
                <w:color w:val="000000"/>
                <w:sz w:val="16"/>
                <w:szCs w:val="16"/>
                <w:lang w:val="en-GB"/>
              </w:rPr>
            </w:pPr>
            <w:r w:rsidRPr="00FB3EFE">
              <w:rPr>
                <w:rFonts w:ascii="Arial" w:eastAsia="Times New Roman" w:hAnsi="Arial" w:cs="Arial"/>
                <w:color w:val="000000"/>
                <w:sz w:val="16"/>
                <w:szCs w:val="16"/>
                <w:lang w:val="en-GB"/>
              </w:rPr>
              <w:t>150</w:t>
            </w:r>
          </w:p>
        </w:tc>
        <w:tc>
          <w:tcPr>
            <w:tcW w:w="851" w:type="dxa"/>
            <w:tcBorders>
              <w:top w:val="nil"/>
              <w:left w:val="nil"/>
              <w:bottom w:val="nil"/>
              <w:right w:val="nil"/>
            </w:tcBorders>
            <w:shd w:val="clear" w:color="auto" w:fill="auto"/>
            <w:noWrap/>
            <w:vAlign w:val="center"/>
            <w:hideMark/>
          </w:tcPr>
          <w:p w14:paraId="69FC72D5" w14:textId="77777777" w:rsidR="00FB3EFE" w:rsidRPr="00FB3EFE" w:rsidRDefault="00FB3EFE" w:rsidP="00FB3EFE">
            <w:pPr>
              <w:spacing w:after="0"/>
              <w:ind w:left="0" w:hanging="2"/>
              <w:jc w:val="center"/>
              <w:rPr>
                <w:rFonts w:ascii="Arial" w:eastAsia="Times New Roman" w:hAnsi="Arial" w:cs="Arial"/>
                <w:color w:val="000000"/>
                <w:sz w:val="16"/>
                <w:szCs w:val="16"/>
                <w:lang w:val="en-GB"/>
              </w:rPr>
            </w:pPr>
            <w:r w:rsidRPr="00FB3EFE">
              <w:rPr>
                <w:rFonts w:ascii="Arial" w:eastAsia="Times New Roman" w:hAnsi="Arial" w:cs="Arial"/>
                <w:color w:val="000000"/>
                <w:sz w:val="16"/>
                <w:szCs w:val="16"/>
                <w:lang w:val="en-GB"/>
              </w:rPr>
              <w:t>1</w:t>
            </w:r>
          </w:p>
        </w:tc>
      </w:tr>
      <w:tr w:rsidR="00FB3EFE" w:rsidRPr="00FB3EFE" w14:paraId="7F3E7F5C" w14:textId="77777777" w:rsidTr="00126FBD">
        <w:trPr>
          <w:trHeight w:val="290"/>
        </w:trPr>
        <w:tc>
          <w:tcPr>
            <w:tcW w:w="1701" w:type="dxa"/>
            <w:tcBorders>
              <w:top w:val="nil"/>
              <w:left w:val="nil"/>
              <w:bottom w:val="nil"/>
              <w:right w:val="nil"/>
            </w:tcBorders>
            <w:shd w:val="clear" w:color="auto" w:fill="auto"/>
            <w:noWrap/>
            <w:vAlign w:val="center"/>
            <w:hideMark/>
          </w:tcPr>
          <w:p w14:paraId="480145F8" w14:textId="77777777" w:rsidR="00FB3EFE" w:rsidRPr="00FB3EFE" w:rsidRDefault="00FB3EFE" w:rsidP="00FB3EFE">
            <w:pPr>
              <w:spacing w:after="0"/>
              <w:ind w:left="0" w:hanging="2"/>
              <w:jc w:val="center"/>
              <w:rPr>
                <w:rFonts w:ascii="Arial" w:eastAsia="Times New Roman" w:hAnsi="Arial" w:cs="Arial"/>
                <w:color w:val="000000"/>
                <w:sz w:val="16"/>
                <w:szCs w:val="16"/>
                <w:lang w:val="en-GB"/>
              </w:rPr>
            </w:pPr>
            <w:r w:rsidRPr="00FB3EFE">
              <w:rPr>
                <w:rFonts w:ascii="Arial" w:eastAsia="Times New Roman" w:hAnsi="Arial" w:cs="Arial"/>
                <w:color w:val="000000"/>
                <w:sz w:val="16"/>
                <w:szCs w:val="16"/>
                <w:lang w:val="en-GB"/>
              </w:rPr>
              <w:t>100 &lt; x &lt; 1000</w:t>
            </w:r>
          </w:p>
        </w:tc>
        <w:tc>
          <w:tcPr>
            <w:tcW w:w="993" w:type="dxa"/>
            <w:tcBorders>
              <w:top w:val="nil"/>
              <w:left w:val="nil"/>
              <w:bottom w:val="nil"/>
              <w:right w:val="nil"/>
            </w:tcBorders>
            <w:shd w:val="clear" w:color="auto" w:fill="auto"/>
            <w:noWrap/>
            <w:vAlign w:val="center"/>
            <w:hideMark/>
          </w:tcPr>
          <w:p w14:paraId="73E61036" w14:textId="77777777" w:rsidR="00FB3EFE" w:rsidRPr="00FB3EFE" w:rsidRDefault="00FB3EFE" w:rsidP="00FB3EFE">
            <w:pPr>
              <w:spacing w:after="0"/>
              <w:ind w:left="0" w:hanging="2"/>
              <w:jc w:val="center"/>
              <w:rPr>
                <w:rFonts w:ascii="Arial" w:eastAsia="Times New Roman" w:hAnsi="Arial" w:cs="Arial"/>
                <w:color w:val="000000"/>
                <w:sz w:val="16"/>
                <w:szCs w:val="16"/>
                <w:lang w:val="en-GB"/>
              </w:rPr>
            </w:pPr>
            <w:r w:rsidRPr="00FB3EFE">
              <w:rPr>
                <w:rFonts w:ascii="Arial" w:eastAsia="Times New Roman" w:hAnsi="Arial" w:cs="Arial"/>
                <w:color w:val="000000"/>
                <w:sz w:val="16"/>
                <w:szCs w:val="16"/>
                <w:lang w:val="en-GB"/>
              </w:rPr>
              <w:t>45</w:t>
            </w:r>
          </w:p>
        </w:tc>
        <w:tc>
          <w:tcPr>
            <w:tcW w:w="850" w:type="dxa"/>
            <w:tcBorders>
              <w:top w:val="nil"/>
              <w:left w:val="nil"/>
              <w:bottom w:val="nil"/>
              <w:right w:val="nil"/>
            </w:tcBorders>
            <w:shd w:val="clear" w:color="auto" w:fill="auto"/>
            <w:noWrap/>
            <w:vAlign w:val="center"/>
            <w:hideMark/>
          </w:tcPr>
          <w:p w14:paraId="5C08CEA4" w14:textId="77777777" w:rsidR="00FB3EFE" w:rsidRPr="00FB3EFE" w:rsidRDefault="00FB3EFE" w:rsidP="00FB3EFE">
            <w:pPr>
              <w:spacing w:after="0"/>
              <w:ind w:left="0" w:hanging="2"/>
              <w:jc w:val="center"/>
              <w:rPr>
                <w:rFonts w:ascii="Arial" w:eastAsia="Times New Roman" w:hAnsi="Arial" w:cs="Arial"/>
                <w:color w:val="000000"/>
                <w:sz w:val="16"/>
                <w:szCs w:val="16"/>
                <w:lang w:val="en-GB"/>
              </w:rPr>
            </w:pPr>
            <w:r w:rsidRPr="00FB3EFE">
              <w:rPr>
                <w:rFonts w:ascii="Arial" w:eastAsia="Times New Roman" w:hAnsi="Arial" w:cs="Arial"/>
                <w:color w:val="000000"/>
                <w:sz w:val="16"/>
                <w:szCs w:val="16"/>
                <w:lang w:val="en-GB"/>
              </w:rPr>
              <w:t>125</w:t>
            </w:r>
          </w:p>
        </w:tc>
        <w:tc>
          <w:tcPr>
            <w:tcW w:w="851" w:type="dxa"/>
            <w:tcBorders>
              <w:top w:val="nil"/>
              <w:left w:val="nil"/>
              <w:bottom w:val="nil"/>
              <w:right w:val="nil"/>
            </w:tcBorders>
            <w:shd w:val="clear" w:color="auto" w:fill="auto"/>
            <w:noWrap/>
            <w:vAlign w:val="center"/>
            <w:hideMark/>
          </w:tcPr>
          <w:p w14:paraId="58EC607D" w14:textId="77777777" w:rsidR="00FB3EFE" w:rsidRPr="00FB3EFE" w:rsidRDefault="00FB3EFE" w:rsidP="00FB3EFE">
            <w:pPr>
              <w:spacing w:after="0"/>
              <w:ind w:left="0" w:hanging="2"/>
              <w:jc w:val="center"/>
              <w:rPr>
                <w:rFonts w:ascii="Arial" w:eastAsia="Times New Roman" w:hAnsi="Arial" w:cs="Arial"/>
                <w:color w:val="000000"/>
                <w:sz w:val="16"/>
                <w:szCs w:val="16"/>
                <w:lang w:val="en-GB"/>
              </w:rPr>
            </w:pPr>
            <w:r w:rsidRPr="00FB3EFE">
              <w:rPr>
                <w:rFonts w:ascii="Arial" w:eastAsia="Times New Roman" w:hAnsi="Arial" w:cs="Arial"/>
                <w:color w:val="000000"/>
                <w:sz w:val="16"/>
                <w:szCs w:val="16"/>
                <w:lang w:val="en-GB"/>
              </w:rPr>
              <w:t>1</w:t>
            </w:r>
          </w:p>
        </w:tc>
      </w:tr>
      <w:tr w:rsidR="00FB3EFE" w:rsidRPr="00FB3EFE" w14:paraId="2B0319E7" w14:textId="77777777" w:rsidTr="00126FBD">
        <w:trPr>
          <w:trHeight w:val="300"/>
        </w:trPr>
        <w:tc>
          <w:tcPr>
            <w:tcW w:w="1701" w:type="dxa"/>
            <w:tcBorders>
              <w:top w:val="nil"/>
              <w:left w:val="nil"/>
              <w:bottom w:val="single" w:sz="8" w:space="0" w:color="auto"/>
              <w:right w:val="nil"/>
            </w:tcBorders>
            <w:shd w:val="clear" w:color="auto" w:fill="auto"/>
            <w:noWrap/>
            <w:vAlign w:val="center"/>
            <w:hideMark/>
          </w:tcPr>
          <w:p w14:paraId="1BA8F877" w14:textId="77777777" w:rsidR="00FB3EFE" w:rsidRPr="00FB3EFE" w:rsidRDefault="00FB3EFE" w:rsidP="00FB3EFE">
            <w:pPr>
              <w:spacing w:after="0"/>
              <w:ind w:left="0" w:hanging="2"/>
              <w:jc w:val="center"/>
              <w:rPr>
                <w:rFonts w:ascii="Arial" w:eastAsia="Times New Roman" w:hAnsi="Arial" w:cs="Arial"/>
                <w:color w:val="000000"/>
                <w:sz w:val="16"/>
                <w:szCs w:val="16"/>
                <w:lang w:val="en-GB"/>
              </w:rPr>
            </w:pPr>
            <w:r w:rsidRPr="00FB3EFE">
              <w:rPr>
                <w:rFonts w:ascii="Arial" w:eastAsia="Times New Roman" w:hAnsi="Arial" w:cs="Arial"/>
                <w:color w:val="000000"/>
                <w:sz w:val="16"/>
                <w:szCs w:val="16"/>
                <w:lang w:val="en-GB"/>
              </w:rPr>
              <w:t>≥ 1000</w:t>
            </w:r>
          </w:p>
        </w:tc>
        <w:tc>
          <w:tcPr>
            <w:tcW w:w="993" w:type="dxa"/>
            <w:tcBorders>
              <w:top w:val="nil"/>
              <w:left w:val="nil"/>
              <w:bottom w:val="single" w:sz="8" w:space="0" w:color="auto"/>
              <w:right w:val="nil"/>
            </w:tcBorders>
            <w:shd w:val="clear" w:color="auto" w:fill="auto"/>
            <w:noWrap/>
            <w:vAlign w:val="center"/>
            <w:hideMark/>
          </w:tcPr>
          <w:p w14:paraId="3C50B370" w14:textId="77777777" w:rsidR="00FB3EFE" w:rsidRPr="00FB3EFE" w:rsidRDefault="00FB3EFE" w:rsidP="00FB3EFE">
            <w:pPr>
              <w:spacing w:after="0"/>
              <w:ind w:left="0" w:hanging="2"/>
              <w:jc w:val="center"/>
              <w:rPr>
                <w:rFonts w:ascii="Arial" w:eastAsia="Times New Roman" w:hAnsi="Arial" w:cs="Arial"/>
                <w:color w:val="000000"/>
                <w:sz w:val="16"/>
                <w:szCs w:val="16"/>
                <w:lang w:val="en-GB"/>
              </w:rPr>
            </w:pPr>
            <w:r w:rsidRPr="00FB3EFE">
              <w:rPr>
                <w:rFonts w:ascii="Arial" w:eastAsia="Times New Roman" w:hAnsi="Arial" w:cs="Arial"/>
                <w:color w:val="000000"/>
                <w:sz w:val="16"/>
                <w:szCs w:val="16"/>
                <w:lang w:val="en-GB"/>
              </w:rPr>
              <w:t>35</w:t>
            </w:r>
          </w:p>
        </w:tc>
        <w:tc>
          <w:tcPr>
            <w:tcW w:w="850" w:type="dxa"/>
            <w:tcBorders>
              <w:top w:val="nil"/>
              <w:left w:val="nil"/>
              <w:bottom w:val="single" w:sz="8" w:space="0" w:color="auto"/>
              <w:right w:val="nil"/>
            </w:tcBorders>
            <w:shd w:val="clear" w:color="auto" w:fill="auto"/>
            <w:noWrap/>
            <w:vAlign w:val="center"/>
            <w:hideMark/>
          </w:tcPr>
          <w:p w14:paraId="7F00B117" w14:textId="77777777" w:rsidR="00FB3EFE" w:rsidRPr="00FB3EFE" w:rsidRDefault="00FB3EFE" w:rsidP="00FB3EFE">
            <w:pPr>
              <w:spacing w:after="0"/>
              <w:ind w:left="0" w:hanging="2"/>
              <w:jc w:val="center"/>
              <w:rPr>
                <w:rFonts w:ascii="Arial" w:eastAsia="Times New Roman" w:hAnsi="Arial" w:cs="Arial"/>
                <w:color w:val="000000"/>
                <w:sz w:val="16"/>
                <w:szCs w:val="16"/>
                <w:lang w:val="en-GB"/>
              </w:rPr>
            </w:pPr>
            <w:r w:rsidRPr="00FB3EFE">
              <w:rPr>
                <w:rFonts w:ascii="Arial" w:eastAsia="Times New Roman" w:hAnsi="Arial" w:cs="Arial"/>
                <w:color w:val="000000"/>
                <w:sz w:val="16"/>
                <w:szCs w:val="16"/>
                <w:lang w:val="en-GB"/>
              </w:rPr>
              <w:t>115</w:t>
            </w:r>
          </w:p>
        </w:tc>
        <w:tc>
          <w:tcPr>
            <w:tcW w:w="851" w:type="dxa"/>
            <w:tcBorders>
              <w:top w:val="nil"/>
              <w:left w:val="nil"/>
              <w:bottom w:val="single" w:sz="8" w:space="0" w:color="auto"/>
              <w:right w:val="nil"/>
            </w:tcBorders>
            <w:shd w:val="clear" w:color="auto" w:fill="auto"/>
            <w:noWrap/>
            <w:vAlign w:val="center"/>
            <w:hideMark/>
          </w:tcPr>
          <w:p w14:paraId="5896C4A7" w14:textId="77777777" w:rsidR="00FB3EFE" w:rsidRPr="00FB3EFE" w:rsidRDefault="00FB3EFE" w:rsidP="00FB3EFE">
            <w:pPr>
              <w:spacing w:after="0"/>
              <w:ind w:left="0" w:hanging="2"/>
              <w:jc w:val="center"/>
              <w:rPr>
                <w:rFonts w:ascii="Arial" w:eastAsia="Times New Roman" w:hAnsi="Arial" w:cs="Arial"/>
                <w:color w:val="000000"/>
                <w:sz w:val="16"/>
                <w:szCs w:val="16"/>
                <w:lang w:val="en-GB"/>
              </w:rPr>
            </w:pPr>
            <w:r w:rsidRPr="00FB3EFE">
              <w:rPr>
                <w:rFonts w:ascii="Arial" w:eastAsia="Times New Roman" w:hAnsi="Arial" w:cs="Arial"/>
                <w:color w:val="000000"/>
                <w:sz w:val="16"/>
                <w:szCs w:val="16"/>
                <w:lang w:val="en-GB"/>
              </w:rPr>
              <w:t>1</w:t>
            </w:r>
          </w:p>
        </w:tc>
      </w:tr>
      <w:tr w:rsidR="00FB3EFE" w:rsidRPr="00FB3EFE" w14:paraId="41643A9F" w14:textId="77777777" w:rsidTr="00126FBD">
        <w:trPr>
          <w:trHeight w:val="320"/>
        </w:trPr>
        <w:tc>
          <w:tcPr>
            <w:tcW w:w="1701" w:type="dxa"/>
            <w:tcBorders>
              <w:top w:val="nil"/>
              <w:left w:val="nil"/>
              <w:bottom w:val="single" w:sz="8" w:space="0" w:color="auto"/>
              <w:right w:val="nil"/>
            </w:tcBorders>
            <w:shd w:val="clear" w:color="auto" w:fill="auto"/>
            <w:noWrap/>
            <w:vAlign w:val="center"/>
            <w:hideMark/>
          </w:tcPr>
          <w:p w14:paraId="31058797" w14:textId="77777777" w:rsidR="00FB3EFE" w:rsidRPr="00FB3EFE" w:rsidRDefault="00FB3EFE" w:rsidP="00FB3EFE">
            <w:pPr>
              <w:spacing w:after="0"/>
              <w:ind w:left="0" w:hanging="2"/>
              <w:jc w:val="center"/>
              <w:rPr>
                <w:rFonts w:ascii="Arial" w:eastAsia="Times New Roman" w:hAnsi="Arial" w:cs="Arial"/>
                <w:color w:val="000000"/>
                <w:sz w:val="16"/>
                <w:szCs w:val="16"/>
                <w:lang w:val="en-GB"/>
              </w:rPr>
            </w:pPr>
            <w:r w:rsidRPr="00FB3EFE">
              <w:rPr>
                <w:rFonts w:ascii="Arial" w:eastAsia="Times New Roman" w:hAnsi="Arial" w:cs="Arial"/>
                <w:color w:val="000000"/>
                <w:sz w:val="16"/>
                <w:szCs w:val="16"/>
                <w:lang w:val="en-GB"/>
              </w:rPr>
              <w:t>m</w:t>
            </w:r>
            <w:r w:rsidRPr="00FB3EFE">
              <w:rPr>
                <w:rFonts w:ascii="Arial" w:eastAsia="Times New Roman" w:hAnsi="Arial" w:cs="Arial"/>
                <w:color w:val="000000"/>
                <w:sz w:val="16"/>
                <w:szCs w:val="16"/>
                <w:vertAlign w:val="superscript"/>
                <w:lang w:val="en-GB"/>
              </w:rPr>
              <w:t>3</w:t>
            </w:r>
            <w:r w:rsidRPr="00FB3EFE">
              <w:rPr>
                <w:rFonts w:ascii="Arial" w:eastAsia="Times New Roman" w:hAnsi="Arial" w:cs="Arial"/>
                <w:color w:val="000000"/>
                <w:sz w:val="16"/>
                <w:szCs w:val="16"/>
                <w:lang w:val="en-GB"/>
              </w:rPr>
              <w:t>/day</w:t>
            </w:r>
          </w:p>
        </w:tc>
        <w:tc>
          <w:tcPr>
            <w:tcW w:w="993" w:type="dxa"/>
            <w:tcBorders>
              <w:top w:val="nil"/>
              <w:left w:val="nil"/>
              <w:bottom w:val="single" w:sz="8" w:space="0" w:color="auto"/>
              <w:right w:val="nil"/>
            </w:tcBorders>
            <w:shd w:val="clear" w:color="auto" w:fill="auto"/>
            <w:noWrap/>
            <w:vAlign w:val="center"/>
            <w:hideMark/>
          </w:tcPr>
          <w:p w14:paraId="3C2F6913" w14:textId="77777777" w:rsidR="00FB3EFE" w:rsidRPr="00FB3EFE" w:rsidRDefault="00FB3EFE" w:rsidP="00FB3EFE">
            <w:pPr>
              <w:spacing w:after="0"/>
              <w:ind w:left="0" w:hanging="2"/>
              <w:jc w:val="center"/>
              <w:rPr>
                <w:rFonts w:ascii="Arial" w:eastAsia="Times New Roman" w:hAnsi="Arial" w:cs="Arial"/>
                <w:color w:val="000000"/>
                <w:sz w:val="16"/>
                <w:szCs w:val="16"/>
                <w:lang w:val="en-GB"/>
              </w:rPr>
            </w:pPr>
            <w:r w:rsidRPr="00FB3EFE">
              <w:rPr>
                <w:rFonts w:ascii="Arial" w:eastAsia="Times New Roman" w:hAnsi="Arial" w:cs="Arial"/>
                <w:color w:val="000000"/>
                <w:sz w:val="16"/>
                <w:szCs w:val="16"/>
                <w:lang w:val="en-GB"/>
              </w:rPr>
              <w:t>mg/L</w:t>
            </w:r>
          </w:p>
        </w:tc>
        <w:tc>
          <w:tcPr>
            <w:tcW w:w="850" w:type="dxa"/>
            <w:tcBorders>
              <w:top w:val="nil"/>
              <w:left w:val="nil"/>
              <w:bottom w:val="single" w:sz="8" w:space="0" w:color="auto"/>
              <w:right w:val="nil"/>
            </w:tcBorders>
            <w:shd w:val="clear" w:color="auto" w:fill="auto"/>
            <w:noWrap/>
            <w:vAlign w:val="center"/>
            <w:hideMark/>
          </w:tcPr>
          <w:p w14:paraId="01DEC0BE" w14:textId="77777777" w:rsidR="00FB3EFE" w:rsidRPr="00FB3EFE" w:rsidRDefault="00FB3EFE" w:rsidP="00FB3EFE">
            <w:pPr>
              <w:spacing w:after="0"/>
              <w:ind w:left="0" w:hanging="2"/>
              <w:jc w:val="center"/>
              <w:rPr>
                <w:rFonts w:ascii="Arial" w:eastAsia="Times New Roman" w:hAnsi="Arial" w:cs="Arial"/>
                <w:color w:val="000000"/>
                <w:sz w:val="16"/>
                <w:szCs w:val="16"/>
                <w:lang w:val="en-GB"/>
              </w:rPr>
            </w:pPr>
            <w:r w:rsidRPr="00FB3EFE">
              <w:rPr>
                <w:rFonts w:ascii="Arial" w:eastAsia="Times New Roman" w:hAnsi="Arial" w:cs="Arial"/>
                <w:color w:val="000000"/>
                <w:sz w:val="16"/>
                <w:szCs w:val="16"/>
                <w:lang w:val="en-GB"/>
              </w:rPr>
              <w:t>mg/L</w:t>
            </w:r>
          </w:p>
        </w:tc>
        <w:tc>
          <w:tcPr>
            <w:tcW w:w="851" w:type="dxa"/>
            <w:tcBorders>
              <w:top w:val="nil"/>
              <w:left w:val="nil"/>
              <w:bottom w:val="single" w:sz="8" w:space="0" w:color="auto"/>
              <w:right w:val="nil"/>
            </w:tcBorders>
            <w:shd w:val="clear" w:color="auto" w:fill="auto"/>
            <w:noWrap/>
            <w:vAlign w:val="center"/>
            <w:hideMark/>
          </w:tcPr>
          <w:p w14:paraId="5994ED66" w14:textId="77777777" w:rsidR="00FB3EFE" w:rsidRPr="00FB3EFE" w:rsidRDefault="00FB3EFE" w:rsidP="00FB3EFE">
            <w:pPr>
              <w:spacing w:after="0"/>
              <w:ind w:left="0" w:hanging="2"/>
              <w:jc w:val="center"/>
              <w:rPr>
                <w:rFonts w:ascii="Arial" w:eastAsia="Times New Roman" w:hAnsi="Arial" w:cs="Arial"/>
                <w:color w:val="000000"/>
                <w:sz w:val="16"/>
                <w:szCs w:val="16"/>
                <w:lang w:val="en-GB"/>
              </w:rPr>
            </w:pPr>
            <w:r w:rsidRPr="00FB3EFE">
              <w:rPr>
                <w:rFonts w:ascii="Arial" w:eastAsia="Times New Roman" w:hAnsi="Arial" w:cs="Arial"/>
                <w:color w:val="000000"/>
                <w:sz w:val="16"/>
                <w:szCs w:val="16"/>
                <w:lang w:val="en-GB"/>
              </w:rPr>
              <w:t>mg/L</w:t>
            </w:r>
          </w:p>
        </w:tc>
      </w:tr>
    </w:tbl>
    <w:p w14:paraId="5E8DC7FA" w14:textId="77777777" w:rsidR="00FB3EFE" w:rsidRDefault="00FB3EFE">
      <w:pPr>
        <w:spacing w:after="0" w:line="240" w:lineRule="auto"/>
        <w:ind w:left="0" w:hanging="2"/>
        <w:jc w:val="both"/>
        <w:rPr>
          <w:rFonts w:ascii="Arial" w:eastAsia="Cambria" w:hAnsi="Arial" w:cs="Arial"/>
          <w:bCs/>
          <w:sz w:val="20"/>
          <w:szCs w:val="20"/>
        </w:rPr>
      </w:pPr>
    </w:p>
    <w:p w14:paraId="1AB765FE" w14:textId="77777777" w:rsidR="002F2302" w:rsidRDefault="002F2302">
      <w:pPr>
        <w:spacing w:after="0" w:line="240" w:lineRule="auto"/>
        <w:ind w:left="0" w:hanging="2"/>
        <w:jc w:val="both"/>
        <w:rPr>
          <w:rFonts w:ascii="Arial" w:eastAsia="Arial" w:hAnsi="Arial" w:cs="Arial"/>
          <w:b/>
          <w:color w:val="1F4E79"/>
          <w:sz w:val="20"/>
          <w:szCs w:val="20"/>
        </w:rPr>
      </w:pPr>
    </w:p>
    <w:p w14:paraId="3F7502EC" w14:textId="77777777" w:rsidR="002F2302" w:rsidRDefault="002F2302">
      <w:pPr>
        <w:spacing w:after="0" w:line="240" w:lineRule="auto"/>
        <w:ind w:left="0" w:hanging="2"/>
        <w:jc w:val="both"/>
        <w:rPr>
          <w:rFonts w:ascii="Arial" w:eastAsia="Arial" w:hAnsi="Arial" w:cs="Arial"/>
          <w:b/>
          <w:color w:val="1F4E79"/>
          <w:sz w:val="20"/>
          <w:szCs w:val="20"/>
        </w:rPr>
      </w:pPr>
    </w:p>
    <w:p w14:paraId="586B5797" w14:textId="77777777" w:rsidR="002F2302" w:rsidRDefault="002F2302">
      <w:pPr>
        <w:spacing w:after="0" w:line="240" w:lineRule="auto"/>
        <w:ind w:left="0" w:hanging="2"/>
        <w:jc w:val="both"/>
        <w:rPr>
          <w:rFonts w:ascii="Arial" w:eastAsia="Arial" w:hAnsi="Arial" w:cs="Arial"/>
          <w:b/>
          <w:color w:val="1F4E79"/>
          <w:sz w:val="20"/>
          <w:szCs w:val="20"/>
        </w:rPr>
      </w:pPr>
    </w:p>
    <w:p w14:paraId="5C4A1856" w14:textId="77777777" w:rsidR="003D3F99" w:rsidRDefault="003D3F99">
      <w:pPr>
        <w:spacing w:after="0" w:line="240" w:lineRule="auto"/>
        <w:ind w:left="0" w:hanging="2"/>
        <w:jc w:val="both"/>
        <w:rPr>
          <w:rFonts w:ascii="Arial" w:eastAsia="Arial" w:hAnsi="Arial" w:cs="Arial"/>
          <w:b/>
          <w:color w:val="1F4E79"/>
          <w:sz w:val="20"/>
          <w:szCs w:val="20"/>
        </w:rPr>
      </w:pPr>
    </w:p>
    <w:p w14:paraId="2DCF8318" w14:textId="06FDF9F8" w:rsidR="003B18E3" w:rsidRDefault="00000000">
      <w:pPr>
        <w:spacing w:after="0" w:line="240" w:lineRule="auto"/>
        <w:ind w:left="0" w:hanging="2"/>
        <w:jc w:val="both"/>
        <w:rPr>
          <w:rFonts w:ascii="Arial" w:eastAsia="Arial" w:hAnsi="Arial" w:cs="Arial"/>
          <w:color w:val="1F4E79"/>
          <w:sz w:val="20"/>
          <w:szCs w:val="20"/>
        </w:rPr>
      </w:pPr>
      <w:r>
        <w:rPr>
          <w:rFonts w:ascii="Arial" w:eastAsia="Arial" w:hAnsi="Arial" w:cs="Arial"/>
          <w:b/>
          <w:color w:val="1F4E79"/>
          <w:sz w:val="20"/>
          <w:szCs w:val="20"/>
        </w:rPr>
        <w:lastRenderedPageBreak/>
        <w:t>RESULTS AND DISCUSSION</w:t>
      </w:r>
    </w:p>
    <w:p w14:paraId="6F444419" w14:textId="713E4D77" w:rsidR="00FB3EFE" w:rsidRDefault="00FB3EFE" w:rsidP="00FB3EFE">
      <w:pPr>
        <w:pBdr>
          <w:top w:val="nil"/>
          <w:left w:val="nil"/>
          <w:bottom w:val="nil"/>
          <w:right w:val="nil"/>
          <w:between w:val="nil"/>
        </w:pBdr>
        <w:shd w:val="clear" w:color="auto" w:fill="FFFFFF"/>
        <w:spacing w:before="240" w:after="0" w:line="240" w:lineRule="auto"/>
        <w:ind w:left="0" w:hanging="2"/>
        <w:jc w:val="both"/>
        <w:rPr>
          <w:rFonts w:ascii="Arial" w:eastAsia="Arial" w:hAnsi="Arial" w:cs="Arial"/>
          <w:color w:val="000000"/>
          <w:sz w:val="20"/>
          <w:szCs w:val="20"/>
        </w:rPr>
      </w:pPr>
      <w:r>
        <w:rPr>
          <w:rFonts w:ascii="Arial" w:eastAsia="Arial" w:hAnsi="Arial" w:cs="Arial"/>
          <w:b/>
          <w:color w:val="1F4E79"/>
          <w:sz w:val="20"/>
          <w:szCs w:val="20"/>
        </w:rPr>
        <w:t>Model Setup</w:t>
      </w:r>
    </w:p>
    <w:p w14:paraId="35A7D659" w14:textId="77777777" w:rsidR="00FB3EFE" w:rsidRPr="00FB3EFE" w:rsidRDefault="00FB3EFE" w:rsidP="00363742">
      <w:pPr>
        <w:spacing w:after="0" w:line="240" w:lineRule="auto"/>
        <w:ind w:leftChars="0" w:left="0" w:firstLineChars="0" w:firstLine="720"/>
        <w:jc w:val="both"/>
        <w:rPr>
          <w:rFonts w:ascii="Arial" w:eastAsia="Arial" w:hAnsi="Arial" w:cs="Arial"/>
          <w:sz w:val="20"/>
          <w:szCs w:val="20"/>
        </w:rPr>
      </w:pPr>
      <w:r w:rsidRPr="00FB3EFE">
        <w:rPr>
          <w:rFonts w:ascii="Arial" w:eastAsia="Arial" w:hAnsi="Arial" w:cs="Arial"/>
          <w:sz w:val="20"/>
          <w:szCs w:val="20"/>
        </w:rPr>
        <w:t>The water quality model for heavy metals parameters will be simulated three times, namely once in the calibration process and twice in the verification process. The numerical model will be calibrated using observation data on 23 February 2022. Then, the verification process will be carried out using observation data on 24 August 2022. The concentration of copper parameters on 24 August 2022 was only detected at two sampling points. Further validation is needed to assess the accuracy of the modelling results so that observation data on September 7, 2022, will be used in the second verification process.</w:t>
      </w:r>
    </w:p>
    <w:p w14:paraId="6EB5A180" w14:textId="77777777" w:rsidR="00363742" w:rsidRDefault="00FB3EFE" w:rsidP="00363742">
      <w:pPr>
        <w:spacing w:line="240" w:lineRule="auto"/>
        <w:ind w:leftChars="0" w:left="0" w:firstLineChars="0" w:firstLine="720"/>
        <w:jc w:val="both"/>
        <w:rPr>
          <w:rFonts w:ascii="Arial" w:eastAsia="Arial" w:hAnsi="Arial" w:cs="Arial"/>
          <w:sz w:val="20"/>
          <w:szCs w:val="20"/>
        </w:rPr>
      </w:pPr>
      <w:r w:rsidRPr="00FB3EFE">
        <w:rPr>
          <w:rFonts w:ascii="Arial" w:eastAsia="Arial" w:hAnsi="Arial" w:cs="Arial"/>
          <w:sz w:val="20"/>
          <w:szCs w:val="20"/>
        </w:rPr>
        <w:t>This study uses Dirichlet's and Neumann's boundary conditions methods at the upstream and downstream channels. Dirichlet's boundary condition determines the magnitude of a parameter. Neumann's boundary condition method assumes that the change in the gradient of a parameter is zero. Using Neumann's boundary condition principle, the numerical computation of a parameter at one point can be written as having the same value as the quantity at the previous point. Details of the boundary condition values used can be seen in Table 6.</w:t>
      </w:r>
    </w:p>
    <w:p w14:paraId="580A747F" w14:textId="79FEC2B6" w:rsidR="00FB3EFE" w:rsidRPr="00FB3EFE" w:rsidRDefault="00FB3EFE" w:rsidP="0080261C">
      <w:pPr>
        <w:spacing w:line="240" w:lineRule="auto"/>
        <w:ind w:leftChars="0" w:left="0" w:firstLineChars="0" w:firstLine="0"/>
        <w:jc w:val="center"/>
        <w:rPr>
          <w:rFonts w:ascii="Arial" w:eastAsia="Arial" w:hAnsi="Arial" w:cs="Arial"/>
          <w:color w:val="000000"/>
          <w:sz w:val="20"/>
          <w:szCs w:val="20"/>
        </w:rPr>
      </w:pPr>
      <w:r>
        <w:rPr>
          <w:rFonts w:ascii="Arial" w:eastAsia="Arial" w:hAnsi="Arial" w:cs="Arial"/>
          <w:color w:val="000000"/>
          <w:sz w:val="20"/>
          <w:szCs w:val="20"/>
        </w:rPr>
        <w:t xml:space="preserve">Table 6. </w:t>
      </w:r>
      <w:r w:rsidRPr="00FB3EFE">
        <w:rPr>
          <w:rFonts w:ascii="Arial" w:hAnsi="Arial" w:cs="Arial"/>
          <w:sz w:val="20"/>
          <w:szCs w:val="20"/>
        </w:rPr>
        <w:t>The Detail of Boundary Conditions Used in Calibration and Verification Processes</w:t>
      </w:r>
    </w:p>
    <w:tbl>
      <w:tblPr>
        <w:tblW w:w="3950" w:type="dxa"/>
        <w:tblLook w:val="04A0" w:firstRow="1" w:lastRow="0" w:firstColumn="1" w:lastColumn="0" w:noHBand="0" w:noVBand="1"/>
      </w:tblPr>
      <w:tblGrid>
        <w:gridCol w:w="1202"/>
        <w:gridCol w:w="792"/>
        <w:gridCol w:w="627"/>
        <w:gridCol w:w="739"/>
        <w:gridCol w:w="590"/>
      </w:tblGrid>
      <w:tr w:rsidR="00FB3EFE" w:rsidRPr="00FB3EFE" w14:paraId="218B5391" w14:textId="77777777" w:rsidTr="00FB3EFE">
        <w:trPr>
          <w:trHeight w:val="214"/>
        </w:trPr>
        <w:tc>
          <w:tcPr>
            <w:tcW w:w="1202" w:type="dxa"/>
            <w:vMerge w:val="restart"/>
            <w:tcBorders>
              <w:top w:val="single" w:sz="8" w:space="0" w:color="auto"/>
              <w:left w:val="nil"/>
              <w:right w:val="nil"/>
            </w:tcBorders>
            <w:shd w:val="clear" w:color="auto" w:fill="auto"/>
            <w:noWrap/>
            <w:vAlign w:val="center"/>
          </w:tcPr>
          <w:p w14:paraId="52064057" w14:textId="77777777" w:rsidR="00FB3EFE" w:rsidRPr="00FB3EFE" w:rsidRDefault="00FB3EFE" w:rsidP="00FB3EFE">
            <w:pPr>
              <w:spacing w:after="0"/>
              <w:ind w:left="0" w:hanging="2"/>
              <w:rPr>
                <w:rFonts w:ascii="Arial" w:eastAsia="Times New Roman" w:hAnsi="Arial" w:cs="Arial"/>
                <w:b/>
                <w:bCs/>
                <w:color w:val="000000"/>
                <w:sz w:val="16"/>
                <w:szCs w:val="16"/>
              </w:rPr>
            </w:pPr>
            <w:r w:rsidRPr="00FB3EFE">
              <w:rPr>
                <w:rFonts w:ascii="Arial" w:eastAsia="Times New Roman" w:hAnsi="Arial" w:cs="Arial"/>
                <w:b/>
                <w:bCs/>
                <w:color w:val="000000"/>
                <w:sz w:val="16"/>
                <w:szCs w:val="16"/>
              </w:rPr>
              <w:t>Location</w:t>
            </w:r>
          </w:p>
        </w:tc>
        <w:tc>
          <w:tcPr>
            <w:tcW w:w="792" w:type="dxa"/>
            <w:vMerge w:val="restart"/>
            <w:tcBorders>
              <w:top w:val="single" w:sz="8" w:space="0" w:color="auto"/>
              <w:left w:val="nil"/>
              <w:right w:val="nil"/>
            </w:tcBorders>
            <w:shd w:val="clear" w:color="auto" w:fill="auto"/>
            <w:vAlign w:val="center"/>
          </w:tcPr>
          <w:p w14:paraId="54DF185B" w14:textId="77777777" w:rsidR="00FB3EFE" w:rsidRPr="00FB3EFE" w:rsidRDefault="00FB3EFE" w:rsidP="00FB3EFE">
            <w:pPr>
              <w:spacing w:after="0"/>
              <w:ind w:left="0" w:hanging="2"/>
              <w:rPr>
                <w:rFonts w:ascii="Arial" w:eastAsia="Times New Roman" w:hAnsi="Arial" w:cs="Arial"/>
                <w:b/>
                <w:bCs/>
                <w:color w:val="000000"/>
                <w:sz w:val="16"/>
                <w:szCs w:val="16"/>
              </w:rPr>
            </w:pPr>
            <w:r w:rsidRPr="00FB3EFE">
              <w:rPr>
                <w:rFonts w:ascii="Arial" w:eastAsia="Times New Roman" w:hAnsi="Arial" w:cs="Arial"/>
                <w:b/>
                <w:bCs/>
                <w:color w:val="000000"/>
                <w:sz w:val="16"/>
                <w:szCs w:val="16"/>
              </w:rPr>
              <w:t>Symbol</w:t>
            </w:r>
          </w:p>
        </w:tc>
        <w:tc>
          <w:tcPr>
            <w:tcW w:w="1956" w:type="dxa"/>
            <w:gridSpan w:val="3"/>
            <w:tcBorders>
              <w:top w:val="single" w:sz="8" w:space="0" w:color="auto"/>
              <w:left w:val="nil"/>
              <w:bottom w:val="single" w:sz="8" w:space="0" w:color="auto"/>
              <w:right w:val="nil"/>
            </w:tcBorders>
            <w:shd w:val="clear" w:color="auto" w:fill="auto"/>
            <w:noWrap/>
            <w:vAlign w:val="center"/>
          </w:tcPr>
          <w:p w14:paraId="0DB6313B" w14:textId="77777777" w:rsidR="00FB3EFE" w:rsidRPr="00FB3EFE" w:rsidRDefault="00FB3EFE" w:rsidP="00FB3EFE">
            <w:pPr>
              <w:spacing w:after="0"/>
              <w:ind w:left="0" w:hanging="2"/>
              <w:jc w:val="center"/>
              <w:rPr>
                <w:rFonts w:ascii="Arial" w:eastAsia="Times New Roman" w:hAnsi="Arial" w:cs="Arial"/>
                <w:b/>
                <w:bCs/>
                <w:color w:val="000000"/>
                <w:sz w:val="16"/>
                <w:szCs w:val="16"/>
              </w:rPr>
            </w:pPr>
            <w:r w:rsidRPr="00FB3EFE">
              <w:rPr>
                <w:rFonts w:ascii="Arial" w:eastAsia="Times New Roman" w:hAnsi="Arial" w:cs="Arial"/>
                <w:b/>
                <w:bCs/>
                <w:color w:val="000000"/>
                <w:sz w:val="16"/>
                <w:szCs w:val="16"/>
              </w:rPr>
              <w:t>Process</w:t>
            </w:r>
          </w:p>
        </w:tc>
      </w:tr>
      <w:tr w:rsidR="00FB3EFE" w:rsidRPr="00FB3EFE" w14:paraId="228774FD" w14:textId="77777777" w:rsidTr="00FB3EFE">
        <w:trPr>
          <w:trHeight w:val="259"/>
        </w:trPr>
        <w:tc>
          <w:tcPr>
            <w:tcW w:w="1202" w:type="dxa"/>
            <w:vMerge/>
            <w:tcBorders>
              <w:left w:val="nil"/>
              <w:bottom w:val="single" w:sz="8" w:space="0" w:color="auto"/>
              <w:right w:val="nil"/>
            </w:tcBorders>
            <w:shd w:val="clear" w:color="auto" w:fill="auto"/>
            <w:noWrap/>
            <w:vAlign w:val="center"/>
            <w:hideMark/>
          </w:tcPr>
          <w:p w14:paraId="79119ED0" w14:textId="77777777" w:rsidR="00FB3EFE" w:rsidRPr="00FB3EFE" w:rsidRDefault="00FB3EFE" w:rsidP="00FB3EFE">
            <w:pPr>
              <w:spacing w:after="0"/>
              <w:ind w:left="0" w:hanging="2"/>
              <w:rPr>
                <w:rFonts w:ascii="Arial" w:eastAsia="Times New Roman" w:hAnsi="Arial" w:cs="Arial"/>
                <w:b/>
                <w:bCs/>
                <w:color w:val="000000"/>
                <w:sz w:val="16"/>
                <w:szCs w:val="16"/>
                <w:lang w:val="en-GB"/>
              </w:rPr>
            </w:pPr>
          </w:p>
        </w:tc>
        <w:tc>
          <w:tcPr>
            <w:tcW w:w="792" w:type="dxa"/>
            <w:vMerge/>
            <w:tcBorders>
              <w:left w:val="nil"/>
              <w:bottom w:val="single" w:sz="8" w:space="0" w:color="auto"/>
              <w:right w:val="nil"/>
            </w:tcBorders>
            <w:shd w:val="clear" w:color="auto" w:fill="auto"/>
            <w:vAlign w:val="center"/>
            <w:hideMark/>
          </w:tcPr>
          <w:p w14:paraId="34069A28" w14:textId="77777777" w:rsidR="00FB3EFE" w:rsidRPr="00FB3EFE" w:rsidRDefault="00FB3EFE" w:rsidP="00FB3EFE">
            <w:pPr>
              <w:spacing w:after="0"/>
              <w:ind w:left="0" w:hanging="2"/>
              <w:rPr>
                <w:rFonts w:ascii="Arial" w:eastAsia="Times New Roman" w:hAnsi="Arial" w:cs="Arial"/>
                <w:b/>
                <w:bCs/>
                <w:color w:val="000000"/>
                <w:sz w:val="16"/>
                <w:szCs w:val="16"/>
                <w:lang w:val="en-GB"/>
              </w:rPr>
            </w:pPr>
          </w:p>
        </w:tc>
        <w:tc>
          <w:tcPr>
            <w:tcW w:w="627" w:type="dxa"/>
            <w:tcBorders>
              <w:top w:val="single" w:sz="8" w:space="0" w:color="auto"/>
              <w:left w:val="nil"/>
              <w:bottom w:val="single" w:sz="8" w:space="0" w:color="auto"/>
              <w:right w:val="nil"/>
            </w:tcBorders>
            <w:shd w:val="clear" w:color="auto" w:fill="auto"/>
            <w:noWrap/>
            <w:vAlign w:val="center"/>
            <w:hideMark/>
          </w:tcPr>
          <w:p w14:paraId="7C54CF76" w14:textId="77777777" w:rsidR="00FB3EFE" w:rsidRPr="00FB3EFE" w:rsidRDefault="00FB3EFE" w:rsidP="00FB3EFE">
            <w:pPr>
              <w:spacing w:after="0"/>
              <w:ind w:left="0" w:hanging="2"/>
              <w:jc w:val="center"/>
              <w:rPr>
                <w:rFonts w:ascii="Arial" w:eastAsia="Times New Roman" w:hAnsi="Arial" w:cs="Arial"/>
                <w:b/>
                <w:bCs/>
                <w:color w:val="000000"/>
                <w:sz w:val="16"/>
                <w:szCs w:val="16"/>
                <w:lang w:val="en-GB"/>
              </w:rPr>
            </w:pPr>
            <w:r w:rsidRPr="00FB3EFE">
              <w:rPr>
                <w:rFonts w:ascii="Arial" w:eastAsia="Times New Roman" w:hAnsi="Arial" w:cs="Arial"/>
                <w:b/>
                <w:bCs/>
                <w:color w:val="000000"/>
                <w:sz w:val="16"/>
                <w:szCs w:val="16"/>
              </w:rPr>
              <w:t>C</w:t>
            </w:r>
          </w:p>
        </w:tc>
        <w:tc>
          <w:tcPr>
            <w:tcW w:w="739" w:type="dxa"/>
            <w:tcBorders>
              <w:top w:val="single" w:sz="8" w:space="0" w:color="auto"/>
              <w:left w:val="nil"/>
              <w:bottom w:val="single" w:sz="8" w:space="0" w:color="auto"/>
              <w:right w:val="nil"/>
            </w:tcBorders>
            <w:shd w:val="clear" w:color="auto" w:fill="auto"/>
            <w:noWrap/>
            <w:vAlign w:val="center"/>
            <w:hideMark/>
          </w:tcPr>
          <w:p w14:paraId="5CA7E763" w14:textId="77777777" w:rsidR="00FB3EFE" w:rsidRPr="00FB3EFE" w:rsidRDefault="00FB3EFE" w:rsidP="00FB3EFE">
            <w:pPr>
              <w:spacing w:after="0"/>
              <w:ind w:left="0" w:hanging="2"/>
              <w:jc w:val="center"/>
              <w:rPr>
                <w:rFonts w:ascii="Arial" w:eastAsia="Times New Roman" w:hAnsi="Arial" w:cs="Arial"/>
                <w:b/>
                <w:bCs/>
                <w:color w:val="000000"/>
                <w:sz w:val="16"/>
                <w:szCs w:val="16"/>
                <w:lang w:val="en-GB"/>
              </w:rPr>
            </w:pPr>
            <w:r w:rsidRPr="00FB3EFE">
              <w:rPr>
                <w:rFonts w:ascii="Arial" w:eastAsia="Times New Roman" w:hAnsi="Arial" w:cs="Arial"/>
                <w:b/>
                <w:bCs/>
                <w:color w:val="000000"/>
                <w:sz w:val="16"/>
                <w:szCs w:val="16"/>
              </w:rPr>
              <w:t>V1</w:t>
            </w:r>
          </w:p>
        </w:tc>
        <w:tc>
          <w:tcPr>
            <w:tcW w:w="590" w:type="dxa"/>
            <w:tcBorders>
              <w:top w:val="single" w:sz="8" w:space="0" w:color="auto"/>
              <w:left w:val="nil"/>
              <w:bottom w:val="single" w:sz="8" w:space="0" w:color="auto"/>
              <w:right w:val="nil"/>
            </w:tcBorders>
            <w:vAlign w:val="center"/>
          </w:tcPr>
          <w:p w14:paraId="3064B52E" w14:textId="77777777" w:rsidR="00FB3EFE" w:rsidRPr="00FB3EFE" w:rsidRDefault="00FB3EFE" w:rsidP="00FB3EFE">
            <w:pPr>
              <w:spacing w:after="0"/>
              <w:ind w:left="0" w:hanging="2"/>
              <w:jc w:val="center"/>
              <w:rPr>
                <w:rFonts w:ascii="Arial" w:eastAsia="Times New Roman" w:hAnsi="Arial" w:cs="Arial"/>
                <w:b/>
                <w:bCs/>
                <w:color w:val="000000"/>
                <w:sz w:val="16"/>
                <w:szCs w:val="16"/>
              </w:rPr>
            </w:pPr>
            <w:r w:rsidRPr="00FB3EFE">
              <w:rPr>
                <w:rFonts w:ascii="Arial" w:eastAsia="Times New Roman" w:hAnsi="Arial" w:cs="Arial"/>
                <w:b/>
                <w:bCs/>
                <w:color w:val="000000"/>
                <w:sz w:val="16"/>
                <w:szCs w:val="16"/>
              </w:rPr>
              <w:t>V2</w:t>
            </w:r>
          </w:p>
        </w:tc>
      </w:tr>
      <w:tr w:rsidR="00FB3EFE" w:rsidRPr="00FB3EFE" w14:paraId="7884373C" w14:textId="77777777" w:rsidTr="00FB3EFE">
        <w:trPr>
          <w:trHeight w:val="546"/>
        </w:trPr>
        <w:tc>
          <w:tcPr>
            <w:tcW w:w="1202" w:type="dxa"/>
            <w:tcBorders>
              <w:top w:val="nil"/>
              <w:left w:val="nil"/>
              <w:bottom w:val="nil"/>
              <w:right w:val="nil"/>
            </w:tcBorders>
            <w:shd w:val="clear" w:color="auto" w:fill="auto"/>
            <w:noWrap/>
            <w:vAlign w:val="center"/>
            <w:hideMark/>
          </w:tcPr>
          <w:p w14:paraId="419FC821" w14:textId="77777777" w:rsidR="00FB3EFE" w:rsidRPr="00FB3EFE" w:rsidRDefault="00FB3EFE" w:rsidP="00FB3EFE">
            <w:pPr>
              <w:spacing w:after="0"/>
              <w:ind w:left="0" w:hanging="2"/>
              <w:rPr>
                <w:rFonts w:ascii="Arial" w:eastAsia="Times New Roman" w:hAnsi="Arial" w:cs="Arial"/>
                <w:color w:val="000000"/>
                <w:sz w:val="16"/>
                <w:szCs w:val="16"/>
                <w:lang w:val="en-GB"/>
              </w:rPr>
            </w:pPr>
            <w:r w:rsidRPr="00FB3EFE">
              <w:rPr>
                <w:rFonts w:ascii="Arial" w:eastAsia="Times New Roman" w:hAnsi="Arial" w:cs="Arial"/>
                <w:color w:val="000000"/>
                <w:sz w:val="16"/>
                <w:szCs w:val="16"/>
              </w:rPr>
              <w:t>Upstream</w:t>
            </w:r>
          </w:p>
        </w:tc>
        <w:tc>
          <w:tcPr>
            <w:tcW w:w="792" w:type="dxa"/>
            <w:tcBorders>
              <w:top w:val="nil"/>
              <w:left w:val="nil"/>
              <w:bottom w:val="nil"/>
              <w:right w:val="nil"/>
            </w:tcBorders>
            <w:shd w:val="clear" w:color="auto" w:fill="auto"/>
            <w:vAlign w:val="center"/>
            <w:hideMark/>
          </w:tcPr>
          <w:p w14:paraId="29CD7900" w14:textId="77777777" w:rsidR="00FB3EFE" w:rsidRPr="00FB3EFE" w:rsidRDefault="00FB3EFE" w:rsidP="00FB3EFE">
            <w:pPr>
              <w:spacing w:after="0"/>
              <w:ind w:left="0" w:hanging="2"/>
              <w:rPr>
                <w:rFonts w:ascii="Arial" w:eastAsia="Times New Roman" w:hAnsi="Arial" w:cs="Arial"/>
                <w:color w:val="000000"/>
                <w:sz w:val="16"/>
                <w:szCs w:val="16"/>
                <w:lang w:val="en-GB"/>
              </w:rPr>
            </w:pPr>
            <w:r w:rsidRPr="00FB3EFE">
              <w:rPr>
                <w:rFonts w:ascii="Arial" w:eastAsia="Times New Roman" w:hAnsi="Arial" w:cs="Arial"/>
                <w:color w:val="000000"/>
                <w:position w:val="-10"/>
                <w:sz w:val="16"/>
                <w:szCs w:val="16"/>
                <w:lang w:val="en-GB"/>
              </w:rPr>
              <w:object w:dxaOrig="360" w:dyaOrig="320" w14:anchorId="7E71B1C9">
                <v:shape id="_x0000_i1041" type="#_x0000_t75" style="width:18.75pt;height:15.4pt" o:ole="">
                  <v:imagedata r:id="rId61" o:title=""/>
                </v:shape>
                <o:OLEObject Type="Embed" ProgID="Equation.DSMT4" ShapeID="_x0000_i1041" DrawAspect="Content" ObjectID="_1793448202" r:id="rId62"/>
              </w:object>
            </w:r>
          </w:p>
        </w:tc>
        <w:tc>
          <w:tcPr>
            <w:tcW w:w="627" w:type="dxa"/>
            <w:tcBorders>
              <w:top w:val="nil"/>
              <w:left w:val="nil"/>
              <w:bottom w:val="nil"/>
              <w:right w:val="nil"/>
            </w:tcBorders>
            <w:shd w:val="clear" w:color="auto" w:fill="auto"/>
            <w:noWrap/>
            <w:vAlign w:val="center"/>
            <w:hideMark/>
          </w:tcPr>
          <w:p w14:paraId="4AA7B4C3" w14:textId="77777777" w:rsidR="00FB3EFE" w:rsidRPr="00FB3EFE" w:rsidRDefault="00FB3EFE" w:rsidP="00FB3EFE">
            <w:pPr>
              <w:spacing w:after="0"/>
              <w:ind w:left="0" w:hanging="2"/>
              <w:jc w:val="center"/>
              <w:rPr>
                <w:rFonts w:ascii="Arial" w:eastAsia="Times New Roman" w:hAnsi="Arial" w:cs="Arial"/>
                <w:color w:val="000000"/>
                <w:sz w:val="16"/>
                <w:szCs w:val="16"/>
                <w:lang w:val="en-GB"/>
              </w:rPr>
            </w:pPr>
            <w:r w:rsidRPr="00FB3EFE">
              <w:rPr>
                <w:rFonts w:ascii="Arial" w:eastAsia="Times New Roman" w:hAnsi="Arial" w:cs="Arial"/>
                <w:color w:val="000000"/>
                <w:sz w:val="16"/>
                <w:szCs w:val="16"/>
              </w:rPr>
              <w:t>0.235 mg/L</w:t>
            </w:r>
          </w:p>
        </w:tc>
        <w:tc>
          <w:tcPr>
            <w:tcW w:w="739" w:type="dxa"/>
            <w:tcBorders>
              <w:top w:val="nil"/>
              <w:left w:val="nil"/>
              <w:bottom w:val="nil"/>
              <w:right w:val="nil"/>
            </w:tcBorders>
            <w:shd w:val="clear" w:color="auto" w:fill="auto"/>
            <w:noWrap/>
            <w:vAlign w:val="center"/>
            <w:hideMark/>
          </w:tcPr>
          <w:p w14:paraId="1ECE8CC9" w14:textId="77777777" w:rsidR="00FB3EFE" w:rsidRPr="00FB3EFE" w:rsidRDefault="00FB3EFE" w:rsidP="00FB3EFE">
            <w:pPr>
              <w:spacing w:after="0"/>
              <w:ind w:left="0" w:hanging="2"/>
              <w:jc w:val="center"/>
              <w:rPr>
                <w:rFonts w:ascii="Arial" w:eastAsia="Times New Roman" w:hAnsi="Arial" w:cs="Arial"/>
                <w:color w:val="000000"/>
                <w:sz w:val="16"/>
                <w:szCs w:val="16"/>
                <w:lang w:val="en-GB"/>
              </w:rPr>
            </w:pPr>
            <w:r w:rsidRPr="00FB3EFE">
              <w:rPr>
                <w:rFonts w:ascii="Arial" w:eastAsia="Times New Roman" w:hAnsi="Arial" w:cs="Arial"/>
                <w:color w:val="000000"/>
                <w:sz w:val="16"/>
                <w:szCs w:val="16"/>
              </w:rPr>
              <w:t>0.155 mg/L</w:t>
            </w:r>
          </w:p>
        </w:tc>
        <w:tc>
          <w:tcPr>
            <w:tcW w:w="590" w:type="dxa"/>
            <w:tcBorders>
              <w:top w:val="nil"/>
              <w:left w:val="nil"/>
              <w:bottom w:val="nil"/>
              <w:right w:val="nil"/>
            </w:tcBorders>
            <w:vAlign w:val="center"/>
          </w:tcPr>
          <w:p w14:paraId="74FBBCBB" w14:textId="77777777" w:rsidR="00FB3EFE" w:rsidRPr="00FB3EFE" w:rsidRDefault="00FB3EFE" w:rsidP="00FB3EFE">
            <w:pPr>
              <w:spacing w:after="0"/>
              <w:ind w:left="0" w:hanging="2"/>
              <w:jc w:val="center"/>
              <w:rPr>
                <w:rFonts w:ascii="Arial" w:eastAsia="Times New Roman" w:hAnsi="Arial" w:cs="Arial"/>
                <w:color w:val="000000"/>
                <w:sz w:val="16"/>
                <w:szCs w:val="16"/>
              </w:rPr>
            </w:pPr>
            <w:r w:rsidRPr="00FB3EFE">
              <w:rPr>
                <w:rFonts w:ascii="Arial" w:eastAsia="Times New Roman" w:hAnsi="Arial" w:cs="Arial"/>
                <w:color w:val="000000"/>
                <w:sz w:val="16"/>
                <w:szCs w:val="16"/>
              </w:rPr>
              <w:t>0.42 mg/L</w:t>
            </w:r>
          </w:p>
        </w:tc>
      </w:tr>
      <w:tr w:rsidR="00FB3EFE" w:rsidRPr="00FB3EFE" w14:paraId="01FFEDC6" w14:textId="77777777" w:rsidTr="00FB3EFE">
        <w:trPr>
          <w:trHeight w:val="136"/>
        </w:trPr>
        <w:tc>
          <w:tcPr>
            <w:tcW w:w="1202" w:type="dxa"/>
            <w:tcBorders>
              <w:top w:val="nil"/>
              <w:left w:val="nil"/>
              <w:bottom w:val="single" w:sz="8" w:space="0" w:color="auto"/>
              <w:right w:val="nil"/>
            </w:tcBorders>
            <w:shd w:val="clear" w:color="auto" w:fill="auto"/>
            <w:noWrap/>
            <w:vAlign w:val="center"/>
            <w:hideMark/>
          </w:tcPr>
          <w:p w14:paraId="0347E8D2" w14:textId="77777777" w:rsidR="00FB3EFE" w:rsidRPr="00FB3EFE" w:rsidRDefault="00FB3EFE" w:rsidP="00FB3EFE">
            <w:pPr>
              <w:spacing w:after="0"/>
              <w:ind w:left="0" w:hanging="2"/>
              <w:rPr>
                <w:rFonts w:ascii="Arial" w:eastAsia="Times New Roman" w:hAnsi="Arial" w:cs="Arial"/>
                <w:color w:val="000000"/>
                <w:sz w:val="16"/>
                <w:szCs w:val="16"/>
                <w:lang w:val="en-GB"/>
              </w:rPr>
            </w:pPr>
            <w:r w:rsidRPr="00FB3EFE">
              <w:rPr>
                <w:rFonts w:ascii="Arial" w:eastAsia="Times New Roman" w:hAnsi="Arial" w:cs="Arial"/>
                <w:color w:val="000000"/>
                <w:sz w:val="16"/>
                <w:szCs w:val="16"/>
              </w:rPr>
              <w:t>Downstream</w:t>
            </w:r>
          </w:p>
        </w:tc>
        <w:tc>
          <w:tcPr>
            <w:tcW w:w="792" w:type="dxa"/>
            <w:tcBorders>
              <w:top w:val="nil"/>
              <w:left w:val="nil"/>
              <w:bottom w:val="single" w:sz="8" w:space="0" w:color="auto"/>
              <w:right w:val="nil"/>
            </w:tcBorders>
            <w:shd w:val="clear" w:color="auto" w:fill="auto"/>
            <w:vAlign w:val="center"/>
            <w:hideMark/>
          </w:tcPr>
          <w:p w14:paraId="78BB62AE" w14:textId="77777777" w:rsidR="00FB3EFE" w:rsidRPr="00FB3EFE" w:rsidRDefault="00FB3EFE" w:rsidP="00FB3EFE">
            <w:pPr>
              <w:spacing w:after="0"/>
              <w:ind w:left="0" w:hanging="2"/>
              <w:rPr>
                <w:rFonts w:ascii="Arial" w:eastAsia="Times New Roman" w:hAnsi="Arial" w:cs="Arial"/>
                <w:color w:val="000000"/>
                <w:sz w:val="16"/>
                <w:szCs w:val="16"/>
                <w:lang w:val="en-GB"/>
              </w:rPr>
            </w:pPr>
            <w:r w:rsidRPr="00FB3EFE">
              <w:rPr>
                <w:rFonts w:ascii="Arial" w:eastAsia="Times New Roman" w:hAnsi="Arial" w:cs="Arial"/>
                <w:color w:val="000000"/>
                <w:position w:val="-10"/>
                <w:sz w:val="16"/>
                <w:szCs w:val="16"/>
                <w:lang w:val="en-GB"/>
              </w:rPr>
              <w:object w:dxaOrig="420" w:dyaOrig="320" w14:anchorId="6ABE657A">
                <v:shape id="_x0000_i1042" type="#_x0000_t75" style="width:20.8pt;height:15.4pt" o:ole="">
                  <v:imagedata r:id="rId63" o:title=""/>
                </v:shape>
                <o:OLEObject Type="Embed" ProgID="Equation.DSMT4" ShapeID="_x0000_i1042" DrawAspect="Content" ObjectID="_1793448203" r:id="rId64"/>
              </w:object>
            </w:r>
          </w:p>
        </w:tc>
        <w:tc>
          <w:tcPr>
            <w:tcW w:w="1956" w:type="dxa"/>
            <w:gridSpan w:val="3"/>
            <w:tcBorders>
              <w:top w:val="nil"/>
              <w:left w:val="nil"/>
              <w:bottom w:val="single" w:sz="8" w:space="0" w:color="auto"/>
              <w:right w:val="nil"/>
            </w:tcBorders>
            <w:shd w:val="clear" w:color="auto" w:fill="auto"/>
            <w:noWrap/>
            <w:vAlign w:val="center"/>
            <w:hideMark/>
          </w:tcPr>
          <w:p w14:paraId="47C5955D" w14:textId="77777777" w:rsidR="00FB3EFE" w:rsidRPr="00FB3EFE" w:rsidRDefault="00FB3EFE" w:rsidP="00FB3EFE">
            <w:pPr>
              <w:spacing w:after="0"/>
              <w:ind w:left="0" w:hanging="2"/>
              <w:jc w:val="center"/>
              <w:rPr>
                <w:rFonts w:ascii="Arial" w:eastAsia="Times New Roman" w:hAnsi="Arial" w:cs="Arial"/>
                <w:color w:val="000000"/>
                <w:sz w:val="16"/>
                <w:szCs w:val="16"/>
                <w:lang w:val="en-GB"/>
              </w:rPr>
            </w:pPr>
            <w:r w:rsidRPr="00FB3EFE">
              <w:rPr>
                <w:rFonts w:ascii="Arial" w:eastAsia="Times New Roman" w:hAnsi="Arial" w:cs="Arial"/>
                <w:color w:val="000000"/>
                <w:position w:val="-10"/>
                <w:sz w:val="16"/>
                <w:szCs w:val="16"/>
                <w:lang w:val="en-GB"/>
              </w:rPr>
              <w:object w:dxaOrig="420" w:dyaOrig="320" w14:anchorId="2547E418">
                <v:shape id="_x0000_i1043" type="#_x0000_t75" style="width:20.8pt;height:15.4pt" o:ole="">
                  <v:imagedata r:id="rId65" o:title=""/>
                </v:shape>
                <o:OLEObject Type="Embed" ProgID="Equation.DSMT4" ShapeID="_x0000_i1043" DrawAspect="Content" ObjectID="_1793448204" r:id="rId66"/>
              </w:object>
            </w:r>
          </w:p>
        </w:tc>
      </w:tr>
    </w:tbl>
    <w:p w14:paraId="081261BC" w14:textId="59772E15" w:rsidR="00FB3EFE" w:rsidRDefault="00FB3EFE" w:rsidP="00363742">
      <w:pPr>
        <w:spacing w:before="240" w:after="0" w:line="240" w:lineRule="auto"/>
        <w:ind w:leftChars="0" w:left="0" w:firstLineChars="0" w:firstLine="720"/>
        <w:jc w:val="both"/>
        <w:rPr>
          <w:rFonts w:ascii="Arial" w:eastAsia="Arial" w:hAnsi="Arial" w:cs="Arial"/>
          <w:sz w:val="20"/>
          <w:szCs w:val="20"/>
        </w:rPr>
      </w:pPr>
      <w:r w:rsidRPr="00FB3EFE">
        <w:rPr>
          <w:rFonts w:ascii="Arial" w:eastAsia="Arial" w:hAnsi="Arial" w:cs="Arial"/>
          <w:sz w:val="20"/>
          <w:szCs w:val="20"/>
        </w:rPr>
        <w:t xml:space="preserve">The stability of the water quality model also needs to be considered by setting the Courant Number value. This study set the Courant Number value below one, with a mathematical formula in Equation </w:t>
      </w:r>
      <w:r w:rsidR="00253755">
        <w:rPr>
          <w:rFonts w:ascii="Arial" w:eastAsia="Arial" w:hAnsi="Arial" w:cs="Arial"/>
          <w:sz w:val="20"/>
          <w:szCs w:val="20"/>
        </w:rPr>
        <w:t>9</w:t>
      </w:r>
      <w:r w:rsidRPr="00FB3EFE">
        <w:rPr>
          <w:rFonts w:ascii="Arial" w:eastAsia="Arial" w:hAnsi="Arial" w:cs="Arial"/>
          <w:sz w:val="20"/>
          <w:szCs w:val="20"/>
        </w:rPr>
        <w:t>. The temporal step, spatial step and courant number values used in modelling are shown in Table 7.</w:t>
      </w:r>
    </w:p>
    <w:tbl>
      <w:tblPr>
        <w:tblStyle w:val="TableGrid"/>
        <w:tblW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83"/>
        <w:gridCol w:w="2312"/>
      </w:tblGrid>
      <w:tr w:rsidR="00253755" w14:paraId="6D8A9A9E" w14:textId="77777777" w:rsidTr="00D01371">
        <w:trPr>
          <w:trHeight w:val="289"/>
        </w:trPr>
        <w:tc>
          <w:tcPr>
            <w:tcW w:w="2083" w:type="dxa"/>
          </w:tcPr>
          <w:p w14:paraId="2AE5C993" w14:textId="36277697" w:rsidR="00253755" w:rsidRDefault="00D82B8D" w:rsidP="00253755">
            <w:pPr>
              <w:ind w:leftChars="0" w:left="0" w:firstLineChars="0" w:firstLine="0"/>
              <w:jc w:val="both"/>
              <w:rPr>
                <w:rFonts w:ascii="Arial" w:eastAsia="Arial" w:hAnsi="Arial" w:cs="Arial"/>
                <w:sz w:val="20"/>
                <w:szCs w:val="20"/>
              </w:rPr>
            </w:pPr>
            <w:r>
              <w:rPr>
                <w:rFonts w:ascii="Cambria" w:eastAsia="Cambria" w:hAnsi="Cambria" w:cs="Cambria"/>
                <w:bCs/>
                <w:position w:val="0"/>
              </w:rPr>
              <w:object w:dxaOrig="1060" w:dyaOrig="560" w14:anchorId="082D19EB">
                <v:shape id="_x0000_i1044" type="#_x0000_t75" style="width:52.85pt;height:27.9pt" o:ole="">
                  <v:imagedata r:id="rId67" o:title=""/>
                </v:shape>
                <o:OLEObject Type="Embed" ProgID="Equation.DSMT4" ShapeID="_x0000_i1044" DrawAspect="Content" ObjectID="_1793448205" r:id="rId68"/>
              </w:object>
            </w:r>
          </w:p>
        </w:tc>
        <w:tc>
          <w:tcPr>
            <w:tcW w:w="2312" w:type="dxa"/>
            <w:vAlign w:val="center"/>
          </w:tcPr>
          <w:p w14:paraId="4C72DCBA" w14:textId="3128C28E" w:rsidR="00253755" w:rsidRDefault="00253755" w:rsidP="00253755">
            <w:pPr>
              <w:ind w:leftChars="0" w:left="0" w:firstLineChars="0" w:firstLine="0"/>
              <w:jc w:val="right"/>
              <w:rPr>
                <w:rFonts w:ascii="Arial" w:eastAsia="Arial" w:hAnsi="Arial" w:cs="Arial"/>
                <w:sz w:val="20"/>
                <w:szCs w:val="20"/>
              </w:rPr>
            </w:pPr>
            <w:r>
              <w:rPr>
                <w:rFonts w:ascii="Arial" w:eastAsia="Arial" w:hAnsi="Arial" w:cs="Arial"/>
                <w:sz w:val="20"/>
                <w:szCs w:val="20"/>
              </w:rPr>
              <w:t>(9)</w:t>
            </w:r>
          </w:p>
        </w:tc>
      </w:tr>
    </w:tbl>
    <w:p w14:paraId="172E2D8C" w14:textId="53D1BCF3" w:rsidR="00FB3EFE" w:rsidRPr="00FB3EFE" w:rsidRDefault="00FB3EFE" w:rsidP="0080261C">
      <w:pPr>
        <w:spacing w:after="0"/>
        <w:ind w:left="0" w:hanging="2"/>
        <w:rPr>
          <w:rFonts w:ascii="Arial" w:hAnsi="Arial" w:cs="Arial"/>
          <w:sz w:val="20"/>
          <w:szCs w:val="20"/>
        </w:rPr>
      </w:pPr>
      <w:r w:rsidRPr="00FB3EFE">
        <w:rPr>
          <w:rFonts w:ascii="Arial" w:hAnsi="Arial" w:cs="Arial"/>
          <w:sz w:val="20"/>
          <w:szCs w:val="20"/>
        </w:rPr>
        <w:t xml:space="preserve">Where: </w:t>
      </w:r>
    </w:p>
    <w:p w14:paraId="61961F29" w14:textId="59295F08" w:rsidR="00FB3EFE" w:rsidRPr="00FB3EFE" w:rsidRDefault="00D82B8D" w:rsidP="00FB3EFE">
      <w:pPr>
        <w:spacing w:after="0"/>
        <w:ind w:left="0" w:hanging="2"/>
        <w:rPr>
          <w:rFonts w:ascii="Arial" w:hAnsi="Arial" w:cs="Arial"/>
          <w:sz w:val="20"/>
          <w:szCs w:val="20"/>
        </w:rPr>
      </w:pPr>
      <m:oMath>
        <m:r>
          <w:rPr>
            <w:rFonts w:ascii="Cambria Math" w:hAnsi="Cambria Math" w:cs="Arial"/>
            <w:sz w:val="20"/>
            <w:szCs w:val="20"/>
          </w:rPr>
          <m:t>CN</m:t>
        </m:r>
      </m:oMath>
      <w:r w:rsidR="00FB3EFE" w:rsidRPr="00FB3EFE">
        <w:rPr>
          <w:rFonts w:ascii="Arial" w:hAnsi="Arial" w:cs="Arial"/>
          <w:sz w:val="20"/>
          <w:szCs w:val="20"/>
        </w:rPr>
        <w:tab/>
        <w:t>: Courant Number (unitless)</w:t>
      </w:r>
    </w:p>
    <w:p w14:paraId="573656CA" w14:textId="48361D1B" w:rsidR="00FB3EFE" w:rsidRPr="00FB3EFE" w:rsidRDefault="00000000" w:rsidP="00FB3EFE">
      <w:pPr>
        <w:spacing w:after="0"/>
        <w:ind w:left="0" w:hanging="2"/>
        <w:rPr>
          <w:rFonts w:ascii="Arial" w:hAnsi="Arial" w:cs="Arial"/>
          <w:sz w:val="20"/>
          <w:szCs w:val="20"/>
        </w:rPr>
      </w:pPr>
      <m:oMath>
        <m:sSub>
          <m:sSubPr>
            <m:ctrlPr>
              <w:rPr>
                <w:rFonts w:ascii="Cambria Math" w:hAnsi="Cambria Math" w:cs="Arial"/>
                <w:i/>
                <w:sz w:val="20"/>
                <w:szCs w:val="20"/>
              </w:rPr>
            </m:ctrlPr>
          </m:sSubPr>
          <m:e>
            <m:r>
              <w:rPr>
                <w:rFonts w:ascii="Cambria Math" w:hAnsi="Cambria Math" w:cs="Arial"/>
                <w:sz w:val="20"/>
                <w:szCs w:val="20"/>
              </w:rPr>
              <m:t>u</m:t>
            </m:r>
          </m:e>
          <m:sub>
            <m:r>
              <w:rPr>
                <w:rFonts w:ascii="Cambria Math" w:hAnsi="Cambria Math" w:cs="Arial"/>
                <w:sz w:val="20"/>
                <w:szCs w:val="20"/>
              </w:rPr>
              <m:t>x</m:t>
            </m:r>
          </m:sub>
        </m:sSub>
      </m:oMath>
      <w:r w:rsidR="00D82B8D">
        <w:rPr>
          <w:rFonts w:ascii="Arial" w:hAnsi="Arial" w:cs="Arial"/>
          <w:sz w:val="20"/>
          <w:szCs w:val="20"/>
        </w:rPr>
        <w:tab/>
      </w:r>
      <w:r w:rsidR="00FB3EFE" w:rsidRPr="00FB3EFE">
        <w:rPr>
          <w:rFonts w:ascii="Arial" w:hAnsi="Arial" w:cs="Arial"/>
          <w:sz w:val="20"/>
          <w:szCs w:val="20"/>
        </w:rPr>
        <w:t>: Longitudinal flow velocity (m/s)</w:t>
      </w:r>
    </w:p>
    <w:p w14:paraId="5AAC56A0" w14:textId="002FA654" w:rsidR="00FB3EFE" w:rsidRPr="00FB3EFE" w:rsidRDefault="00D82B8D" w:rsidP="00FB3EFE">
      <w:pPr>
        <w:spacing w:after="0"/>
        <w:ind w:left="0" w:hanging="2"/>
        <w:rPr>
          <w:rFonts w:ascii="Arial" w:hAnsi="Arial" w:cs="Arial"/>
          <w:sz w:val="20"/>
          <w:szCs w:val="20"/>
        </w:rPr>
      </w:pPr>
      <m:oMath>
        <m:r>
          <w:rPr>
            <w:rFonts w:ascii="Cambria Math" w:hAnsi="Cambria Math" w:cs="Arial"/>
            <w:sz w:val="20"/>
            <w:szCs w:val="20"/>
          </w:rPr>
          <m:t>∆t</m:t>
        </m:r>
      </m:oMath>
      <w:r w:rsidR="00FB3EFE" w:rsidRPr="00FB3EFE">
        <w:rPr>
          <w:rFonts w:ascii="Arial" w:hAnsi="Arial" w:cs="Arial"/>
          <w:sz w:val="20"/>
          <w:szCs w:val="20"/>
        </w:rPr>
        <w:tab/>
        <w:t>: The temporal step (s)</w:t>
      </w:r>
    </w:p>
    <w:p w14:paraId="208430C3" w14:textId="77C2BD5E" w:rsidR="00FB3EFE" w:rsidRDefault="00D82B8D" w:rsidP="00FB3EFE">
      <w:pPr>
        <w:spacing w:after="0"/>
        <w:ind w:left="0" w:hanging="2"/>
        <w:rPr>
          <w:rFonts w:ascii="Arial" w:hAnsi="Arial" w:cs="Arial"/>
          <w:sz w:val="20"/>
          <w:szCs w:val="20"/>
        </w:rPr>
      </w:pPr>
      <m:oMath>
        <m:r>
          <w:rPr>
            <w:rFonts w:ascii="Cambria Math" w:hAnsi="Cambria Math" w:cs="Arial"/>
            <w:sz w:val="20"/>
            <w:szCs w:val="20"/>
          </w:rPr>
          <m:t>∆x</m:t>
        </m:r>
      </m:oMath>
      <w:r w:rsidR="00FB3EFE" w:rsidRPr="00FB3EFE">
        <w:rPr>
          <w:rFonts w:ascii="Arial" w:hAnsi="Arial" w:cs="Arial"/>
          <w:sz w:val="20"/>
          <w:szCs w:val="20"/>
        </w:rPr>
        <w:tab/>
        <w:t>: The spatial step (m)</w:t>
      </w:r>
    </w:p>
    <w:p w14:paraId="2CC3E53E" w14:textId="77777777" w:rsidR="0080261C" w:rsidRDefault="0080261C" w:rsidP="00FB3EFE">
      <w:pPr>
        <w:spacing w:after="0"/>
        <w:ind w:left="0" w:hanging="2"/>
        <w:rPr>
          <w:rFonts w:ascii="Arial" w:hAnsi="Arial" w:cs="Arial"/>
          <w:sz w:val="20"/>
          <w:szCs w:val="20"/>
        </w:rPr>
      </w:pPr>
    </w:p>
    <w:p w14:paraId="57ECC59B" w14:textId="77777777" w:rsidR="0080261C" w:rsidRDefault="0080261C" w:rsidP="00FB3EFE">
      <w:pPr>
        <w:spacing w:after="0"/>
        <w:ind w:left="0" w:hanging="2"/>
        <w:rPr>
          <w:rFonts w:ascii="Arial" w:hAnsi="Arial" w:cs="Arial"/>
          <w:sz w:val="20"/>
          <w:szCs w:val="20"/>
        </w:rPr>
      </w:pPr>
    </w:p>
    <w:p w14:paraId="481E3960" w14:textId="2673F113" w:rsidR="00FB3EFE" w:rsidRPr="00FB3EFE" w:rsidRDefault="00FB3EFE" w:rsidP="00FB3EFE">
      <w:pPr>
        <w:keepNext/>
        <w:pBdr>
          <w:top w:val="nil"/>
          <w:left w:val="nil"/>
          <w:bottom w:val="nil"/>
          <w:right w:val="nil"/>
          <w:between w:val="nil"/>
        </w:pBdr>
        <w:spacing w:before="240" w:after="0"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t xml:space="preserve">Table 7. </w:t>
      </w:r>
      <w:r w:rsidRPr="00FB3EFE">
        <w:rPr>
          <w:rFonts w:ascii="Arial" w:hAnsi="Arial" w:cs="Arial"/>
          <w:sz w:val="20"/>
          <w:szCs w:val="20"/>
        </w:rPr>
        <w:t>Validating the Model's Stability</w:t>
      </w:r>
    </w:p>
    <w:tbl>
      <w:tblPr>
        <w:tblW w:w="4132" w:type="dxa"/>
        <w:tblLook w:val="04A0" w:firstRow="1" w:lastRow="0" w:firstColumn="1" w:lastColumn="0" w:noHBand="0" w:noVBand="1"/>
      </w:tblPr>
      <w:tblGrid>
        <w:gridCol w:w="993"/>
        <w:gridCol w:w="912"/>
        <w:gridCol w:w="1093"/>
        <w:gridCol w:w="1134"/>
      </w:tblGrid>
      <w:tr w:rsidR="00FB3EFE" w:rsidRPr="00FB3EFE" w14:paraId="19029A07" w14:textId="77777777" w:rsidTr="00126FBD">
        <w:trPr>
          <w:trHeight w:val="394"/>
        </w:trPr>
        <w:tc>
          <w:tcPr>
            <w:tcW w:w="993" w:type="dxa"/>
            <w:tcBorders>
              <w:top w:val="single" w:sz="8" w:space="0" w:color="auto"/>
              <w:left w:val="nil"/>
              <w:bottom w:val="single" w:sz="8" w:space="0" w:color="auto"/>
              <w:right w:val="nil"/>
            </w:tcBorders>
            <w:shd w:val="clear" w:color="auto" w:fill="auto"/>
            <w:noWrap/>
            <w:vAlign w:val="center"/>
            <w:hideMark/>
          </w:tcPr>
          <w:p w14:paraId="2BBD652A" w14:textId="77777777" w:rsidR="00FB3EFE" w:rsidRPr="00FB3EFE" w:rsidRDefault="00FB3EFE" w:rsidP="00FB3EFE">
            <w:pPr>
              <w:spacing w:after="0"/>
              <w:ind w:left="0" w:hanging="2"/>
              <w:jc w:val="center"/>
              <w:rPr>
                <w:rFonts w:ascii="Arial" w:eastAsia="Times New Roman" w:hAnsi="Arial" w:cs="Arial"/>
                <w:b/>
                <w:bCs/>
                <w:color w:val="000000"/>
                <w:sz w:val="16"/>
                <w:szCs w:val="16"/>
                <w:lang w:val="en-GB"/>
              </w:rPr>
            </w:pPr>
            <w:r w:rsidRPr="00FB3EFE">
              <w:rPr>
                <w:rFonts w:ascii="Arial" w:eastAsia="Times New Roman" w:hAnsi="Arial" w:cs="Arial"/>
                <w:b/>
                <w:bCs/>
                <w:color w:val="000000"/>
                <w:sz w:val="16"/>
                <w:szCs w:val="16"/>
              </w:rPr>
              <w:t>Variable</w:t>
            </w:r>
          </w:p>
        </w:tc>
        <w:tc>
          <w:tcPr>
            <w:tcW w:w="912" w:type="dxa"/>
            <w:tcBorders>
              <w:top w:val="single" w:sz="8" w:space="0" w:color="auto"/>
              <w:left w:val="nil"/>
              <w:bottom w:val="single" w:sz="8" w:space="0" w:color="auto"/>
              <w:right w:val="nil"/>
            </w:tcBorders>
            <w:shd w:val="clear" w:color="auto" w:fill="auto"/>
            <w:vAlign w:val="center"/>
            <w:hideMark/>
          </w:tcPr>
          <w:p w14:paraId="1BDED8B9" w14:textId="77777777" w:rsidR="00FB3EFE" w:rsidRPr="00FB3EFE" w:rsidRDefault="00FB3EFE" w:rsidP="00FB3EFE">
            <w:pPr>
              <w:spacing w:after="0"/>
              <w:ind w:left="0" w:hanging="2"/>
              <w:jc w:val="center"/>
              <w:rPr>
                <w:rFonts w:ascii="Arial" w:eastAsia="Times New Roman" w:hAnsi="Arial" w:cs="Arial"/>
                <w:b/>
                <w:bCs/>
                <w:color w:val="000000"/>
                <w:sz w:val="16"/>
                <w:szCs w:val="16"/>
                <w:lang w:val="en-GB"/>
              </w:rPr>
            </w:pPr>
            <w:r w:rsidRPr="00FB3EFE">
              <w:rPr>
                <w:rFonts w:ascii="Arial" w:eastAsia="Times New Roman" w:hAnsi="Arial" w:cs="Arial"/>
                <w:b/>
                <w:bCs/>
                <w:color w:val="000000"/>
                <w:sz w:val="16"/>
                <w:szCs w:val="16"/>
              </w:rPr>
              <w:t>Units</w:t>
            </w:r>
          </w:p>
        </w:tc>
        <w:tc>
          <w:tcPr>
            <w:tcW w:w="1093" w:type="dxa"/>
            <w:tcBorders>
              <w:top w:val="single" w:sz="8" w:space="0" w:color="auto"/>
              <w:left w:val="nil"/>
              <w:bottom w:val="single" w:sz="8" w:space="0" w:color="auto"/>
              <w:right w:val="nil"/>
            </w:tcBorders>
            <w:shd w:val="clear" w:color="auto" w:fill="auto"/>
            <w:noWrap/>
            <w:vAlign w:val="center"/>
            <w:hideMark/>
          </w:tcPr>
          <w:p w14:paraId="4F2CEA3A" w14:textId="77777777" w:rsidR="00FB3EFE" w:rsidRPr="00FB3EFE" w:rsidRDefault="00FB3EFE" w:rsidP="00FB3EFE">
            <w:pPr>
              <w:spacing w:after="0"/>
              <w:ind w:left="0" w:hanging="2"/>
              <w:jc w:val="center"/>
              <w:rPr>
                <w:rFonts w:ascii="Arial" w:eastAsia="Times New Roman" w:hAnsi="Arial" w:cs="Arial"/>
                <w:b/>
                <w:bCs/>
                <w:color w:val="000000"/>
                <w:sz w:val="16"/>
                <w:szCs w:val="16"/>
                <w:lang w:val="en-GB"/>
              </w:rPr>
            </w:pPr>
            <w:r w:rsidRPr="00FB3EFE">
              <w:rPr>
                <w:rFonts w:ascii="Arial" w:eastAsia="Times New Roman" w:hAnsi="Arial" w:cs="Arial"/>
                <w:b/>
                <w:bCs/>
                <w:color w:val="000000"/>
                <w:sz w:val="16"/>
                <w:szCs w:val="16"/>
              </w:rPr>
              <w:t>Rainy Season</w:t>
            </w:r>
          </w:p>
        </w:tc>
        <w:tc>
          <w:tcPr>
            <w:tcW w:w="1134" w:type="dxa"/>
            <w:tcBorders>
              <w:top w:val="single" w:sz="8" w:space="0" w:color="auto"/>
              <w:left w:val="nil"/>
              <w:bottom w:val="single" w:sz="8" w:space="0" w:color="auto"/>
              <w:right w:val="nil"/>
            </w:tcBorders>
            <w:shd w:val="clear" w:color="auto" w:fill="auto"/>
            <w:noWrap/>
            <w:vAlign w:val="center"/>
            <w:hideMark/>
          </w:tcPr>
          <w:p w14:paraId="092295AE" w14:textId="77777777" w:rsidR="00FB3EFE" w:rsidRPr="00FB3EFE" w:rsidRDefault="00FB3EFE" w:rsidP="00FB3EFE">
            <w:pPr>
              <w:spacing w:after="0"/>
              <w:ind w:left="0" w:hanging="2"/>
              <w:jc w:val="center"/>
              <w:rPr>
                <w:rFonts w:ascii="Arial" w:eastAsia="Times New Roman" w:hAnsi="Arial" w:cs="Arial"/>
                <w:b/>
                <w:bCs/>
                <w:color w:val="000000"/>
                <w:sz w:val="16"/>
                <w:szCs w:val="16"/>
              </w:rPr>
            </w:pPr>
            <w:r w:rsidRPr="00FB3EFE">
              <w:rPr>
                <w:rFonts w:ascii="Arial" w:eastAsia="Times New Roman" w:hAnsi="Arial" w:cs="Arial"/>
                <w:b/>
                <w:bCs/>
                <w:color w:val="000000"/>
                <w:sz w:val="16"/>
                <w:szCs w:val="16"/>
              </w:rPr>
              <w:t xml:space="preserve">Dry </w:t>
            </w:r>
          </w:p>
          <w:p w14:paraId="0ED4E930" w14:textId="77777777" w:rsidR="00FB3EFE" w:rsidRPr="00FB3EFE" w:rsidRDefault="00FB3EFE" w:rsidP="00FB3EFE">
            <w:pPr>
              <w:spacing w:after="0"/>
              <w:ind w:left="0" w:hanging="2"/>
              <w:jc w:val="center"/>
              <w:rPr>
                <w:rFonts w:ascii="Arial" w:eastAsia="Times New Roman" w:hAnsi="Arial" w:cs="Arial"/>
                <w:b/>
                <w:bCs/>
                <w:color w:val="000000"/>
                <w:sz w:val="16"/>
                <w:szCs w:val="16"/>
                <w:lang w:val="en-GB"/>
              </w:rPr>
            </w:pPr>
            <w:r w:rsidRPr="00FB3EFE">
              <w:rPr>
                <w:rFonts w:ascii="Arial" w:eastAsia="Times New Roman" w:hAnsi="Arial" w:cs="Arial"/>
                <w:b/>
                <w:bCs/>
                <w:color w:val="000000"/>
                <w:sz w:val="16"/>
                <w:szCs w:val="16"/>
              </w:rPr>
              <w:t>Season</w:t>
            </w:r>
          </w:p>
        </w:tc>
      </w:tr>
      <w:tr w:rsidR="00FB3EFE" w:rsidRPr="00FB3EFE" w14:paraId="4438ED25" w14:textId="77777777" w:rsidTr="00126FBD">
        <w:trPr>
          <w:trHeight w:val="245"/>
        </w:trPr>
        <w:tc>
          <w:tcPr>
            <w:tcW w:w="993" w:type="dxa"/>
            <w:tcBorders>
              <w:top w:val="nil"/>
              <w:left w:val="nil"/>
              <w:bottom w:val="nil"/>
              <w:right w:val="nil"/>
            </w:tcBorders>
            <w:shd w:val="clear" w:color="auto" w:fill="auto"/>
            <w:noWrap/>
            <w:vAlign w:val="center"/>
            <w:hideMark/>
          </w:tcPr>
          <w:p w14:paraId="13DBABE1" w14:textId="77777777" w:rsidR="00FB3EFE" w:rsidRPr="00FB3EFE" w:rsidRDefault="00FB3EFE" w:rsidP="00FB3EFE">
            <w:pPr>
              <w:spacing w:after="0"/>
              <w:ind w:left="0" w:hanging="2"/>
              <w:jc w:val="center"/>
              <w:rPr>
                <w:rFonts w:ascii="Arial" w:eastAsia="Times New Roman" w:hAnsi="Arial" w:cs="Arial"/>
                <w:color w:val="000000"/>
                <w:sz w:val="16"/>
                <w:szCs w:val="16"/>
                <w:lang w:val="en-GB"/>
              </w:rPr>
            </w:pPr>
            <w:r w:rsidRPr="00FB3EFE">
              <w:rPr>
                <w:rFonts w:ascii="Arial" w:hAnsi="Arial" w:cs="Arial"/>
                <w:position w:val="-6"/>
                <w:sz w:val="16"/>
                <w:szCs w:val="16"/>
              </w:rPr>
              <w:object w:dxaOrig="260" w:dyaOrig="240" w14:anchorId="59D970BA">
                <v:shape id="_x0000_i1045" type="#_x0000_t75" style="width:12.9pt;height:12.05pt" o:ole="">
                  <v:imagedata r:id="rId69" o:title=""/>
                </v:shape>
                <o:OLEObject Type="Embed" ProgID="Equation.DSMT4" ShapeID="_x0000_i1045" DrawAspect="Content" ObjectID="_1793448206" r:id="rId70"/>
              </w:object>
            </w:r>
          </w:p>
        </w:tc>
        <w:tc>
          <w:tcPr>
            <w:tcW w:w="912" w:type="dxa"/>
            <w:tcBorders>
              <w:top w:val="nil"/>
              <w:left w:val="nil"/>
              <w:bottom w:val="nil"/>
              <w:right w:val="nil"/>
            </w:tcBorders>
            <w:shd w:val="clear" w:color="auto" w:fill="auto"/>
            <w:vAlign w:val="center"/>
            <w:hideMark/>
          </w:tcPr>
          <w:p w14:paraId="6D5D8617" w14:textId="77777777" w:rsidR="00FB3EFE" w:rsidRPr="00FB3EFE" w:rsidRDefault="00FB3EFE" w:rsidP="00FB3EFE">
            <w:pPr>
              <w:spacing w:after="0"/>
              <w:ind w:left="0" w:hanging="2"/>
              <w:jc w:val="center"/>
              <w:rPr>
                <w:rFonts w:ascii="Arial" w:eastAsia="Times New Roman" w:hAnsi="Arial" w:cs="Arial"/>
                <w:color w:val="000000"/>
                <w:sz w:val="16"/>
                <w:szCs w:val="16"/>
                <w:lang w:val="en-GB"/>
              </w:rPr>
            </w:pPr>
            <w:r w:rsidRPr="00FB3EFE">
              <w:rPr>
                <w:rFonts w:ascii="Arial" w:eastAsia="Times New Roman" w:hAnsi="Arial" w:cs="Arial"/>
                <w:color w:val="000000"/>
                <w:sz w:val="16"/>
                <w:szCs w:val="16"/>
                <w:lang w:val="en-GB"/>
              </w:rPr>
              <w:t>s</w:t>
            </w:r>
          </w:p>
        </w:tc>
        <w:tc>
          <w:tcPr>
            <w:tcW w:w="2227" w:type="dxa"/>
            <w:gridSpan w:val="2"/>
            <w:tcBorders>
              <w:top w:val="single" w:sz="8" w:space="0" w:color="auto"/>
              <w:left w:val="nil"/>
              <w:bottom w:val="nil"/>
              <w:right w:val="nil"/>
            </w:tcBorders>
            <w:shd w:val="clear" w:color="auto" w:fill="auto"/>
            <w:noWrap/>
            <w:vAlign w:val="center"/>
            <w:hideMark/>
          </w:tcPr>
          <w:p w14:paraId="37EE18C4" w14:textId="77777777" w:rsidR="00FB3EFE" w:rsidRPr="00FB3EFE" w:rsidRDefault="00FB3EFE" w:rsidP="00FB3EFE">
            <w:pPr>
              <w:spacing w:after="0"/>
              <w:ind w:left="0" w:hanging="2"/>
              <w:jc w:val="center"/>
              <w:rPr>
                <w:rFonts w:ascii="Arial" w:eastAsia="Times New Roman" w:hAnsi="Arial" w:cs="Arial"/>
                <w:color w:val="000000"/>
                <w:sz w:val="16"/>
                <w:szCs w:val="16"/>
                <w:lang w:val="en-GB"/>
              </w:rPr>
            </w:pPr>
            <w:r w:rsidRPr="00FB3EFE">
              <w:rPr>
                <w:rFonts w:ascii="Arial" w:eastAsia="Times New Roman" w:hAnsi="Arial" w:cs="Arial"/>
                <w:color w:val="000000"/>
                <w:sz w:val="16"/>
                <w:szCs w:val="16"/>
                <w:lang w:val="en-GB"/>
              </w:rPr>
              <w:t>20.00 </w:t>
            </w:r>
          </w:p>
        </w:tc>
      </w:tr>
      <w:tr w:rsidR="00FB3EFE" w:rsidRPr="00FB3EFE" w14:paraId="1200C67E" w14:textId="77777777" w:rsidTr="00126FBD">
        <w:trPr>
          <w:trHeight w:val="140"/>
        </w:trPr>
        <w:tc>
          <w:tcPr>
            <w:tcW w:w="993" w:type="dxa"/>
            <w:tcBorders>
              <w:top w:val="nil"/>
              <w:left w:val="nil"/>
              <w:bottom w:val="nil"/>
              <w:right w:val="nil"/>
            </w:tcBorders>
            <w:shd w:val="clear" w:color="auto" w:fill="auto"/>
            <w:noWrap/>
            <w:vAlign w:val="center"/>
            <w:hideMark/>
          </w:tcPr>
          <w:p w14:paraId="56EE8B64" w14:textId="77777777" w:rsidR="00FB3EFE" w:rsidRPr="00FB3EFE" w:rsidRDefault="00FB3EFE" w:rsidP="00FB3EFE">
            <w:pPr>
              <w:spacing w:after="0"/>
              <w:ind w:left="0" w:hanging="2"/>
              <w:jc w:val="center"/>
              <w:rPr>
                <w:rFonts w:ascii="Arial" w:eastAsia="Times New Roman" w:hAnsi="Arial" w:cs="Arial"/>
                <w:color w:val="000000"/>
                <w:sz w:val="16"/>
                <w:szCs w:val="16"/>
                <w:lang w:val="en-GB"/>
              </w:rPr>
            </w:pPr>
            <w:r w:rsidRPr="00FB3EFE">
              <w:rPr>
                <w:rFonts w:ascii="Arial" w:hAnsi="Arial" w:cs="Arial"/>
                <w:position w:val="-6"/>
                <w:sz w:val="16"/>
                <w:szCs w:val="16"/>
              </w:rPr>
              <w:object w:dxaOrig="300" w:dyaOrig="240" w14:anchorId="05C683DD">
                <v:shape id="_x0000_i1046" type="#_x0000_t75" style="width:15pt;height:12.05pt" o:ole="">
                  <v:imagedata r:id="rId71" o:title=""/>
                </v:shape>
                <o:OLEObject Type="Embed" ProgID="Equation.DSMT4" ShapeID="_x0000_i1046" DrawAspect="Content" ObjectID="_1793448207" r:id="rId72"/>
              </w:object>
            </w:r>
          </w:p>
        </w:tc>
        <w:tc>
          <w:tcPr>
            <w:tcW w:w="912" w:type="dxa"/>
            <w:tcBorders>
              <w:top w:val="nil"/>
              <w:left w:val="nil"/>
              <w:bottom w:val="nil"/>
              <w:right w:val="nil"/>
            </w:tcBorders>
            <w:shd w:val="clear" w:color="auto" w:fill="auto"/>
            <w:vAlign w:val="center"/>
            <w:hideMark/>
          </w:tcPr>
          <w:p w14:paraId="18666B33" w14:textId="77777777" w:rsidR="00FB3EFE" w:rsidRPr="00FB3EFE" w:rsidRDefault="00FB3EFE" w:rsidP="00FB3EFE">
            <w:pPr>
              <w:spacing w:after="0"/>
              <w:ind w:left="0" w:hanging="2"/>
              <w:jc w:val="center"/>
              <w:rPr>
                <w:rFonts w:ascii="Arial" w:eastAsia="Times New Roman" w:hAnsi="Arial" w:cs="Arial"/>
                <w:color w:val="000000"/>
                <w:sz w:val="16"/>
                <w:szCs w:val="16"/>
                <w:lang w:val="en-GB"/>
              </w:rPr>
            </w:pPr>
            <w:r w:rsidRPr="00FB3EFE">
              <w:rPr>
                <w:rFonts w:ascii="Arial" w:eastAsia="Times New Roman" w:hAnsi="Arial" w:cs="Arial"/>
                <w:color w:val="000000"/>
                <w:sz w:val="16"/>
                <w:szCs w:val="16"/>
                <w:lang w:val="en-GB"/>
              </w:rPr>
              <w:t>m</w:t>
            </w:r>
          </w:p>
        </w:tc>
        <w:tc>
          <w:tcPr>
            <w:tcW w:w="2227" w:type="dxa"/>
            <w:gridSpan w:val="2"/>
            <w:tcBorders>
              <w:top w:val="nil"/>
              <w:left w:val="nil"/>
              <w:bottom w:val="nil"/>
              <w:right w:val="nil"/>
            </w:tcBorders>
            <w:shd w:val="clear" w:color="auto" w:fill="auto"/>
            <w:noWrap/>
            <w:vAlign w:val="center"/>
            <w:hideMark/>
          </w:tcPr>
          <w:p w14:paraId="2C2B3E46" w14:textId="77777777" w:rsidR="00FB3EFE" w:rsidRPr="00FB3EFE" w:rsidRDefault="00FB3EFE" w:rsidP="00FB3EFE">
            <w:pPr>
              <w:spacing w:after="0"/>
              <w:ind w:left="0" w:hanging="2"/>
              <w:jc w:val="center"/>
              <w:rPr>
                <w:rFonts w:ascii="Arial" w:eastAsia="Times New Roman" w:hAnsi="Arial" w:cs="Arial"/>
                <w:color w:val="000000"/>
                <w:sz w:val="16"/>
                <w:szCs w:val="16"/>
                <w:lang w:val="en-GB"/>
              </w:rPr>
            </w:pPr>
            <w:r w:rsidRPr="00FB3EFE">
              <w:rPr>
                <w:rFonts w:ascii="Arial" w:eastAsia="Times New Roman" w:hAnsi="Arial" w:cs="Arial"/>
                <w:color w:val="000000"/>
                <w:sz w:val="16"/>
                <w:szCs w:val="16"/>
                <w:lang w:val="en-GB"/>
              </w:rPr>
              <w:t>20.40 – 186.60</w:t>
            </w:r>
          </w:p>
        </w:tc>
      </w:tr>
      <w:tr w:rsidR="00FB3EFE" w:rsidRPr="00FB3EFE" w14:paraId="1B1E0654" w14:textId="77777777" w:rsidTr="00126FBD">
        <w:trPr>
          <w:trHeight w:val="291"/>
        </w:trPr>
        <w:tc>
          <w:tcPr>
            <w:tcW w:w="993" w:type="dxa"/>
            <w:tcBorders>
              <w:top w:val="nil"/>
              <w:left w:val="nil"/>
              <w:bottom w:val="single" w:sz="8" w:space="0" w:color="auto"/>
              <w:right w:val="nil"/>
            </w:tcBorders>
            <w:shd w:val="clear" w:color="auto" w:fill="auto"/>
            <w:noWrap/>
            <w:vAlign w:val="center"/>
            <w:hideMark/>
          </w:tcPr>
          <w:p w14:paraId="42CB990E" w14:textId="77777777" w:rsidR="00FB3EFE" w:rsidRPr="00FB3EFE" w:rsidRDefault="00FB3EFE" w:rsidP="00FB3EFE">
            <w:pPr>
              <w:spacing w:after="0"/>
              <w:ind w:left="0" w:hanging="2"/>
              <w:jc w:val="center"/>
              <w:rPr>
                <w:rFonts w:ascii="Arial" w:eastAsia="Times New Roman" w:hAnsi="Arial" w:cs="Arial"/>
                <w:color w:val="000000"/>
                <w:sz w:val="16"/>
                <w:szCs w:val="16"/>
                <w:lang w:val="en-GB"/>
              </w:rPr>
            </w:pPr>
            <w:r w:rsidRPr="00FB3EFE">
              <w:rPr>
                <w:rFonts w:ascii="Arial" w:eastAsia="Times New Roman" w:hAnsi="Arial" w:cs="Arial"/>
                <w:color w:val="000000"/>
                <w:sz w:val="16"/>
                <w:szCs w:val="16"/>
              </w:rPr>
              <w:t>CN</w:t>
            </w:r>
          </w:p>
        </w:tc>
        <w:tc>
          <w:tcPr>
            <w:tcW w:w="912" w:type="dxa"/>
            <w:tcBorders>
              <w:top w:val="nil"/>
              <w:left w:val="nil"/>
              <w:bottom w:val="single" w:sz="8" w:space="0" w:color="auto"/>
              <w:right w:val="nil"/>
            </w:tcBorders>
            <w:shd w:val="clear" w:color="auto" w:fill="auto"/>
            <w:vAlign w:val="center"/>
            <w:hideMark/>
          </w:tcPr>
          <w:p w14:paraId="17BB7A4A" w14:textId="77777777" w:rsidR="00FB3EFE" w:rsidRPr="00FB3EFE" w:rsidRDefault="00FB3EFE" w:rsidP="00FB3EFE">
            <w:pPr>
              <w:spacing w:after="0"/>
              <w:ind w:left="0" w:hanging="2"/>
              <w:jc w:val="center"/>
              <w:rPr>
                <w:rFonts w:ascii="Arial" w:eastAsia="Times New Roman" w:hAnsi="Arial" w:cs="Arial"/>
                <w:color w:val="000000"/>
                <w:sz w:val="16"/>
                <w:szCs w:val="16"/>
                <w:lang w:val="en-GB"/>
              </w:rPr>
            </w:pPr>
            <w:r w:rsidRPr="00FB3EFE">
              <w:rPr>
                <w:rFonts w:ascii="Arial" w:eastAsia="Times New Roman" w:hAnsi="Arial" w:cs="Arial"/>
                <w:color w:val="000000"/>
                <w:sz w:val="16"/>
                <w:szCs w:val="16"/>
                <w:lang w:val="en-GB"/>
              </w:rPr>
              <w:t>unitless</w:t>
            </w:r>
          </w:p>
        </w:tc>
        <w:tc>
          <w:tcPr>
            <w:tcW w:w="1093" w:type="dxa"/>
            <w:tcBorders>
              <w:top w:val="nil"/>
              <w:left w:val="nil"/>
              <w:bottom w:val="single" w:sz="8" w:space="0" w:color="auto"/>
              <w:right w:val="nil"/>
            </w:tcBorders>
            <w:shd w:val="clear" w:color="auto" w:fill="auto"/>
            <w:noWrap/>
            <w:vAlign w:val="center"/>
            <w:hideMark/>
          </w:tcPr>
          <w:p w14:paraId="0E4F384F" w14:textId="77777777" w:rsidR="00FB3EFE" w:rsidRPr="00FB3EFE" w:rsidRDefault="00FB3EFE" w:rsidP="00FB3EFE">
            <w:pPr>
              <w:spacing w:after="0"/>
              <w:ind w:left="0" w:hanging="2"/>
              <w:jc w:val="center"/>
              <w:rPr>
                <w:rFonts w:ascii="Arial" w:eastAsia="Times New Roman" w:hAnsi="Arial" w:cs="Arial"/>
                <w:color w:val="000000"/>
                <w:sz w:val="16"/>
                <w:szCs w:val="16"/>
                <w:lang w:val="en-GB"/>
              </w:rPr>
            </w:pPr>
            <w:r w:rsidRPr="00FB3EFE">
              <w:rPr>
                <w:rFonts w:ascii="Arial" w:eastAsia="Times New Roman" w:hAnsi="Arial" w:cs="Arial"/>
                <w:color w:val="000000"/>
                <w:sz w:val="16"/>
                <w:szCs w:val="16"/>
                <w:lang w:val="en-GB"/>
              </w:rPr>
              <w:t> 0.03 – 0.83</w:t>
            </w:r>
          </w:p>
        </w:tc>
        <w:tc>
          <w:tcPr>
            <w:tcW w:w="1134" w:type="dxa"/>
            <w:tcBorders>
              <w:top w:val="nil"/>
              <w:left w:val="nil"/>
              <w:bottom w:val="single" w:sz="8" w:space="0" w:color="auto"/>
              <w:right w:val="nil"/>
            </w:tcBorders>
            <w:shd w:val="clear" w:color="auto" w:fill="auto"/>
            <w:noWrap/>
            <w:vAlign w:val="center"/>
            <w:hideMark/>
          </w:tcPr>
          <w:p w14:paraId="102FF6DC" w14:textId="77777777" w:rsidR="00FB3EFE" w:rsidRPr="00FB3EFE" w:rsidRDefault="00FB3EFE" w:rsidP="00FB3EFE">
            <w:pPr>
              <w:spacing w:after="0"/>
              <w:ind w:left="0" w:hanging="2"/>
              <w:jc w:val="center"/>
              <w:rPr>
                <w:rFonts w:ascii="Arial" w:eastAsia="Times New Roman" w:hAnsi="Arial" w:cs="Arial"/>
                <w:color w:val="000000"/>
                <w:sz w:val="16"/>
                <w:szCs w:val="16"/>
                <w:lang w:val="en-GB"/>
              </w:rPr>
            </w:pPr>
            <w:r w:rsidRPr="00FB3EFE">
              <w:rPr>
                <w:rFonts w:ascii="Arial" w:eastAsia="Times New Roman" w:hAnsi="Arial" w:cs="Arial"/>
                <w:color w:val="000000"/>
                <w:sz w:val="16"/>
                <w:szCs w:val="16"/>
                <w:lang w:val="en-GB"/>
              </w:rPr>
              <w:t> 0.03 – 0.90</w:t>
            </w:r>
          </w:p>
        </w:tc>
      </w:tr>
    </w:tbl>
    <w:p w14:paraId="5198C48F" w14:textId="2A88B61E" w:rsidR="00FB3EFE" w:rsidRDefault="00FB3EFE" w:rsidP="00363742">
      <w:pPr>
        <w:spacing w:before="240" w:after="0" w:line="240" w:lineRule="auto"/>
        <w:ind w:leftChars="0" w:left="0" w:firstLineChars="0" w:firstLine="720"/>
        <w:jc w:val="both"/>
        <w:rPr>
          <w:rFonts w:ascii="Arial" w:eastAsia="Arial" w:hAnsi="Arial" w:cs="Arial"/>
          <w:sz w:val="20"/>
          <w:szCs w:val="20"/>
        </w:rPr>
      </w:pPr>
      <w:r w:rsidRPr="00FB3EFE">
        <w:rPr>
          <w:rFonts w:ascii="Arial" w:eastAsia="Arial" w:hAnsi="Arial" w:cs="Arial"/>
          <w:sz w:val="20"/>
          <w:szCs w:val="20"/>
        </w:rPr>
        <w:t xml:space="preserve">Water quality modelling will be run for 24 hours starting from 06.00 AM. Domestic wastewater disposal into the </w:t>
      </w:r>
      <w:proofErr w:type="spellStart"/>
      <w:r w:rsidRPr="00FB3EFE">
        <w:rPr>
          <w:rFonts w:ascii="Arial" w:eastAsia="Arial" w:hAnsi="Arial" w:cs="Arial"/>
          <w:sz w:val="20"/>
          <w:szCs w:val="20"/>
        </w:rPr>
        <w:t>Cikakembang</w:t>
      </w:r>
      <w:proofErr w:type="spellEnd"/>
      <w:r w:rsidRPr="00FB3EFE">
        <w:rPr>
          <w:rFonts w:ascii="Arial" w:eastAsia="Arial" w:hAnsi="Arial" w:cs="Arial"/>
          <w:sz w:val="20"/>
          <w:szCs w:val="20"/>
        </w:rPr>
        <w:t xml:space="preserve"> River will not be regulated while the model runs. Working hours from 08.00 AM to 05.00 PM are used as textile industry wastewater disposal time. The concentration of copper parameters in the effluent at each PSP point is regulated according to the textile industry wastewater quality standards, namely 1 mg/L.</w:t>
      </w:r>
    </w:p>
    <w:p w14:paraId="1E15108B" w14:textId="77777777" w:rsidR="00FB3EFE" w:rsidRDefault="00FB3EFE" w:rsidP="00FB3EFE">
      <w:pPr>
        <w:spacing w:before="240" w:after="0" w:line="240" w:lineRule="auto"/>
        <w:ind w:left="0" w:hanging="2"/>
        <w:jc w:val="both"/>
        <w:rPr>
          <w:rFonts w:ascii="Arial" w:eastAsia="Arial" w:hAnsi="Arial" w:cs="Arial"/>
          <w:b/>
          <w:color w:val="1F4E79"/>
          <w:sz w:val="20"/>
          <w:szCs w:val="20"/>
        </w:rPr>
      </w:pPr>
      <w:r w:rsidRPr="00FB3EFE">
        <w:rPr>
          <w:rFonts w:ascii="Arial" w:eastAsia="Arial" w:hAnsi="Arial" w:cs="Arial"/>
          <w:b/>
          <w:color w:val="1F4E79"/>
          <w:sz w:val="20"/>
          <w:szCs w:val="20"/>
        </w:rPr>
        <w:t>Calibration and Verification</w:t>
      </w:r>
    </w:p>
    <w:p w14:paraId="3105268F" w14:textId="77777777" w:rsidR="00FB3EFE" w:rsidRPr="00FB3EFE" w:rsidRDefault="00FB3EFE" w:rsidP="00363742">
      <w:pPr>
        <w:spacing w:after="0" w:line="240" w:lineRule="auto"/>
        <w:ind w:leftChars="0" w:left="0" w:firstLineChars="0" w:firstLine="720"/>
        <w:jc w:val="both"/>
        <w:rPr>
          <w:rFonts w:ascii="Arial" w:eastAsia="Arial" w:hAnsi="Arial" w:cs="Arial"/>
          <w:sz w:val="20"/>
          <w:szCs w:val="20"/>
        </w:rPr>
      </w:pPr>
      <w:r w:rsidRPr="00FB3EFE">
        <w:rPr>
          <w:rFonts w:ascii="Arial" w:eastAsia="Arial" w:hAnsi="Arial" w:cs="Arial"/>
          <w:sz w:val="20"/>
          <w:szCs w:val="20"/>
        </w:rPr>
        <w:t>Two water quality coefficients need to be calibrated: the dispersion coefficient (E</w:t>
      </w:r>
      <w:r w:rsidRPr="00D82B8D">
        <w:rPr>
          <w:rFonts w:ascii="Arial" w:eastAsia="Arial" w:hAnsi="Arial" w:cs="Arial"/>
          <w:sz w:val="20"/>
          <w:szCs w:val="20"/>
          <w:vertAlign w:val="subscript"/>
        </w:rPr>
        <w:t>x</w:t>
      </w:r>
      <w:r w:rsidRPr="00FB3EFE">
        <w:rPr>
          <w:rFonts w:ascii="Arial" w:eastAsia="Arial" w:hAnsi="Arial" w:cs="Arial"/>
          <w:sz w:val="20"/>
          <w:szCs w:val="20"/>
        </w:rPr>
        <w:t xml:space="preserve">) and the settling coefficient for the copper parameter (α). The dispersion coefficient for the </w:t>
      </w:r>
      <w:proofErr w:type="spellStart"/>
      <w:r w:rsidRPr="00FB3EFE">
        <w:rPr>
          <w:rFonts w:ascii="Arial" w:eastAsia="Arial" w:hAnsi="Arial" w:cs="Arial"/>
          <w:sz w:val="20"/>
          <w:szCs w:val="20"/>
        </w:rPr>
        <w:t>Cikakembang</w:t>
      </w:r>
      <w:proofErr w:type="spellEnd"/>
      <w:r w:rsidRPr="00FB3EFE">
        <w:rPr>
          <w:rFonts w:ascii="Arial" w:eastAsia="Arial" w:hAnsi="Arial" w:cs="Arial"/>
          <w:sz w:val="20"/>
          <w:szCs w:val="20"/>
        </w:rPr>
        <w:t xml:space="preserve"> River has been estimated using the regression equation developed by Iwasa and Aya (1991). The dispersion coefficient value ranges from 2.33 m</w:t>
      </w:r>
      <w:r w:rsidRPr="00D82B8D">
        <w:rPr>
          <w:rFonts w:ascii="Arial" w:eastAsia="Arial" w:hAnsi="Arial" w:cs="Arial"/>
          <w:sz w:val="20"/>
          <w:szCs w:val="20"/>
          <w:vertAlign w:val="superscript"/>
        </w:rPr>
        <w:t>2</w:t>
      </w:r>
      <w:r w:rsidRPr="00FB3EFE">
        <w:rPr>
          <w:rFonts w:ascii="Arial" w:eastAsia="Arial" w:hAnsi="Arial" w:cs="Arial"/>
          <w:sz w:val="20"/>
          <w:szCs w:val="20"/>
        </w:rPr>
        <w:t>/s to 7.64 m</w:t>
      </w:r>
      <w:r w:rsidRPr="00D82B8D">
        <w:rPr>
          <w:rFonts w:ascii="Arial" w:eastAsia="Arial" w:hAnsi="Arial" w:cs="Arial"/>
          <w:sz w:val="20"/>
          <w:szCs w:val="20"/>
          <w:vertAlign w:val="superscript"/>
        </w:rPr>
        <w:t>2</w:t>
      </w:r>
      <w:r w:rsidRPr="00FB3EFE">
        <w:rPr>
          <w:rFonts w:ascii="Arial" w:eastAsia="Arial" w:hAnsi="Arial" w:cs="Arial"/>
          <w:sz w:val="20"/>
          <w:szCs w:val="20"/>
        </w:rPr>
        <w:t>/s and 2.31 m</w:t>
      </w:r>
      <w:r w:rsidRPr="00D82B8D">
        <w:rPr>
          <w:rFonts w:ascii="Arial" w:eastAsia="Arial" w:hAnsi="Arial" w:cs="Arial"/>
          <w:sz w:val="20"/>
          <w:szCs w:val="20"/>
          <w:vertAlign w:val="superscript"/>
        </w:rPr>
        <w:t>2</w:t>
      </w:r>
      <w:r w:rsidRPr="00FB3EFE">
        <w:rPr>
          <w:rFonts w:ascii="Arial" w:eastAsia="Arial" w:hAnsi="Arial" w:cs="Arial"/>
          <w:sz w:val="20"/>
          <w:szCs w:val="20"/>
        </w:rPr>
        <w:t>/s to 7.54 m</w:t>
      </w:r>
      <w:r w:rsidRPr="00D82B8D">
        <w:rPr>
          <w:rFonts w:ascii="Arial" w:eastAsia="Arial" w:hAnsi="Arial" w:cs="Arial"/>
          <w:sz w:val="20"/>
          <w:szCs w:val="20"/>
          <w:vertAlign w:val="superscript"/>
        </w:rPr>
        <w:t>2</w:t>
      </w:r>
      <w:r w:rsidRPr="00FB3EFE">
        <w:rPr>
          <w:rFonts w:ascii="Arial" w:eastAsia="Arial" w:hAnsi="Arial" w:cs="Arial"/>
          <w:sz w:val="20"/>
          <w:szCs w:val="20"/>
        </w:rPr>
        <w:t xml:space="preserve">/s, respectively, in the rainy and dry seasons. The slight difference in the dispersion coefficient value is caused by differences in the hydraulic parameters of the </w:t>
      </w:r>
      <w:proofErr w:type="spellStart"/>
      <w:r w:rsidRPr="00FB3EFE">
        <w:rPr>
          <w:rFonts w:ascii="Arial" w:eastAsia="Arial" w:hAnsi="Arial" w:cs="Arial"/>
          <w:sz w:val="20"/>
          <w:szCs w:val="20"/>
        </w:rPr>
        <w:t>Cikakembang</w:t>
      </w:r>
      <w:proofErr w:type="spellEnd"/>
      <w:r w:rsidRPr="00FB3EFE">
        <w:rPr>
          <w:rFonts w:ascii="Arial" w:eastAsia="Arial" w:hAnsi="Arial" w:cs="Arial"/>
          <w:sz w:val="20"/>
          <w:szCs w:val="20"/>
        </w:rPr>
        <w:t xml:space="preserve"> River in the two seasons. The value is calibrated using the trial-and-error method for the settling coefficient for the copper parameter. This study uses an α value of 40 day</w:t>
      </w:r>
      <w:r w:rsidRPr="00D82B8D">
        <w:rPr>
          <w:rFonts w:ascii="Arial" w:eastAsia="Arial" w:hAnsi="Arial" w:cs="Arial"/>
          <w:sz w:val="20"/>
          <w:szCs w:val="20"/>
          <w:vertAlign w:val="superscript"/>
        </w:rPr>
        <w:t>-1</w:t>
      </w:r>
      <w:r w:rsidRPr="00FB3EFE">
        <w:rPr>
          <w:rFonts w:ascii="Arial" w:eastAsia="Arial" w:hAnsi="Arial" w:cs="Arial"/>
          <w:sz w:val="20"/>
          <w:szCs w:val="20"/>
        </w:rPr>
        <w:t xml:space="preserve"> in the calibration and verification.</w:t>
      </w:r>
    </w:p>
    <w:p w14:paraId="3F770385" w14:textId="77777777" w:rsidR="00FB3EFE" w:rsidRDefault="00FB3EFE" w:rsidP="00363742">
      <w:pPr>
        <w:spacing w:line="240" w:lineRule="auto"/>
        <w:ind w:leftChars="0" w:left="0" w:firstLineChars="0" w:firstLine="720"/>
        <w:jc w:val="both"/>
        <w:rPr>
          <w:rFonts w:ascii="Arial" w:eastAsia="Arial" w:hAnsi="Arial" w:cs="Arial"/>
          <w:sz w:val="20"/>
          <w:szCs w:val="20"/>
        </w:rPr>
      </w:pPr>
      <w:r w:rsidRPr="00FB3EFE">
        <w:rPr>
          <w:rFonts w:ascii="Arial" w:eastAsia="Arial" w:hAnsi="Arial" w:cs="Arial"/>
          <w:sz w:val="20"/>
          <w:szCs w:val="20"/>
        </w:rPr>
        <w:t>The results of numerical modelling for copper parameters are shown in Figure 6. Next, the modelling results are evaluated using the RRMSE objective function. The RMMSE values for the three modelling results are shown in Table 8. The evaluation results of the three simulation results produced RRMSE values below 10%, so the modelling results were declared accurate.</w:t>
      </w:r>
    </w:p>
    <w:p w14:paraId="40AA6658" w14:textId="64161137" w:rsidR="00FB3EFE" w:rsidRDefault="00FB3EFE" w:rsidP="00FB3EFE">
      <w:pPr>
        <w:spacing w:after="0" w:line="240" w:lineRule="auto"/>
        <w:ind w:left="0" w:hanging="2"/>
        <w:jc w:val="both"/>
        <w:rPr>
          <w:rFonts w:ascii="Arial" w:eastAsia="Arial" w:hAnsi="Arial" w:cs="Arial"/>
          <w:sz w:val="20"/>
          <w:szCs w:val="20"/>
        </w:rPr>
      </w:pPr>
      <w:r>
        <w:rPr>
          <w:noProof/>
        </w:rPr>
        <w:lastRenderedPageBreak/>
        <w:drawing>
          <wp:inline distT="0" distB="0" distL="0" distR="0" wp14:anchorId="3D9F6484" wp14:editId="6935DA82">
            <wp:extent cx="2651760" cy="1945914"/>
            <wp:effectExtent l="0" t="0" r="15240" b="16510"/>
            <wp:docPr id="1931799881" name="Chart 1">
              <a:extLst xmlns:a="http://schemas.openxmlformats.org/drawingml/2006/main">
                <a:ext uri="{FF2B5EF4-FFF2-40B4-BE49-F238E27FC236}">
                  <a16:creationId xmlns:a16="http://schemas.microsoft.com/office/drawing/2014/main" id="{DCA5FE6C-4F91-44AA-B163-2DC48ACACEE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389BDDCE" w14:textId="77777777" w:rsidR="00FB3EFE" w:rsidRPr="00D82B8D" w:rsidRDefault="00FB3EFE" w:rsidP="00FB3EFE">
      <w:pPr>
        <w:spacing w:after="120"/>
        <w:ind w:left="0" w:hanging="2"/>
        <w:jc w:val="center"/>
        <w:rPr>
          <w:rFonts w:ascii="Arial" w:eastAsia="Cambria" w:hAnsi="Arial" w:cs="Arial"/>
          <w:bCs/>
          <w:sz w:val="20"/>
          <w:szCs w:val="20"/>
        </w:rPr>
      </w:pPr>
      <w:r w:rsidRPr="00D82B8D">
        <w:rPr>
          <w:rFonts w:ascii="Arial" w:eastAsia="Cambria" w:hAnsi="Arial" w:cs="Arial"/>
          <w:bCs/>
          <w:sz w:val="20"/>
          <w:szCs w:val="20"/>
        </w:rPr>
        <w:t>(a)</w:t>
      </w:r>
    </w:p>
    <w:p w14:paraId="74BAAD6B" w14:textId="429F6F10" w:rsidR="00FB3EFE" w:rsidRDefault="00FB3EFE" w:rsidP="00FB3EFE">
      <w:pPr>
        <w:spacing w:after="0" w:line="240" w:lineRule="auto"/>
        <w:ind w:left="0" w:hanging="2"/>
        <w:jc w:val="both"/>
        <w:rPr>
          <w:rFonts w:ascii="Arial" w:eastAsia="Arial" w:hAnsi="Arial" w:cs="Arial"/>
          <w:sz w:val="20"/>
          <w:szCs w:val="20"/>
        </w:rPr>
      </w:pPr>
      <w:r>
        <w:rPr>
          <w:noProof/>
        </w:rPr>
        <w:drawing>
          <wp:inline distT="0" distB="0" distL="0" distR="0" wp14:anchorId="7974986B" wp14:editId="520CAC61">
            <wp:extent cx="2651760" cy="1944998"/>
            <wp:effectExtent l="0" t="0" r="15240" b="17780"/>
            <wp:docPr id="525150558" name="Chart 1">
              <a:extLst xmlns:a="http://schemas.openxmlformats.org/drawingml/2006/main">
                <a:ext uri="{FF2B5EF4-FFF2-40B4-BE49-F238E27FC236}">
                  <a16:creationId xmlns:a16="http://schemas.microsoft.com/office/drawing/2014/main" id="{A18FE452-DD6E-4F09-A104-E3A0BF0B27B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14:paraId="048FCB50" w14:textId="77777777" w:rsidR="00FB3EFE" w:rsidRPr="00D82B8D" w:rsidRDefault="00FB3EFE" w:rsidP="00FB3EFE">
      <w:pPr>
        <w:spacing w:after="120"/>
        <w:ind w:left="0" w:hanging="2"/>
        <w:jc w:val="center"/>
        <w:rPr>
          <w:rFonts w:ascii="Arial" w:eastAsia="Cambria" w:hAnsi="Arial" w:cs="Arial"/>
          <w:bCs/>
          <w:sz w:val="20"/>
          <w:szCs w:val="20"/>
        </w:rPr>
      </w:pPr>
      <w:r w:rsidRPr="00D82B8D">
        <w:rPr>
          <w:rFonts w:ascii="Arial" w:eastAsia="Cambria" w:hAnsi="Arial" w:cs="Arial"/>
          <w:bCs/>
          <w:sz w:val="20"/>
          <w:szCs w:val="20"/>
        </w:rPr>
        <w:t>(b)</w:t>
      </w:r>
    </w:p>
    <w:p w14:paraId="5A2B6E51" w14:textId="77777777" w:rsidR="00D82B8D" w:rsidRPr="00FB3EFE" w:rsidRDefault="00D82B8D" w:rsidP="00FB3EFE">
      <w:pPr>
        <w:spacing w:after="120"/>
        <w:ind w:left="0" w:hanging="2"/>
        <w:jc w:val="center"/>
        <w:rPr>
          <w:rFonts w:ascii="Arial" w:eastAsia="Cambria" w:hAnsi="Arial" w:cs="Arial"/>
          <w:bCs/>
          <w:sz w:val="16"/>
          <w:szCs w:val="16"/>
        </w:rPr>
      </w:pPr>
    </w:p>
    <w:p w14:paraId="11FF2735" w14:textId="537D9CE2" w:rsidR="00FB3EFE" w:rsidRDefault="00FB3EFE" w:rsidP="00FB3EFE">
      <w:pPr>
        <w:spacing w:after="0" w:line="240" w:lineRule="auto"/>
        <w:ind w:left="0" w:hanging="2"/>
        <w:jc w:val="both"/>
        <w:rPr>
          <w:rFonts w:ascii="Arial" w:eastAsia="Arial" w:hAnsi="Arial" w:cs="Arial"/>
          <w:sz w:val="20"/>
          <w:szCs w:val="20"/>
        </w:rPr>
      </w:pPr>
      <w:r>
        <w:rPr>
          <w:noProof/>
        </w:rPr>
        <w:drawing>
          <wp:inline distT="0" distB="0" distL="0" distR="0" wp14:anchorId="14F8710E" wp14:editId="4B3DE871">
            <wp:extent cx="2651760" cy="1944998"/>
            <wp:effectExtent l="0" t="0" r="15240" b="17780"/>
            <wp:docPr id="187546238" name="Chart 1">
              <a:extLst xmlns:a="http://schemas.openxmlformats.org/drawingml/2006/main">
                <a:ext uri="{FF2B5EF4-FFF2-40B4-BE49-F238E27FC236}">
                  <a16:creationId xmlns:a16="http://schemas.microsoft.com/office/drawing/2014/main" id="{463E6AF6-CB41-4732-82D2-AD9A7AB92FB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796E1506" w14:textId="77777777" w:rsidR="00FB3EFE" w:rsidRPr="00D82B8D" w:rsidRDefault="00FB3EFE" w:rsidP="00D82B8D">
      <w:pPr>
        <w:keepNext/>
        <w:spacing w:after="0"/>
        <w:ind w:left="0" w:hanging="2"/>
        <w:jc w:val="center"/>
        <w:rPr>
          <w:rFonts w:ascii="Arial" w:hAnsi="Arial" w:cs="Arial"/>
          <w:sz w:val="20"/>
          <w:szCs w:val="20"/>
        </w:rPr>
      </w:pPr>
      <w:r w:rsidRPr="00D82B8D">
        <w:rPr>
          <w:rFonts w:ascii="Arial" w:hAnsi="Arial" w:cs="Arial"/>
          <w:sz w:val="20"/>
          <w:szCs w:val="20"/>
        </w:rPr>
        <w:t>(c)</w:t>
      </w:r>
    </w:p>
    <w:p w14:paraId="43682BE9" w14:textId="3CCC54DD" w:rsidR="00FB3EFE" w:rsidRDefault="00FB3EFE" w:rsidP="00FB3EFE">
      <w:pPr>
        <w:keepNext/>
        <w:pBdr>
          <w:top w:val="nil"/>
          <w:left w:val="nil"/>
          <w:bottom w:val="nil"/>
          <w:right w:val="nil"/>
          <w:between w:val="nil"/>
        </w:pBdr>
        <w:spacing w:after="0"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t xml:space="preserve">Figure 6. </w:t>
      </w:r>
      <w:r w:rsidRPr="00FB3EFE">
        <w:rPr>
          <w:rFonts w:ascii="Arial" w:eastAsia="Arial" w:hAnsi="Arial" w:cs="Arial"/>
          <w:color w:val="000000"/>
          <w:sz w:val="20"/>
          <w:szCs w:val="20"/>
        </w:rPr>
        <w:t>The Numerical Modelling Results of Copper Parameter in (a) Calibration Process, (b) Verification Process-1, and (c) Verification Process-2</w:t>
      </w:r>
    </w:p>
    <w:p w14:paraId="46644C8F" w14:textId="4EE747DF" w:rsidR="00FB3EFE" w:rsidRDefault="00FB3EFE" w:rsidP="00FB3EFE">
      <w:pPr>
        <w:keepNext/>
        <w:pBdr>
          <w:top w:val="nil"/>
          <w:left w:val="nil"/>
          <w:bottom w:val="nil"/>
          <w:right w:val="nil"/>
          <w:between w:val="nil"/>
        </w:pBdr>
        <w:spacing w:before="240" w:after="0"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t xml:space="preserve">Table 8. </w:t>
      </w:r>
      <w:r w:rsidRPr="00FB3EFE">
        <w:rPr>
          <w:rFonts w:ascii="Arial" w:hAnsi="Arial" w:cs="Arial"/>
          <w:sz w:val="20"/>
          <w:szCs w:val="20"/>
        </w:rPr>
        <w:t>The RRMSE Values of Copper Numerical Modelling Results</w:t>
      </w:r>
    </w:p>
    <w:tbl>
      <w:tblPr>
        <w:tblW w:w="4369" w:type="dxa"/>
        <w:tblBorders>
          <w:top w:val="single" w:sz="8" w:space="0" w:color="auto"/>
          <w:bottom w:val="single" w:sz="8" w:space="0" w:color="auto"/>
          <w:insideH w:val="single" w:sz="8" w:space="0" w:color="auto"/>
        </w:tblBorders>
        <w:tblLook w:val="04A0" w:firstRow="1" w:lastRow="0" w:firstColumn="1" w:lastColumn="0" w:noHBand="0" w:noVBand="1"/>
      </w:tblPr>
      <w:tblGrid>
        <w:gridCol w:w="1276"/>
        <w:gridCol w:w="1031"/>
        <w:gridCol w:w="1031"/>
        <w:gridCol w:w="1031"/>
      </w:tblGrid>
      <w:tr w:rsidR="00FB3EFE" w:rsidRPr="00FB3EFE" w14:paraId="79F1ED6A" w14:textId="77777777" w:rsidTr="00126FBD">
        <w:trPr>
          <w:trHeight w:val="232"/>
        </w:trPr>
        <w:tc>
          <w:tcPr>
            <w:tcW w:w="1276" w:type="dxa"/>
            <w:vMerge w:val="restart"/>
            <w:shd w:val="clear" w:color="auto" w:fill="auto"/>
            <w:noWrap/>
            <w:vAlign w:val="center"/>
          </w:tcPr>
          <w:p w14:paraId="4A566897" w14:textId="77777777" w:rsidR="00FB3EFE" w:rsidRPr="00FB3EFE" w:rsidRDefault="00FB3EFE" w:rsidP="00FB3EFE">
            <w:pPr>
              <w:spacing w:after="0"/>
              <w:ind w:left="0" w:hanging="2"/>
              <w:jc w:val="center"/>
              <w:rPr>
                <w:rFonts w:ascii="Arial" w:eastAsia="Times New Roman" w:hAnsi="Arial" w:cs="Arial"/>
                <w:b/>
                <w:bCs/>
                <w:color w:val="000000"/>
                <w:sz w:val="16"/>
                <w:szCs w:val="16"/>
                <w:lang w:val="en-GB"/>
              </w:rPr>
            </w:pPr>
            <w:r w:rsidRPr="00FB3EFE">
              <w:rPr>
                <w:rFonts w:ascii="Arial" w:eastAsia="Times New Roman" w:hAnsi="Arial" w:cs="Arial"/>
                <w:b/>
                <w:bCs/>
                <w:color w:val="000000"/>
                <w:sz w:val="16"/>
                <w:szCs w:val="16"/>
                <w:lang w:val="en-GB"/>
              </w:rPr>
              <w:t>Objective Function</w:t>
            </w:r>
          </w:p>
        </w:tc>
        <w:tc>
          <w:tcPr>
            <w:tcW w:w="3093" w:type="dxa"/>
            <w:gridSpan w:val="3"/>
            <w:shd w:val="clear" w:color="auto" w:fill="auto"/>
            <w:vAlign w:val="center"/>
          </w:tcPr>
          <w:p w14:paraId="6FF7367B" w14:textId="77777777" w:rsidR="00FB3EFE" w:rsidRPr="00FB3EFE" w:rsidRDefault="00FB3EFE" w:rsidP="00FB3EFE">
            <w:pPr>
              <w:spacing w:after="0"/>
              <w:ind w:left="0" w:hanging="2"/>
              <w:jc w:val="center"/>
              <w:rPr>
                <w:rFonts w:ascii="Arial" w:eastAsia="Times New Roman" w:hAnsi="Arial" w:cs="Arial"/>
                <w:b/>
                <w:bCs/>
                <w:color w:val="000000"/>
                <w:sz w:val="16"/>
                <w:szCs w:val="16"/>
                <w:lang w:val="en-GB"/>
              </w:rPr>
            </w:pPr>
            <w:r w:rsidRPr="00FB3EFE">
              <w:rPr>
                <w:rFonts w:ascii="Arial" w:eastAsia="Times New Roman" w:hAnsi="Arial" w:cs="Arial"/>
                <w:b/>
                <w:bCs/>
                <w:color w:val="000000"/>
                <w:sz w:val="16"/>
                <w:szCs w:val="16"/>
                <w:lang w:val="en-GB"/>
              </w:rPr>
              <w:t>Process</w:t>
            </w:r>
          </w:p>
        </w:tc>
      </w:tr>
      <w:tr w:rsidR="00FB3EFE" w:rsidRPr="00FB3EFE" w14:paraId="1FCAD12E" w14:textId="77777777" w:rsidTr="00126FBD">
        <w:trPr>
          <w:trHeight w:val="300"/>
        </w:trPr>
        <w:tc>
          <w:tcPr>
            <w:tcW w:w="1276" w:type="dxa"/>
            <w:vMerge/>
            <w:shd w:val="clear" w:color="auto" w:fill="auto"/>
            <w:noWrap/>
            <w:vAlign w:val="center"/>
            <w:hideMark/>
          </w:tcPr>
          <w:p w14:paraId="512DE887" w14:textId="77777777" w:rsidR="00FB3EFE" w:rsidRPr="00FB3EFE" w:rsidRDefault="00FB3EFE" w:rsidP="00FB3EFE">
            <w:pPr>
              <w:spacing w:after="0"/>
              <w:ind w:left="0" w:hanging="2"/>
              <w:jc w:val="center"/>
              <w:rPr>
                <w:rFonts w:ascii="Arial" w:eastAsia="Times New Roman" w:hAnsi="Arial" w:cs="Arial"/>
                <w:b/>
                <w:bCs/>
                <w:color w:val="000000"/>
                <w:sz w:val="16"/>
                <w:szCs w:val="16"/>
                <w:lang w:val="en-GB"/>
              </w:rPr>
            </w:pPr>
          </w:p>
        </w:tc>
        <w:tc>
          <w:tcPr>
            <w:tcW w:w="1031" w:type="dxa"/>
            <w:shd w:val="clear" w:color="auto" w:fill="auto"/>
            <w:vAlign w:val="center"/>
            <w:hideMark/>
          </w:tcPr>
          <w:p w14:paraId="693E67F8" w14:textId="77777777" w:rsidR="00FB3EFE" w:rsidRPr="00FB3EFE" w:rsidRDefault="00FB3EFE" w:rsidP="00FB3EFE">
            <w:pPr>
              <w:spacing w:after="0"/>
              <w:ind w:left="0" w:hanging="2"/>
              <w:jc w:val="center"/>
              <w:rPr>
                <w:rFonts w:ascii="Arial" w:eastAsia="Times New Roman" w:hAnsi="Arial" w:cs="Arial"/>
                <w:b/>
                <w:bCs/>
                <w:color w:val="000000"/>
                <w:sz w:val="16"/>
                <w:szCs w:val="16"/>
                <w:lang w:val="en-GB"/>
              </w:rPr>
            </w:pPr>
            <w:r w:rsidRPr="00FB3EFE">
              <w:rPr>
                <w:rFonts w:ascii="Arial" w:eastAsia="Times New Roman" w:hAnsi="Arial" w:cs="Arial"/>
                <w:b/>
                <w:bCs/>
                <w:color w:val="000000"/>
                <w:sz w:val="16"/>
                <w:szCs w:val="16"/>
                <w:lang w:val="en-GB"/>
              </w:rPr>
              <w:t>C</w:t>
            </w:r>
          </w:p>
          <w:p w14:paraId="1A2788A3" w14:textId="77777777" w:rsidR="00FB3EFE" w:rsidRPr="00FB3EFE" w:rsidRDefault="00FB3EFE" w:rsidP="00FB3EFE">
            <w:pPr>
              <w:spacing w:after="0"/>
              <w:ind w:left="0" w:hanging="2"/>
              <w:jc w:val="center"/>
              <w:rPr>
                <w:rFonts w:ascii="Arial" w:eastAsia="Times New Roman" w:hAnsi="Arial" w:cs="Arial"/>
                <w:b/>
                <w:bCs/>
                <w:color w:val="000000"/>
                <w:sz w:val="16"/>
                <w:szCs w:val="16"/>
                <w:lang w:val="en-GB"/>
              </w:rPr>
            </w:pPr>
            <w:r w:rsidRPr="00FB3EFE">
              <w:rPr>
                <w:rFonts w:ascii="Arial" w:eastAsia="Times New Roman" w:hAnsi="Arial" w:cs="Arial"/>
                <w:b/>
                <w:bCs/>
                <w:color w:val="000000"/>
                <w:sz w:val="16"/>
                <w:szCs w:val="16"/>
                <w:lang w:val="en-GB"/>
              </w:rPr>
              <w:t>(02/23/22)</w:t>
            </w:r>
          </w:p>
        </w:tc>
        <w:tc>
          <w:tcPr>
            <w:tcW w:w="1031" w:type="dxa"/>
            <w:shd w:val="clear" w:color="auto" w:fill="auto"/>
            <w:noWrap/>
            <w:vAlign w:val="center"/>
            <w:hideMark/>
          </w:tcPr>
          <w:p w14:paraId="79B18C22" w14:textId="77777777" w:rsidR="00FB3EFE" w:rsidRPr="00FB3EFE" w:rsidRDefault="00FB3EFE" w:rsidP="00FB3EFE">
            <w:pPr>
              <w:spacing w:after="0"/>
              <w:ind w:left="0" w:hanging="2"/>
              <w:jc w:val="center"/>
              <w:rPr>
                <w:rFonts w:ascii="Arial" w:eastAsia="Times New Roman" w:hAnsi="Arial" w:cs="Arial"/>
                <w:b/>
                <w:bCs/>
                <w:color w:val="000000"/>
                <w:sz w:val="16"/>
                <w:szCs w:val="16"/>
                <w:lang w:val="en-GB"/>
              </w:rPr>
            </w:pPr>
            <w:r w:rsidRPr="00FB3EFE">
              <w:rPr>
                <w:rFonts w:ascii="Arial" w:eastAsia="Times New Roman" w:hAnsi="Arial" w:cs="Arial"/>
                <w:b/>
                <w:bCs/>
                <w:color w:val="000000"/>
                <w:sz w:val="16"/>
                <w:szCs w:val="16"/>
                <w:lang w:val="en-GB"/>
              </w:rPr>
              <w:t>V1</w:t>
            </w:r>
          </w:p>
          <w:p w14:paraId="2B59FA06" w14:textId="77777777" w:rsidR="00FB3EFE" w:rsidRPr="00FB3EFE" w:rsidRDefault="00FB3EFE" w:rsidP="00FB3EFE">
            <w:pPr>
              <w:spacing w:after="0"/>
              <w:ind w:left="0" w:hanging="2"/>
              <w:jc w:val="center"/>
              <w:rPr>
                <w:rFonts w:ascii="Arial" w:eastAsia="Times New Roman" w:hAnsi="Arial" w:cs="Arial"/>
                <w:b/>
                <w:bCs/>
                <w:color w:val="000000"/>
                <w:sz w:val="16"/>
                <w:szCs w:val="16"/>
                <w:lang w:val="en-GB"/>
              </w:rPr>
            </w:pPr>
            <w:r w:rsidRPr="00FB3EFE">
              <w:rPr>
                <w:rFonts w:ascii="Arial" w:eastAsia="Times New Roman" w:hAnsi="Arial" w:cs="Arial"/>
                <w:b/>
                <w:bCs/>
                <w:color w:val="000000"/>
                <w:sz w:val="16"/>
                <w:szCs w:val="16"/>
                <w:lang w:val="en-GB"/>
              </w:rPr>
              <w:t>(08/24/22)</w:t>
            </w:r>
          </w:p>
        </w:tc>
        <w:tc>
          <w:tcPr>
            <w:tcW w:w="1031" w:type="dxa"/>
            <w:shd w:val="clear" w:color="auto" w:fill="auto"/>
            <w:noWrap/>
            <w:vAlign w:val="center"/>
            <w:hideMark/>
          </w:tcPr>
          <w:p w14:paraId="35D993D1" w14:textId="77777777" w:rsidR="00FB3EFE" w:rsidRPr="00FB3EFE" w:rsidRDefault="00FB3EFE" w:rsidP="00FB3EFE">
            <w:pPr>
              <w:spacing w:after="0"/>
              <w:ind w:left="0" w:hanging="2"/>
              <w:jc w:val="center"/>
              <w:rPr>
                <w:rFonts w:ascii="Arial" w:eastAsia="Times New Roman" w:hAnsi="Arial" w:cs="Arial"/>
                <w:b/>
                <w:bCs/>
                <w:color w:val="000000"/>
                <w:sz w:val="16"/>
                <w:szCs w:val="16"/>
                <w:lang w:val="en-GB"/>
              </w:rPr>
            </w:pPr>
            <w:r w:rsidRPr="00FB3EFE">
              <w:rPr>
                <w:rFonts w:ascii="Arial" w:eastAsia="Times New Roman" w:hAnsi="Arial" w:cs="Arial"/>
                <w:b/>
                <w:bCs/>
                <w:color w:val="000000"/>
                <w:sz w:val="16"/>
                <w:szCs w:val="16"/>
                <w:lang w:val="en-GB"/>
              </w:rPr>
              <w:t>V2</w:t>
            </w:r>
          </w:p>
          <w:p w14:paraId="77089862" w14:textId="77777777" w:rsidR="00FB3EFE" w:rsidRPr="00FB3EFE" w:rsidRDefault="00FB3EFE" w:rsidP="00FB3EFE">
            <w:pPr>
              <w:spacing w:after="0"/>
              <w:ind w:left="0" w:hanging="2"/>
              <w:jc w:val="center"/>
              <w:rPr>
                <w:rFonts w:ascii="Arial" w:eastAsia="Times New Roman" w:hAnsi="Arial" w:cs="Arial"/>
                <w:b/>
                <w:bCs/>
                <w:color w:val="000000"/>
                <w:sz w:val="16"/>
                <w:szCs w:val="16"/>
                <w:lang w:val="en-GB"/>
              </w:rPr>
            </w:pPr>
            <w:r w:rsidRPr="00FB3EFE">
              <w:rPr>
                <w:rFonts w:ascii="Arial" w:eastAsia="Times New Roman" w:hAnsi="Arial" w:cs="Arial"/>
                <w:b/>
                <w:bCs/>
                <w:color w:val="000000"/>
                <w:sz w:val="16"/>
                <w:szCs w:val="16"/>
                <w:lang w:val="en-GB"/>
              </w:rPr>
              <w:t>(09/07/22)</w:t>
            </w:r>
          </w:p>
        </w:tc>
      </w:tr>
      <w:tr w:rsidR="00FB3EFE" w:rsidRPr="00FB3EFE" w14:paraId="4874A036" w14:textId="77777777" w:rsidTr="00126FBD">
        <w:trPr>
          <w:trHeight w:val="300"/>
        </w:trPr>
        <w:tc>
          <w:tcPr>
            <w:tcW w:w="1276" w:type="dxa"/>
            <w:shd w:val="clear" w:color="auto" w:fill="auto"/>
            <w:noWrap/>
            <w:vAlign w:val="center"/>
            <w:hideMark/>
          </w:tcPr>
          <w:p w14:paraId="42C782A4" w14:textId="77777777" w:rsidR="00FB3EFE" w:rsidRPr="00FB3EFE" w:rsidRDefault="00FB3EFE" w:rsidP="00FB3EFE">
            <w:pPr>
              <w:spacing w:after="0"/>
              <w:ind w:left="0" w:hanging="2"/>
              <w:jc w:val="center"/>
              <w:rPr>
                <w:rFonts w:ascii="Arial" w:eastAsia="Times New Roman" w:hAnsi="Arial" w:cs="Arial"/>
                <w:color w:val="000000"/>
                <w:sz w:val="16"/>
                <w:szCs w:val="16"/>
                <w:lang w:val="en-GB"/>
              </w:rPr>
            </w:pPr>
            <w:r w:rsidRPr="00FB3EFE">
              <w:rPr>
                <w:rFonts w:ascii="Arial" w:eastAsia="Times New Roman" w:hAnsi="Arial" w:cs="Arial"/>
                <w:color w:val="000000"/>
                <w:sz w:val="16"/>
                <w:szCs w:val="16"/>
                <w:lang w:val="en-GB"/>
              </w:rPr>
              <w:t>RRMSE (%)</w:t>
            </w:r>
          </w:p>
        </w:tc>
        <w:tc>
          <w:tcPr>
            <w:tcW w:w="1031" w:type="dxa"/>
            <w:shd w:val="clear" w:color="auto" w:fill="auto"/>
            <w:vAlign w:val="center"/>
            <w:hideMark/>
          </w:tcPr>
          <w:p w14:paraId="7AEB9881" w14:textId="77777777" w:rsidR="00FB3EFE" w:rsidRPr="00FB3EFE" w:rsidRDefault="00FB3EFE" w:rsidP="00FB3EFE">
            <w:pPr>
              <w:spacing w:after="0"/>
              <w:ind w:left="0" w:hanging="2"/>
              <w:jc w:val="center"/>
              <w:rPr>
                <w:rFonts w:ascii="Arial" w:eastAsia="Times New Roman" w:hAnsi="Arial" w:cs="Arial"/>
                <w:color w:val="000000"/>
                <w:sz w:val="16"/>
                <w:szCs w:val="16"/>
                <w:lang w:val="en-GB"/>
              </w:rPr>
            </w:pPr>
            <w:r w:rsidRPr="00FB3EFE">
              <w:rPr>
                <w:rFonts w:ascii="Arial" w:eastAsia="Times New Roman" w:hAnsi="Arial" w:cs="Arial"/>
                <w:color w:val="000000"/>
                <w:sz w:val="16"/>
                <w:szCs w:val="16"/>
                <w:lang w:val="en-GB"/>
              </w:rPr>
              <w:t>2.30</w:t>
            </w:r>
          </w:p>
        </w:tc>
        <w:tc>
          <w:tcPr>
            <w:tcW w:w="1031" w:type="dxa"/>
            <w:shd w:val="clear" w:color="auto" w:fill="auto"/>
            <w:noWrap/>
            <w:vAlign w:val="center"/>
            <w:hideMark/>
          </w:tcPr>
          <w:p w14:paraId="3B467F48" w14:textId="77777777" w:rsidR="00FB3EFE" w:rsidRPr="00FB3EFE" w:rsidRDefault="00FB3EFE" w:rsidP="00FB3EFE">
            <w:pPr>
              <w:spacing w:after="0"/>
              <w:ind w:left="0" w:hanging="2"/>
              <w:jc w:val="center"/>
              <w:rPr>
                <w:rFonts w:ascii="Arial" w:eastAsia="Times New Roman" w:hAnsi="Arial" w:cs="Arial"/>
                <w:color w:val="000000"/>
                <w:sz w:val="16"/>
                <w:szCs w:val="16"/>
                <w:lang w:val="en-GB"/>
              </w:rPr>
            </w:pPr>
            <w:r w:rsidRPr="00FB3EFE">
              <w:rPr>
                <w:rFonts w:ascii="Arial" w:eastAsia="Times New Roman" w:hAnsi="Arial" w:cs="Arial"/>
                <w:color w:val="000000"/>
                <w:sz w:val="16"/>
                <w:szCs w:val="16"/>
                <w:lang w:val="en-GB"/>
              </w:rPr>
              <w:t>2.41</w:t>
            </w:r>
          </w:p>
        </w:tc>
        <w:tc>
          <w:tcPr>
            <w:tcW w:w="1031" w:type="dxa"/>
            <w:shd w:val="clear" w:color="auto" w:fill="auto"/>
            <w:noWrap/>
            <w:vAlign w:val="center"/>
            <w:hideMark/>
          </w:tcPr>
          <w:p w14:paraId="1A8DAEB9" w14:textId="77777777" w:rsidR="00FB3EFE" w:rsidRPr="00FB3EFE" w:rsidRDefault="00FB3EFE" w:rsidP="00FB3EFE">
            <w:pPr>
              <w:spacing w:after="0"/>
              <w:ind w:left="0" w:hanging="2"/>
              <w:jc w:val="center"/>
              <w:rPr>
                <w:rFonts w:ascii="Arial" w:eastAsia="Times New Roman" w:hAnsi="Arial" w:cs="Arial"/>
                <w:color w:val="000000"/>
                <w:sz w:val="16"/>
                <w:szCs w:val="16"/>
                <w:lang w:val="en-GB"/>
              </w:rPr>
            </w:pPr>
            <w:r w:rsidRPr="00FB3EFE">
              <w:rPr>
                <w:rFonts w:ascii="Arial" w:eastAsia="Times New Roman" w:hAnsi="Arial" w:cs="Arial"/>
                <w:color w:val="000000"/>
                <w:sz w:val="16"/>
                <w:szCs w:val="16"/>
                <w:lang w:val="en-GB"/>
              </w:rPr>
              <w:t>9.97</w:t>
            </w:r>
          </w:p>
        </w:tc>
      </w:tr>
    </w:tbl>
    <w:p w14:paraId="66C0B106" w14:textId="28F6AE88" w:rsidR="00FB3EFE" w:rsidRDefault="00182AAE" w:rsidP="00FB3EFE">
      <w:pPr>
        <w:spacing w:before="240" w:after="0" w:line="240" w:lineRule="auto"/>
        <w:ind w:left="0" w:hanging="2"/>
        <w:jc w:val="both"/>
        <w:rPr>
          <w:rFonts w:ascii="Arial" w:eastAsia="Arial" w:hAnsi="Arial" w:cs="Arial"/>
          <w:b/>
          <w:color w:val="1F4E79"/>
          <w:sz w:val="20"/>
          <w:szCs w:val="20"/>
        </w:rPr>
      </w:pPr>
      <w:r>
        <w:rPr>
          <w:rFonts w:ascii="Arial" w:eastAsia="Arial" w:hAnsi="Arial" w:cs="Arial"/>
          <w:b/>
          <w:color w:val="1F4E79"/>
          <w:sz w:val="20"/>
          <w:szCs w:val="20"/>
        </w:rPr>
        <w:t>Pollution Control Scenario</w:t>
      </w:r>
    </w:p>
    <w:p w14:paraId="1834716A" w14:textId="77777777" w:rsidR="00FB3EFE" w:rsidRPr="00FB3EFE" w:rsidRDefault="00FB3EFE" w:rsidP="00363742">
      <w:pPr>
        <w:spacing w:after="0" w:line="240" w:lineRule="auto"/>
        <w:ind w:leftChars="0" w:left="0" w:firstLineChars="0" w:firstLine="720"/>
        <w:jc w:val="both"/>
        <w:rPr>
          <w:rFonts w:ascii="Arial" w:eastAsia="Arial" w:hAnsi="Arial" w:cs="Arial"/>
          <w:sz w:val="20"/>
          <w:szCs w:val="20"/>
        </w:rPr>
      </w:pPr>
      <w:r w:rsidRPr="00FB3EFE">
        <w:rPr>
          <w:rFonts w:ascii="Arial" w:eastAsia="Arial" w:hAnsi="Arial" w:cs="Arial"/>
          <w:sz w:val="20"/>
          <w:szCs w:val="20"/>
        </w:rPr>
        <w:t xml:space="preserve">Combining the results of previous research with the current study, the water quality model for the DO, BOD, COD and Cu parameters has been obtained. The pollution control developed focuses on estimating the PCC of the </w:t>
      </w:r>
      <w:proofErr w:type="spellStart"/>
      <w:r w:rsidRPr="00FB3EFE">
        <w:rPr>
          <w:rFonts w:ascii="Arial" w:eastAsia="Arial" w:hAnsi="Arial" w:cs="Arial"/>
          <w:sz w:val="20"/>
          <w:szCs w:val="20"/>
        </w:rPr>
        <w:t>Cikakembang</w:t>
      </w:r>
      <w:proofErr w:type="spellEnd"/>
      <w:r w:rsidRPr="00FB3EFE">
        <w:rPr>
          <w:rFonts w:ascii="Arial" w:eastAsia="Arial" w:hAnsi="Arial" w:cs="Arial"/>
          <w:sz w:val="20"/>
          <w:szCs w:val="20"/>
        </w:rPr>
        <w:t xml:space="preserve"> River due to textile industry wastewater without passing class four river water quality standards in the rainy and dry seasons. The selection of the reference standard for class four river water quality standards is based on the function of the </w:t>
      </w:r>
      <w:proofErr w:type="spellStart"/>
      <w:r w:rsidRPr="00FB3EFE">
        <w:rPr>
          <w:rFonts w:ascii="Arial" w:eastAsia="Arial" w:hAnsi="Arial" w:cs="Arial"/>
          <w:sz w:val="20"/>
          <w:szCs w:val="20"/>
        </w:rPr>
        <w:t>Cikakembang</w:t>
      </w:r>
      <w:proofErr w:type="spellEnd"/>
      <w:r w:rsidRPr="00FB3EFE">
        <w:rPr>
          <w:rFonts w:ascii="Arial" w:eastAsia="Arial" w:hAnsi="Arial" w:cs="Arial"/>
          <w:sz w:val="20"/>
          <w:szCs w:val="20"/>
        </w:rPr>
        <w:t xml:space="preserve"> River, which is used for irrigation purposes.</w:t>
      </w:r>
    </w:p>
    <w:p w14:paraId="2EEFA0ED" w14:textId="77777777" w:rsidR="00FB3EFE" w:rsidRPr="00FB3EFE" w:rsidRDefault="00FB3EFE" w:rsidP="00363742">
      <w:pPr>
        <w:spacing w:after="0" w:line="240" w:lineRule="auto"/>
        <w:ind w:leftChars="0" w:left="0" w:firstLineChars="0" w:firstLine="720"/>
        <w:jc w:val="both"/>
        <w:rPr>
          <w:rFonts w:ascii="Arial" w:eastAsia="Arial" w:hAnsi="Arial" w:cs="Arial"/>
          <w:sz w:val="20"/>
          <w:szCs w:val="20"/>
        </w:rPr>
      </w:pPr>
      <w:r w:rsidRPr="00FB3EFE">
        <w:rPr>
          <w:rFonts w:ascii="Arial" w:eastAsia="Arial" w:hAnsi="Arial" w:cs="Arial"/>
          <w:sz w:val="20"/>
          <w:szCs w:val="20"/>
        </w:rPr>
        <w:t>In the first step in the pollution control simulation, the upper boundary conditions must be set as the third-class river water quality standard. Then, the PSP discharge value for each textile industry effluent is changed to 1000 m</w:t>
      </w:r>
      <w:r w:rsidRPr="00D82B8D">
        <w:rPr>
          <w:rFonts w:ascii="Arial" w:eastAsia="Arial" w:hAnsi="Arial" w:cs="Arial"/>
          <w:sz w:val="20"/>
          <w:szCs w:val="20"/>
          <w:vertAlign w:val="superscript"/>
        </w:rPr>
        <w:t>3</w:t>
      </w:r>
      <w:r w:rsidRPr="00FB3EFE">
        <w:rPr>
          <w:rFonts w:ascii="Arial" w:eastAsia="Arial" w:hAnsi="Arial" w:cs="Arial"/>
          <w:sz w:val="20"/>
          <w:szCs w:val="20"/>
        </w:rPr>
        <w:t>/day, or the equivalent of 0.012 m</w:t>
      </w:r>
      <w:r w:rsidRPr="00D82B8D">
        <w:rPr>
          <w:rFonts w:ascii="Arial" w:eastAsia="Arial" w:hAnsi="Arial" w:cs="Arial"/>
          <w:sz w:val="20"/>
          <w:szCs w:val="20"/>
          <w:vertAlign w:val="superscript"/>
        </w:rPr>
        <w:t>3</w:t>
      </w:r>
      <w:r w:rsidRPr="00FB3EFE">
        <w:rPr>
          <w:rFonts w:ascii="Arial" w:eastAsia="Arial" w:hAnsi="Arial" w:cs="Arial"/>
          <w:sz w:val="20"/>
          <w:szCs w:val="20"/>
        </w:rPr>
        <w:t>/s by the lower limit in textile industry wastewater regulations No. 16 of 2019.</w:t>
      </w:r>
    </w:p>
    <w:p w14:paraId="7D68795E" w14:textId="39FD62C7" w:rsidR="00FB3EFE" w:rsidRDefault="00FB3EFE" w:rsidP="00FB3EFE">
      <w:pPr>
        <w:spacing w:after="0" w:line="240" w:lineRule="auto"/>
        <w:ind w:left="0" w:hanging="2"/>
        <w:jc w:val="both"/>
        <w:rPr>
          <w:rFonts w:ascii="Arial" w:eastAsia="Arial" w:hAnsi="Arial" w:cs="Arial"/>
          <w:sz w:val="20"/>
          <w:szCs w:val="20"/>
        </w:rPr>
      </w:pPr>
      <w:r w:rsidRPr="00FB3EFE">
        <w:rPr>
          <w:rFonts w:ascii="Arial" w:eastAsia="Arial" w:hAnsi="Arial" w:cs="Arial"/>
          <w:sz w:val="20"/>
          <w:szCs w:val="20"/>
        </w:rPr>
        <w:t>The selection of the discharge value of 1000 m</w:t>
      </w:r>
      <w:r w:rsidRPr="00D82B8D">
        <w:rPr>
          <w:rFonts w:ascii="Arial" w:eastAsia="Arial" w:hAnsi="Arial" w:cs="Arial"/>
          <w:sz w:val="20"/>
          <w:szCs w:val="20"/>
          <w:vertAlign w:val="superscript"/>
        </w:rPr>
        <w:t>3</w:t>
      </w:r>
      <w:r w:rsidRPr="00FB3EFE">
        <w:rPr>
          <w:rFonts w:ascii="Arial" w:eastAsia="Arial" w:hAnsi="Arial" w:cs="Arial"/>
          <w:sz w:val="20"/>
          <w:szCs w:val="20"/>
        </w:rPr>
        <w:t>/day was based on the similarity of the hydraulic parameter characteristics between the pollution control scenario and the existing condition. All hydraulic parameter values used in the pollution control simulation can be seen in Figure 7.</w:t>
      </w:r>
    </w:p>
    <w:p w14:paraId="0331ACEA" w14:textId="77777777" w:rsidR="00FB3EFE" w:rsidRDefault="00FB3EFE" w:rsidP="00FB3EFE">
      <w:pPr>
        <w:spacing w:after="0" w:line="240" w:lineRule="auto"/>
        <w:ind w:left="0" w:hanging="2"/>
        <w:jc w:val="both"/>
        <w:rPr>
          <w:rFonts w:ascii="Arial" w:eastAsia="Arial" w:hAnsi="Arial" w:cs="Arial"/>
          <w:sz w:val="20"/>
          <w:szCs w:val="20"/>
        </w:rPr>
      </w:pPr>
    </w:p>
    <w:p w14:paraId="120F836F" w14:textId="00BB1992" w:rsidR="00FB3EFE" w:rsidRDefault="00FB3EFE" w:rsidP="00FB3EFE">
      <w:pPr>
        <w:spacing w:after="0" w:line="240" w:lineRule="auto"/>
        <w:ind w:left="0" w:hanging="2"/>
        <w:jc w:val="both"/>
        <w:rPr>
          <w:rFonts w:ascii="Arial" w:eastAsia="Arial" w:hAnsi="Arial" w:cs="Arial"/>
          <w:sz w:val="20"/>
          <w:szCs w:val="20"/>
        </w:rPr>
      </w:pPr>
      <w:r>
        <w:rPr>
          <w:noProof/>
        </w:rPr>
        <w:drawing>
          <wp:inline distT="0" distB="0" distL="0" distR="0" wp14:anchorId="24D09DFA" wp14:editId="6435C871">
            <wp:extent cx="2651125" cy="2520000"/>
            <wp:effectExtent l="0" t="0" r="15875" b="13970"/>
            <wp:docPr id="580656495" name="Chart 1">
              <a:extLst xmlns:a="http://schemas.openxmlformats.org/drawingml/2006/main">
                <a:ext uri="{FF2B5EF4-FFF2-40B4-BE49-F238E27FC236}">
                  <a16:creationId xmlns:a16="http://schemas.microsoft.com/office/drawing/2014/main" id="{CD6010BA-3D09-8022-786A-D0A57003F6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14:paraId="48358F69" w14:textId="77777777" w:rsidR="00FB3EFE" w:rsidRPr="00D82B8D" w:rsidRDefault="00FB3EFE" w:rsidP="00FB3EFE">
      <w:pPr>
        <w:spacing w:after="120"/>
        <w:ind w:left="0" w:hanging="2"/>
        <w:jc w:val="center"/>
        <w:rPr>
          <w:rFonts w:ascii="Arial" w:eastAsia="Cambria" w:hAnsi="Arial" w:cs="Arial"/>
          <w:bCs/>
          <w:sz w:val="20"/>
          <w:szCs w:val="20"/>
        </w:rPr>
      </w:pPr>
      <w:r w:rsidRPr="00D82B8D">
        <w:rPr>
          <w:rFonts w:ascii="Arial" w:eastAsia="Cambria" w:hAnsi="Arial" w:cs="Arial"/>
          <w:bCs/>
          <w:sz w:val="20"/>
          <w:szCs w:val="20"/>
        </w:rPr>
        <w:t>(a)</w:t>
      </w:r>
    </w:p>
    <w:p w14:paraId="3736B11E" w14:textId="67E07D07" w:rsidR="00FB3EFE" w:rsidRDefault="00FB3EFE" w:rsidP="00FB3EFE">
      <w:pPr>
        <w:spacing w:after="0" w:line="240" w:lineRule="auto"/>
        <w:ind w:left="0" w:hanging="2"/>
        <w:jc w:val="both"/>
        <w:rPr>
          <w:rFonts w:ascii="Arial" w:eastAsia="Arial" w:hAnsi="Arial" w:cs="Arial"/>
          <w:sz w:val="20"/>
          <w:szCs w:val="20"/>
        </w:rPr>
      </w:pPr>
      <w:r>
        <w:rPr>
          <w:noProof/>
        </w:rPr>
        <w:lastRenderedPageBreak/>
        <w:drawing>
          <wp:inline distT="0" distB="0" distL="0" distR="0" wp14:anchorId="2A295C1F" wp14:editId="08F70F90">
            <wp:extent cx="2651125" cy="2520000"/>
            <wp:effectExtent l="0" t="0" r="15875" b="13970"/>
            <wp:docPr id="1257708098" name="Chart 1">
              <a:extLst xmlns:a="http://schemas.openxmlformats.org/drawingml/2006/main">
                <a:ext uri="{FF2B5EF4-FFF2-40B4-BE49-F238E27FC236}">
                  <a16:creationId xmlns:a16="http://schemas.microsoft.com/office/drawing/2014/main" id="{DFF26C08-0CC4-4CB2-B96B-ECA75BDD725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3E51035A" w14:textId="77777777" w:rsidR="00FB3EFE" w:rsidRPr="00D82B8D" w:rsidRDefault="00FB3EFE" w:rsidP="00FB3EFE">
      <w:pPr>
        <w:keepNext/>
        <w:spacing w:after="120"/>
        <w:ind w:left="0" w:hanging="2"/>
        <w:jc w:val="center"/>
        <w:rPr>
          <w:rFonts w:ascii="Arial" w:hAnsi="Arial" w:cs="Arial"/>
          <w:sz w:val="20"/>
          <w:szCs w:val="20"/>
        </w:rPr>
      </w:pPr>
      <w:r w:rsidRPr="00D82B8D">
        <w:rPr>
          <w:rFonts w:ascii="Arial" w:hAnsi="Arial" w:cs="Arial"/>
          <w:sz w:val="20"/>
          <w:szCs w:val="20"/>
        </w:rPr>
        <w:t>(b)</w:t>
      </w:r>
    </w:p>
    <w:p w14:paraId="1602D789" w14:textId="0819D4C1" w:rsidR="00FB3EFE" w:rsidRDefault="00FB3EFE" w:rsidP="00FB3EFE">
      <w:pPr>
        <w:keepNext/>
        <w:pBdr>
          <w:top w:val="nil"/>
          <w:left w:val="nil"/>
          <w:bottom w:val="nil"/>
          <w:right w:val="nil"/>
          <w:between w:val="nil"/>
        </w:pBdr>
        <w:spacing w:after="0"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t xml:space="preserve">Figure 7. </w:t>
      </w:r>
      <w:r w:rsidRPr="00FB3EFE">
        <w:rPr>
          <w:rFonts w:ascii="Arial" w:eastAsia="Arial" w:hAnsi="Arial" w:cs="Arial"/>
          <w:color w:val="000000"/>
          <w:sz w:val="20"/>
          <w:szCs w:val="20"/>
        </w:rPr>
        <w:t xml:space="preserve">Hydraulic Parameters of the </w:t>
      </w:r>
      <w:proofErr w:type="spellStart"/>
      <w:r w:rsidRPr="00FB3EFE">
        <w:rPr>
          <w:rFonts w:ascii="Arial" w:eastAsia="Arial" w:hAnsi="Arial" w:cs="Arial"/>
          <w:color w:val="000000"/>
          <w:sz w:val="20"/>
          <w:szCs w:val="20"/>
        </w:rPr>
        <w:t>Cikakembang</w:t>
      </w:r>
      <w:proofErr w:type="spellEnd"/>
      <w:r w:rsidRPr="00FB3EFE">
        <w:rPr>
          <w:rFonts w:ascii="Arial" w:eastAsia="Arial" w:hAnsi="Arial" w:cs="Arial"/>
          <w:color w:val="000000"/>
          <w:sz w:val="20"/>
          <w:szCs w:val="20"/>
        </w:rPr>
        <w:t xml:space="preserve"> River in Pollution Control Simulations of (a) Rainy Season and (b) Dry Season</w:t>
      </w:r>
    </w:p>
    <w:p w14:paraId="04E41D9F" w14:textId="77777777" w:rsidR="00FB3EFE" w:rsidRDefault="00FB3EFE" w:rsidP="00FB3EFE">
      <w:pPr>
        <w:spacing w:after="0" w:line="240" w:lineRule="auto"/>
        <w:ind w:left="0" w:hanging="2"/>
        <w:jc w:val="both"/>
        <w:rPr>
          <w:rFonts w:ascii="Arial" w:eastAsia="Arial" w:hAnsi="Arial" w:cs="Arial"/>
          <w:sz w:val="20"/>
          <w:szCs w:val="20"/>
        </w:rPr>
      </w:pPr>
    </w:p>
    <w:p w14:paraId="6278896B" w14:textId="77777777" w:rsidR="00FB3EFE" w:rsidRDefault="00FB3EFE" w:rsidP="00363742">
      <w:pPr>
        <w:spacing w:after="0" w:line="240" w:lineRule="auto"/>
        <w:ind w:leftChars="0" w:left="0" w:firstLineChars="0" w:firstLine="720"/>
        <w:jc w:val="both"/>
        <w:rPr>
          <w:rFonts w:ascii="Arial" w:eastAsia="Arial" w:hAnsi="Arial" w:cs="Arial"/>
          <w:sz w:val="20"/>
          <w:szCs w:val="20"/>
        </w:rPr>
      </w:pPr>
      <w:r w:rsidRPr="00FB3EFE">
        <w:rPr>
          <w:rFonts w:ascii="Arial" w:eastAsia="Arial" w:hAnsi="Arial" w:cs="Arial"/>
          <w:sz w:val="20"/>
          <w:szCs w:val="20"/>
        </w:rPr>
        <w:t xml:space="preserve">Changes in the hydraulic parameters of the </w:t>
      </w:r>
      <w:proofErr w:type="spellStart"/>
      <w:r w:rsidRPr="00FB3EFE">
        <w:rPr>
          <w:rFonts w:ascii="Arial" w:eastAsia="Arial" w:hAnsi="Arial" w:cs="Arial"/>
          <w:sz w:val="20"/>
          <w:szCs w:val="20"/>
        </w:rPr>
        <w:t>Cikakembang</w:t>
      </w:r>
      <w:proofErr w:type="spellEnd"/>
      <w:r w:rsidRPr="00FB3EFE">
        <w:rPr>
          <w:rFonts w:ascii="Arial" w:eastAsia="Arial" w:hAnsi="Arial" w:cs="Arial"/>
          <w:sz w:val="20"/>
          <w:szCs w:val="20"/>
        </w:rPr>
        <w:t xml:space="preserve"> River in the pollution control simulation also change several water quality coefficient values. Small changes in water quality coefficient values are found in the reaeration rate (K</w:t>
      </w:r>
      <w:r w:rsidRPr="00D82B8D">
        <w:rPr>
          <w:rFonts w:ascii="Arial" w:eastAsia="Arial" w:hAnsi="Arial" w:cs="Arial"/>
          <w:sz w:val="20"/>
          <w:szCs w:val="20"/>
          <w:vertAlign w:val="subscript"/>
        </w:rPr>
        <w:t>a</w:t>
      </w:r>
      <w:r w:rsidRPr="00FB3EFE">
        <w:rPr>
          <w:rFonts w:ascii="Arial" w:eastAsia="Arial" w:hAnsi="Arial" w:cs="Arial"/>
          <w:sz w:val="20"/>
          <w:szCs w:val="20"/>
        </w:rPr>
        <w:t>), decomposition rate for the COD parameter (K</w:t>
      </w:r>
      <w:r w:rsidRPr="00D82B8D">
        <w:rPr>
          <w:rFonts w:ascii="Arial" w:eastAsia="Arial" w:hAnsi="Arial" w:cs="Arial"/>
          <w:sz w:val="20"/>
          <w:szCs w:val="20"/>
          <w:vertAlign w:val="subscript"/>
        </w:rPr>
        <w:t>c</w:t>
      </w:r>
      <w:r w:rsidRPr="00FB3EFE">
        <w:rPr>
          <w:rFonts w:ascii="Arial" w:eastAsia="Arial" w:hAnsi="Arial" w:cs="Arial"/>
          <w:sz w:val="20"/>
          <w:szCs w:val="20"/>
        </w:rPr>
        <w:t>), and dispersion coefficient (E</w:t>
      </w:r>
      <w:r w:rsidRPr="00D82B8D">
        <w:rPr>
          <w:rFonts w:ascii="Arial" w:eastAsia="Arial" w:hAnsi="Arial" w:cs="Arial"/>
          <w:sz w:val="20"/>
          <w:szCs w:val="20"/>
          <w:vertAlign w:val="subscript"/>
        </w:rPr>
        <w:t>x</w:t>
      </w:r>
      <w:r w:rsidRPr="00FB3EFE">
        <w:rPr>
          <w:rFonts w:ascii="Arial" w:eastAsia="Arial" w:hAnsi="Arial" w:cs="Arial"/>
          <w:sz w:val="20"/>
          <w:szCs w:val="20"/>
        </w:rPr>
        <w:t xml:space="preserve">). The values of all water quality coefficients used for pollution control simulations can be seen in Table 9. </w:t>
      </w:r>
    </w:p>
    <w:p w14:paraId="1181E3B8" w14:textId="63F2EED9" w:rsidR="00FB3EFE" w:rsidRDefault="00FB3EFE" w:rsidP="00FB3EFE">
      <w:pPr>
        <w:keepNext/>
        <w:pBdr>
          <w:top w:val="nil"/>
          <w:left w:val="nil"/>
          <w:bottom w:val="nil"/>
          <w:right w:val="nil"/>
          <w:between w:val="nil"/>
        </w:pBdr>
        <w:spacing w:before="240" w:after="0"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t xml:space="preserve">Table 9. </w:t>
      </w:r>
      <w:r w:rsidRPr="00FB3EFE">
        <w:rPr>
          <w:rFonts w:ascii="Arial" w:hAnsi="Arial" w:cs="Arial"/>
          <w:sz w:val="20"/>
          <w:szCs w:val="20"/>
        </w:rPr>
        <w:t>Water Quality Coefficients Used in the Pollution Control Simulations</w:t>
      </w:r>
    </w:p>
    <w:p w14:paraId="5C8C6815" w14:textId="77777777" w:rsidR="00FB3EFE" w:rsidRDefault="00FB3EFE" w:rsidP="00FB3EFE">
      <w:pPr>
        <w:spacing w:after="0" w:line="240" w:lineRule="auto"/>
        <w:ind w:left="0" w:hanging="2"/>
        <w:jc w:val="both"/>
        <w:rPr>
          <w:rFonts w:ascii="Arial" w:eastAsia="Arial" w:hAnsi="Arial" w:cs="Arial"/>
          <w:sz w:val="20"/>
          <w:szCs w:val="20"/>
        </w:rPr>
      </w:pPr>
    </w:p>
    <w:tbl>
      <w:tblPr>
        <w:tblW w:w="4144" w:type="dxa"/>
        <w:jc w:val="center"/>
        <w:tblLook w:val="04A0" w:firstRow="1" w:lastRow="0" w:firstColumn="1" w:lastColumn="0" w:noHBand="0" w:noVBand="1"/>
      </w:tblPr>
      <w:tblGrid>
        <w:gridCol w:w="1985"/>
        <w:gridCol w:w="614"/>
        <w:gridCol w:w="786"/>
        <w:gridCol w:w="786"/>
      </w:tblGrid>
      <w:tr w:rsidR="00FB3EFE" w:rsidRPr="00FB3EFE" w14:paraId="43338428" w14:textId="77777777" w:rsidTr="00FB3EFE">
        <w:trPr>
          <w:trHeight w:val="162"/>
          <w:jc w:val="center"/>
        </w:trPr>
        <w:tc>
          <w:tcPr>
            <w:tcW w:w="1985" w:type="dxa"/>
            <w:vMerge w:val="restart"/>
            <w:tcBorders>
              <w:top w:val="single" w:sz="8" w:space="0" w:color="auto"/>
              <w:left w:val="nil"/>
              <w:bottom w:val="single" w:sz="4" w:space="0" w:color="000000"/>
              <w:right w:val="nil"/>
            </w:tcBorders>
            <w:shd w:val="clear" w:color="auto" w:fill="auto"/>
            <w:noWrap/>
            <w:vAlign w:val="center"/>
            <w:hideMark/>
          </w:tcPr>
          <w:p w14:paraId="38F660E8" w14:textId="77777777" w:rsidR="00FB3EFE" w:rsidRPr="00FB3EFE" w:rsidRDefault="00FB3EFE" w:rsidP="00FB3EFE">
            <w:pPr>
              <w:spacing w:after="0"/>
              <w:ind w:left="0" w:hanging="2"/>
              <w:jc w:val="center"/>
              <w:rPr>
                <w:rFonts w:ascii="Arial" w:eastAsia="Times New Roman" w:hAnsi="Arial" w:cs="Arial"/>
                <w:b/>
                <w:bCs/>
                <w:color w:val="000000"/>
                <w:sz w:val="16"/>
                <w:szCs w:val="16"/>
                <w:lang w:val="en-GB"/>
              </w:rPr>
            </w:pPr>
            <w:r w:rsidRPr="00FB3EFE">
              <w:rPr>
                <w:rFonts w:ascii="Arial" w:eastAsia="Times New Roman" w:hAnsi="Arial" w:cs="Arial"/>
                <w:b/>
                <w:bCs/>
                <w:color w:val="000000"/>
                <w:sz w:val="16"/>
                <w:szCs w:val="16"/>
                <w:lang w:val="en-GB"/>
              </w:rPr>
              <w:t>Water Quality Coefficients</w:t>
            </w:r>
          </w:p>
        </w:tc>
        <w:tc>
          <w:tcPr>
            <w:tcW w:w="607" w:type="dxa"/>
            <w:vMerge w:val="restart"/>
            <w:tcBorders>
              <w:top w:val="single" w:sz="8" w:space="0" w:color="auto"/>
              <w:left w:val="nil"/>
              <w:bottom w:val="single" w:sz="4" w:space="0" w:color="000000"/>
              <w:right w:val="nil"/>
            </w:tcBorders>
            <w:shd w:val="clear" w:color="auto" w:fill="auto"/>
            <w:noWrap/>
            <w:vAlign w:val="center"/>
            <w:hideMark/>
          </w:tcPr>
          <w:p w14:paraId="5EF08503" w14:textId="77777777" w:rsidR="00FB3EFE" w:rsidRPr="00FB3EFE" w:rsidRDefault="00FB3EFE" w:rsidP="00FB3EFE">
            <w:pPr>
              <w:spacing w:after="0"/>
              <w:ind w:left="0" w:hanging="2"/>
              <w:jc w:val="center"/>
              <w:rPr>
                <w:rFonts w:ascii="Arial" w:eastAsia="Times New Roman" w:hAnsi="Arial" w:cs="Arial"/>
                <w:b/>
                <w:bCs/>
                <w:color w:val="000000"/>
                <w:sz w:val="16"/>
                <w:szCs w:val="16"/>
                <w:lang w:val="en-GB"/>
              </w:rPr>
            </w:pPr>
            <w:r w:rsidRPr="00FB3EFE">
              <w:rPr>
                <w:rFonts w:ascii="Arial" w:eastAsia="Times New Roman" w:hAnsi="Arial" w:cs="Arial"/>
                <w:b/>
                <w:bCs/>
                <w:color w:val="000000"/>
                <w:sz w:val="16"/>
                <w:szCs w:val="16"/>
                <w:lang w:val="en-GB"/>
              </w:rPr>
              <w:t>Units</w:t>
            </w:r>
          </w:p>
        </w:tc>
        <w:tc>
          <w:tcPr>
            <w:tcW w:w="1552" w:type="dxa"/>
            <w:gridSpan w:val="2"/>
            <w:tcBorders>
              <w:top w:val="single" w:sz="8" w:space="0" w:color="auto"/>
              <w:left w:val="nil"/>
              <w:bottom w:val="single" w:sz="4" w:space="0" w:color="auto"/>
              <w:right w:val="nil"/>
            </w:tcBorders>
            <w:shd w:val="clear" w:color="auto" w:fill="auto"/>
            <w:noWrap/>
            <w:vAlign w:val="center"/>
            <w:hideMark/>
          </w:tcPr>
          <w:p w14:paraId="4C2BB109" w14:textId="77777777" w:rsidR="00FB3EFE" w:rsidRPr="00FB3EFE" w:rsidRDefault="00FB3EFE" w:rsidP="00FB3EFE">
            <w:pPr>
              <w:spacing w:after="0"/>
              <w:ind w:left="0" w:hanging="2"/>
              <w:jc w:val="center"/>
              <w:rPr>
                <w:rFonts w:ascii="Arial" w:eastAsia="Times New Roman" w:hAnsi="Arial" w:cs="Arial"/>
                <w:b/>
                <w:bCs/>
                <w:color w:val="000000"/>
                <w:sz w:val="16"/>
                <w:szCs w:val="16"/>
                <w:lang w:val="en-GB"/>
              </w:rPr>
            </w:pPr>
            <w:r w:rsidRPr="00FB3EFE">
              <w:rPr>
                <w:rFonts w:ascii="Arial" w:eastAsia="Times New Roman" w:hAnsi="Arial" w:cs="Arial"/>
                <w:b/>
                <w:bCs/>
                <w:color w:val="000000"/>
                <w:sz w:val="16"/>
                <w:szCs w:val="16"/>
                <w:lang w:val="en-GB"/>
              </w:rPr>
              <w:t>Value Used</w:t>
            </w:r>
          </w:p>
        </w:tc>
      </w:tr>
      <w:tr w:rsidR="00FB3EFE" w:rsidRPr="00FB3EFE" w14:paraId="5AB852E0" w14:textId="77777777" w:rsidTr="00FB3EFE">
        <w:trPr>
          <w:trHeight w:val="265"/>
          <w:jc w:val="center"/>
        </w:trPr>
        <w:tc>
          <w:tcPr>
            <w:tcW w:w="1985" w:type="dxa"/>
            <w:vMerge/>
            <w:tcBorders>
              <w:top w:val="single" w:sz="4" w:space="0" w:color="auto"/>
              <w:left w:val="nil"/>
              <w:bottom w:val="single" w:sz="8" w:space="0" w:color="auto"/>
              <w:right w:val="nil"/>
            </w:tcBorders>
            <w:vAlign w:val="center"/>
            <w:hideMark/>
          </w:tcPr>
          <w:p w14:paraId="2A61BCDD" w14:textId="77777777" w:rsidR="00FB3EFE" w:rsidRPr="00FB3EFE" w:rsidRDefault="00FB3EFE" w:rsidP="00FB3EFE">
            <w:pPr>
              <w:spacing w:after="0"/>
              <w:ind w:left="0" w:hanging="2"/>
              <w:jc w:val="center"/>
              <w:rPr>
                <w:rFonts w:ascii="Arial" w:eastAsia="Times New Roman" w:hAnsi="Arial" w:cs="Arial"/>
                <w:b/>
                <w:bCs/>
                <w:color w:val="000000"/>
                <w:sz w:val="16"/>
                <w:szCs w:val="16"/>
                <w:lang w:val="en-GB"/>
              </w:rPr>
            </w:pPr>
          </w:p>
        </w:tc>
        <w:tc>
          <w:tcPr>
            <w:tcW w:w="607" w:type="dxa"/>
            <w:vMerge/>
            <w:tcBorders>
              <w:top w:val="single" w:sz="4" w:space="0" w:color="auto"/>
              <w:left w:val="nil"/>
              <w:bottom w:val="single" w:sz="8" w:space="0" w:color="auto"/>
              <w:right w:val="nil"/>
            </w:tcBorders>
            <w:vAlign w:val="center"/>
            <w:hideMark/>
          </w:tcPr>
          <w:p w14:paraId="029724F5" w14:textId="77777777" w:rsidR="00FB3EFE" w:rsidRPr="00FB3EFE" w:rsidRDefault="00FB3EFE" w:rsidP="00FB3EFE">
            <w:pPr>
              <w:spacing w:after="0"/>
              <w:ind w:left="0" w:hanging="2"/>
              <w:jc w:val="center"/>
              <w:rPr>
                <w:rFonts w:ascii="Arial" w:eastAsia="Times New Roman" w:hAnsi="Arial" w:cs="Arial"/>
                <w:b/>
                <w:bCs/>
                <w:color w:val="000000"/>
                <w:sz w:val="16"/>
                <w:szCs w:val="16"/>
                <w:lang w:val="en-GB"/>
              </w:rPr>
            </w:pPr>
          </w:p>
        </w:tc>
        <w:tc>
          <w:tcPr>
            <w:tcW w:w="776" w:type="dxa"/>
            <w:tcBorders>
              <w:top w:val="single" w:sz="8" w:space="0" w:color="auto"/>
              <w:left w:val="nil"/>
              <w:bottom w:val="single" w:sz="8" w:space="0" w:color="auto"/>
              <w:right w:val="nil"/>
            </w:tcBorders>
            <w:shd w:val="clear" w:color="auto" w:fill="auto"/>
            <w:noWrap/>
            <w:vAlign w:val="center"/>
            <w:hideMark/>
          </w:tcPr>
          <w:p w14:paraId="7B718718" w14:textId="77777777" w:rsidR="00FB3EFE" w:rsidRPr="00FB3EFE" w:rsidRDefault="00FB3EFE" w:rsidP="00FB3EFE">
            <w:pPr>
              <w:spacing w:after="0"/>
              <w:ind w:left="0" w:hanging="2"/>
              <w:jc w:val="center"/>
              <w:rPr>
                <w:rFonts w:ascii="Arial" w:eastAsia="Times New Roman" w:hAnsi="Arial" w:cs="Arial"/>
                <w:b/>
                <w:bCs/>
                <w:color w:val="000000"/>
                <w:sz w:val="16"/>
                <w:szCs w:val="16"/>
                <w:lang w:val="en-GB"/>
              </w:rPr>
            </w:pPr>
            <w:r w:rsidRPr="00FB3EFE">
              <w:rPr>
                <w:rFonts w:ascii="Arial" w:eastAsia="Times New Roman" w:hAnsi="Arial" w:cs="Arial"/>
                <w:b/>
                <w:bCs/>
                <w:color w:val="000000"/>
                <w:sz w:val="16"/>
                <w:szCs w:val="16"/>
                <w:lang w:val="en-GB"/>
              </w:rPr>
              <w:t>Rainy Season</w:t>
            </w:r>
          </w:p>
        </w:tc>
        <w:tc>
          <w:tcPr>
            <w:tcW w:w="776" w:type="dxa"/>
            <w:tcBorders>
              <w:top w:val="single" w:sz="8" w:space="0" w:color="auto"/>
              <w:left w:val="nil"/>
              <w:bottom w:val="single" w:sz="8" w:space="0" w:color="auto"/>
              <w:right w:val="nil"/>
            </w:tcBorders>
            <w:shd w:val="clear" w:color="auto" w:fill="auto"/>
            <w:noWrap/>
            <w:vAlign w:val="center"/>
            <w:hideMark/>
          </w:tcPr>
          <w:p w14:paraId="4D58977C" w14:textId="77777777" w:rsidR="00FB3EFE" w:rsidRPr="00FB3EFE" w:rsidRDefault="00FB3EFE" w:rsidP="00FB3EFE">
            <w:pPr>
              <w:spacing w:after="0"/>
              <w:ind w:left="0" w:hanging="2"/>
              <w:jc w:val="center"/>
              <w:rPr>
                <w:rFonts w:ascii="Arial" w:eastAsia="Times New Roman" w:hAnsi="Arial" w:cs="Arial"/>
                <w:b/>
                <w:bCs/>
                <w:color w:val="000000"/>
                <w:sz w:val="16"/>
                <w:szCs w:val="16"/>
                <w:lang w:val="en-GB"/>
              </w:rPr>
            </w:pPr>
            <w:r w:rsidRPr="00FB3EFE">
              <w:rPr>
                <w:rFonts w:ascii="Arial" w:eastAsia="Times New Roman" w:hAnsi="Arial" w:cs="Arial"/>
                <w:b/>
                <w:bCs/>
                <w:color w:val="000000"/>
                <w:sz w:val="16"/>
                <w:szCs w:val="16"/>
                <w:lang w:val="en-GB"/>
              </w:rPr>
              <w:t>Dry Season</w:t>
            </w:r>
          </w:p>
        </w:tc>
      </w:tr>
      <w:tr w:rsidR="00FB3EFE" w:rsidRPr="00FB3EFE" w14:paraId="69BAD6D1" w14:textId="77777777" w:rsidTr="00D82B8D">
        <w:trPr>
          <w:trHeight w:val="290"/>
          <w:jc w:val="center"/>
        </w:trPr>
        <w:tc>
          <w:tcPr>
            <w:tcW w:w="1985" w:type="dxa"/>
            <w:tcBorders>
              <w:top w:val="single" w:sz="8" w:space="0" w:color="auto"/>
              <w:left w:val="nil"/>
              <w:bottom w:val="nil"/>
              <w:right w:val="nil"/>
            </w:tcBorders>
            <w:shd w:val="clear" w:color="auto" w:fill="auto"/>
            <w:noWrap/>
            <w:vAlign w:val="center"/>
            <w:hideMark/>
          </w:tcPr>
          <w:p w14:paraId="6C504B9D" w14:textId="77777777" w:rsidR="00FB3EFE" w:rsidRPr="00FB3EFE" w:rsidRDefault="00FB3EFE" w:rsidP="00D82B8D">
            <w:pPr>
              <w:spacing w:after="0"/>
              <w:ind w:left="0" w:hanging="2"/>
              <w:rPr>
                <w:rFonts w:ascii="Arial" w:eastAsia="Times New Roman" w:hAnsi="Arial" w:cs="Arial"/>
                <w:color w:val="000000"/>
                <w:position w:val="-10"/>
                <w:sz w:val="16"/>
                <w:szCs w:val="16"/>
              </w:rPr>
            </w:pPr>
            <w:r w:rsidRPr="00FB3EFE">
              <w:rPr>
                <w:rFonts w:ascii="Arial" w:eastAsia="Times New Roman" w:hAnsi="Arial" w:cs="Arial"/>
                <w:color w:val="000000"/>
                <w:position w:val="-10"/>
                <w:sz w:val="16"/>
                <w:szCs w:val="16"/>
              </w:rPr>
              <w:t>Reaeration Rate (K</w:t>
            </w:r>
            <w:r w:rsidRPr="00FB3EFE">
              <w:rPr>
                <w:rFonts w:ascii="Arial" w:eastAsia="Times New Roman" w:hAnsi="Arial" w:cs="Arial"/>
                <w:color w:val="000000"/>
                <w:position w:val="-10"/>
                <w:sz w:val="16"/>
                <w:szCs w:val="16"/>
                <w:vertAlign w:val="subscript"/>
              </w:rPr>
              <w:t>a</w:t>
            </w:r>
            <w:r w:rsidRPr="00FB3EFE">
              <w:rPr>
                <w:rFonts w:ascii="Arial" w:eastAsia="Times New Roman" w:hAnsi="Arial" w:cs="Arial"/>
                <w:color w:val="000000"/>
                <w:position w:val="-10"/>
                <w:sz w:val="16"/>
                <w:szCs w:val="16"/>
              </w:rPr>
              <w:t>)</w:t>
            </w:r>
          </w:p>
        </w:tc>
        <w:tc>
          <w:tcPr>
            <w:tcW w:w="607" w:type="dxa"/>
            <w:tcBorders>
              <w:top w:val="single" w:sz="8" w:space="0" w:color="auto"/>
              <w:left w:val="nil"/>
              <w:bottom w:val="nil"/>
              <w:right w:val="nil"/>
            </w:tcBorders>
            <w:shd w:val="clear" w:color="auto" w:fill="auto"/>
            <w:noWrap/>
            <w:vAlign w:val="center"/>
            <w:hideMark/>
          </w:tcPr>
          <w:p w14:paraId="5F71C9FB" w14:textId="77777777" w:rsidR="00FB3EFE" w:rsidRPr="00FB3EFE" w:rsidRDefault="00FB3EFE" w:rsidP="00D82B8D">
            <w:pPr>
              <w:spacing w:after="0"/>
              <w:ind w:left="0" w:hanging="2"/>
              <w:rPr>
                <w:rFonts w:ascii="Arial" w:eastAsia="Times New Roman" w:hAnsi="Arial" w:cs="Arial"/>
                <w:color w:val="000000"/>
                <w:position w:val="-10"/>
                <w:sz w:val="16"/>
                <w:szCs w:val="16"/>
                <w:vertAlign w:val="superscript"/>
              </w:rPr>
            </w:pPr>
            <w:r w:rsidRPr="00FB3EFE">
              <w:rPr>
                <w:rFonts w:ascii="Arial" w:eastAsia="Times New Roman" w:hAnsi="Arial" w:cs="Arial"/>
                <w:color w:val="000000"/>
                <w:position w:val="-10"/>
                <w:sz w:val="16"/>
                <w:szCs w:val="16"/>
              </w:rPr>
              <w:t>day</w:t>
            </w:r>
            <w:r w:rsidRPr="00FB3EFE">
              <w:rPr>
                <w:rFonts w:ascii="Arial" w:eastAsia="Times New Roman" w:hAnsi="Arial" w:cs="Arial"/>
                <w:color w:val="000000"/>
                <w:position w:val="-10"/>
                <w:sz w:val="16"/>
                <w:szCs w:val="16"/>
                <w:vertAlign w:val="superscript"/>
              </w:rPr>
              <w:t>-1</w:t>
            </w:r>
          </w:p>
        </w:tc>
        <w:tc>
          <w:tcPr>
            <w:tcW w:w="776" w:type="dxa"/>
            <w:tcBorders>
              <w:top w:val="single" w:sz="8" w:space="0" w:color="auto"/>
              <w:left w:val="nil"/>
              <w:bottom w:val="nil"/>
              <w:right w:val="nil"/>
            </w:tcBorders>
            <w:shd w:val="clear" w:color="auto" w:fill="auto"/>
            <w:noWrap/>
            <w:vAlign w:val="center"/>
            <w:hideMark/>
          </w:tcPr>
          <w:p w14:paraId="2B5E9D71" w14:textId="77777777" w:rsidR="00FB3EFE" w:rsidRPr="00FB3EFE" w:rsidRDefault="00FB3EFE" w:rsidP="00D82B8D">
            <w:pPr>
              <w:spacing w:after="0"/>
              <w:ind w:left="0" w:hanging="2"/>
              <w:jc w:val="center"/>
              <w:rPr>
                <w:rFonts w:ascii="Arial" w:eastAsia="Times New Roman" w:hAnsi="Arial" w:cs="Arial"/>
                <w:sz w:val="16"/>
                <w:szCs w:val="16"/>
                <w:lang w:val="en-GB"/>
              </w:rPr>
            </w:pPr>
            <w:r w:rsidRPr="00FB3EFE">
              <w:rPr>
                <w:rFonts w:ascii="Arial" w:eastAsia="Times New Roman" w:hAnsi="Arial" w:cs="Arial"/>
                <w:sz w:val="16"/>
                <w:szCs w:val="16"/>
                <w:lang w:val="en-GB"/>
              </w:rPr>
              <w:t>10.13 - 48.27</w:t>
            </w:r>
          </w:p>
        </w:tc>
        <w:tc>
          <w:tcPr>
            <w:tcW w:w="776" w:type="dxa"/>
            <w:tcBorders>
              <w:top w:val="single" w:sz="8" w:space="0" w:color="auto"/>
              <w:left w:val="nil"/>
              <w:bottom w:val="nil"/>
              <w:right w:val="nil"/>
            </w:tcBorders>
            <w:shd w:val="clear" w:color="auto" w:fill="auto"/>
            <w:noWrap/>
            <w:vAlign w:val="center"/>
            <w:hideMark/>
          </w:tcPr>
          <w:p w14:paraId="67CACA2C" w14:textId="77777777" w:rsidR="00FB3EFE" w:rsidRPr="00FB3EFE" w:rsidRDefault="00FB3EFE" w:rsidP="00D82B8D">
            <w:pPr>
              <w:spacing w:after="0"/>
              <w:ind w:left="0" w:hanging="2"/>
              <w:jc w:val="center"/>
              <w:rPr>
                <w:rFonts w:ascii="Arial" w:eastAsia="Times New Roman" w:hAnsi="Arial" w:cs="Arial"/>
                <w:sz w:val="16"/>
                <w:szCs w:val="16"/>
                <w:lang w:val="en-GB"/>
              </w:rPr>
            </w:pPr>
            <w:r w:rsidRPr="00FB3EFE">
              <w:rPr>
                <w:rFonts w:ascii="Arial" w:eastAsia="Times New Roman" w:hAnsi="Arial" w:cs="Arial"/>
                <w:sz w:val="16"/>
                <w:szCs w:val="16"/>
                <w:lang w:val="en-GB"/>
              </w:rPr>
              <w:t>10.21 - 45.92</w:t>
            </w:r>
          </w:p>
        </w:tc>
      </w:tr>
      <w:tr w:rsidR="00FB3EFE" w:rsidRPr="00FB3EFE" w14:paraId="5216C9B8" w14:textId="77777777" w:rsidTr="00D82B8D">
        <w:trPr>
          <w:trHeight w:val="290"/>
          <w:jc w:val="center"/>
        </w:trPr>
        <w:tc>
          <w:tcPr>
            <w:tcW w:w="1985" w:type="dxa"/>
            <w:tcBorders>
              <w:top w:val="nil"/>
              <w:left w:val="nil"/>
              <w:bottom w:val="nil"/>
              <w:right w:val="nil"/>
            </w:tcBorders>
            <w:shd w:val="clear" w:color="auto" w:fill="auto"/>
            <w:noWrap/>
            <w:vAlign w:val="center"/>
            <w:hideMark/>
          </w:tcPr>
          <w:p w14:paraId="3FD01227" w14:textId="77777777" w:rsidR="00FB3EFE" w:rsidRPr="00FB3EFE" w:rsidRDefault="00FB3EFE" w:rsidP="00D82B8D">
            <w:pPr>
              <w:spacing w:after="0"/>
              <w:ind w:left="0" w:hanging="2"/>
              <w:rPr>
                <w:rFonts w:ascii="Arial" w:eastAsia="Times New Roman" w:hAnsi="Arial" w:cs="Arial"/>
                <w:color w:val="000000"/>
                <w:sz w:val="16"/>
                <w:szCs w:val="16"/>
                <w:lang w:val="en-GB"/>
              </w:rPr>
            </w:pPr>
            <w:r w:rsidRPr="00FB3EFE">
              <w:rPr>
                <w:rFonts w:ascii="Arial" w:eastAsia="Times New Roman" w:hAnsi="Arial" w:cs="Arial"/>
                <w:color w:val="000000"/>
                <w:sz w:val="16"/>
                <w:szCs w:val="16"/>
                <w:lang w:val="en-GB"/>
              </w:rPr>
              <w:t>Deoxygenation Rate (</w:t>
            </w:r>
            <w:proofErr w:type="spellStart"/>
            <w:r w:rsidRPr="00FB3EFE">
              <w:rPr>
                <w:rFonts w:ascii="Arial" w:eastAsia="Times New Roman" w:hAnsi="Arial" w:cs="Arial"/>
                <w:color w:val="000000"/>
                <w:sz w:val="16"/>
                <w:szCs w:val="16"/>
                <w:lang w:val="en-GB"/>
              </w:rPr>
              <w:t>K</w:t>
            </w:r>
            <w:r w:rsidRPr="00FB3EFE">
              <w:rPr>
                <w:rFonts w:ascii="Arial" w:eastAsia="Times New Roman" w:hAnsi="Arial" w:cs="Arial"/>
                <w:color w:val="000000"/>
                <w:sz w:val="16"/>
                <w:szCs w:val="16"/>
                <w:vertAlign w:val="subscript"/>
                <w:lang w:val="en-GB"/>
              </w:rPr>
              <w:t>d</w:t>
            </w:r>
            <w:proofErr w:type="spellEnd"/>
            <w:r w:rsidRPr="00FB3EFE">
              <w:rPr>
                <w:rFonts w:ascii="Arial" w:eastAsia="Times New Roman" w:hAnsi="Arial" w:cs="Arial"/>
                <w:color w:val="000000"/>
                <w:sz w:val="16"/>
                <w:szCs w:val="16"/>
                <w:lang w:val="en-GB"/>
              </w:rPr>
              <w:t>)</w:t>
            </w:r>
          </w:p>
        </w:tc>
        <w:tc>
          <w:tcPr>
            <w:tcW w:w="607" w:type="dxa"/>
            <w:tcBorders>
              <w:top w:val="nil"/>
              <w:left w:val="nil"/>
              <w:bottom w:val="nil"/>
              <w:right w:val="nil"/>
            </w:tcBorders>
            <w:shd w:val="clear" w:color="auto" w:fill="auto"/>
            <w:noWrap/>
            <w:vAlign w:val="center"/>
            <w:hideMark/>
          </w:tcPr>
          <w:p w14:paraId="2C55302B" w14:textId="77777777" w:rsidR="00FB3EFE" w:rsidRPr="00FB3EFE" w:rsidRDefault="00FB3EFE" w:rsidP="00D82B8D">
            <w:pPr>
              <w:spacing w:after="0"/>
              <w:ind w:left="0" w:hanging="2"/>
              <w:rPr>
                <w:rFonts w:ascii="Arial" w:eastAsia="Times New Roman" w:hAnsi="Arial" w:cs="Arial"/>
                <w:color w:val="000000"/>
                <w:sz w:val="16"/>
                <w:szCs w:val="16"/>
                <w:lang w:val="en-GB"/>
              </w:rPr>
            </w:pPr>
            <w:r w:rsidRPr="00FB3EFE">
              <w:rPr>
                <w:rFonts w:ascii="Arial" w:eastAsia="Times New Roman" w:hAnsi="Arial" w:cs="Arial"/>
                <w:color w:val="000000"/>
                <w:position w:val="-10"/>
                <w:sz w:val="16"/>
                <w:szCs w:val="16"/>
              </w:rPr>
              <w:t>day</w:t>
            </w:r>
            <w:r w:rsidRPr="00FB3EFE">
              <w:rPr>
                <w:rFonts w:ascii="Arial" w:eastAsia="Times New Roman" w:hAnsi="Arial" w:cs="Arial"/>
                <w:color w:val="000000"/>
                <w:position w:val="-10"/>
                <w:sz w:val="16"/>
                <w:szCs w:val="16"/>
                <w:vertAlign w:val="superscript"/>
              </w:rPr>
              <w:t>-1</w:t>
            </w:r>
          </w:p>
        </w:tc>
        <w:tc>
          <w:tcPr>
            <w:tcW w:w="1552" w:type="dxa"/>
            <w:gridSpan w:val="2"/>
            <w:tcBorders>
              <w:top w:val="nil"/>
              <w:left w:val="nil"/>
              <w:bottom w:val="nil"/>
              <w:right w:val="nil"/>
            </w:tcBorders>
            <w:shd w:val="clear" w:color="auto" w:fill="auto"/>
            <w:noWrap/>
            <w:vAlign w:val="center"/>
            <w:hideMark/>
          </w:tcPr>
          <w:p w14:paraId="5B25BED5" w14:textId="77777777" w:rsidR="00FB3EFE" w:rsidRPr="00FB3EFE" w:rsidRDefault="00FB3EFE" w:rsidP="00D82B8D">
            <w:pPr>
              <w:spacing w:after="0"/>
              <w:ind w:left="0" w:hanging="2"/>
              <w:jc w:val="center"/>
              <w:rPr>
                <w:rFonts w:ascii="Arial" w:eastAsia="Times New Roman" w:hAnsi="Arial" w:cs="Arial"/>
                <w:sz w:val="16"/>
                <w:szCs w:val="16"/>
                <w:lang w:val="en-GB"/>
              </w:rPr>
            </w:pPr>
            <w:r w:rsidRPr="00FB3EFE">
              <w:rPr>
                <w:rFonts w:ascii="Arial" w:eastAsia="Times New Roman" w:hAnsi="Arial" w:cs="Arial"/>
                <w:sz w:val="16"/>
                <w:szCs w:val="16"/>
                <w:lang w:val="en-GB"/>
              </w:rPr>
              <w:t>0.23</w:t>
            </w:r>
          </w:p>
        </w:tc>
      </w:tr>
      <w:tr w:rsidR="00FB3EFE" w:rsidRPr="00FB3EFE" w14:paraId="49C5FDB8" w14:textId="77777777" w:rsidTr="00D82B8D">
        <w:trPr>
          <w:trHeight w:val="290"/>
          <w:jc w:val="center"/>
        </w:trPr>
        <w:tc>
          <w:tcPr>
            <w:tcW w:w="1985" w:type="dxa"/>
            <w:tcBorders>
              <w:top w:val="nil"/>
              <w:left w:val="nil"/>
              <w:bottom w:val="nil"/>
              <w:right w:val="nil"/>
            </w:tcBorders>
            <w:shd w:val="clear" w:color="auto" w:fill="auto"/>
            <w:noWrap/>
            <w:vAlign w:val="center"/>
            <w:hideMark/>
          </w:tcPr>
          <w:p w14:paraId="4F45779A" w14:textId="77777777" w:rsidR="00FB3EFE" w:rsidRPr="00FB3EFE" w:rsidRDefault="00FB3EFE" w:rsidP="00D82B8D">
            <w:pPr>
              <w:spacing w:after="0"/>
              <w:ind w:left="0" w:hanging="2"/>
              <w:rPr>
                <w:rFonts w:ascii="Arial" w:eastAsia="Times New Roman" w:hAnsi="Arial" w:cs="Arial"/>
                <w:color w:val="000000"/>
                <w:position w:val="-10"/>
                <w:sz w:val="16"/>
                <w:szCs w:val="16"/>
              </w:rPr>
            </w:pPr>
            <w:r w:rsidRPr="00FB3EFE">
              <w:rPr>
                <w:rFonts w:ascii="Arial" w:eastAsia="Times New Roman" w:hAnsi="Arial" w:cs="Arial"/>
                <w:color w:val="000000"/>
                <w:position w:val="-10"/>
                <w:sz w:val="16"/>
                <w:szCs w:val="16"/>
              </w:rPr>
              <w:t>Decomposition Rate (K</w:t>
            </w:r>
            <w:r w:rsidRPr="00FB3EFE">
              <w:rPr>
                <w:rFonts w:ascii="Arial" w:eastAsia="Times New Roman" w:hAnsi="Arial" w:cs="Arial"/>
                <w:color w:val="000000"/>
                <w:position w:val="-10"/>
                <w:sz w:val="16"/>
                <w:szCs w:val="16"/>
                <w:vertAlign w:val="subscript"/>
              </w:rPr>
              <w:t>c</w:t>
            </w:r>
            <w:r w:rsidRPr="00FB3EFE">
              <w:rPr>
                <w:rFonts w:ascii="Arial" w:eastAsia="Times New Roman" w:hAnsi="Arial" w:cs="Arial"/>
                <w:color w:val="000000"/>
                <w:position w:val="-10"/>
                <w:sz w:val="16"/>
                <w:szCs w:val="16"/>
              </w:rPr>
              <w:t>)</w:t>
            </w:r>
          </w:p>
        </w:tc>
        <w:tc>
          <w:tcPr>
            <w:tcW w:w="607" w:type="dxa"/>
            <w:tcBorders>
              <w:top w:val="nil"/>
              <w:left w:val="nil"/>
              <w:bottom w:val="nil"/>
              <w:right w:val="nil"/>
            </w:tcBorders>
            <w:shd w:val="clear" w:color="auto" w:fill="auto"/>
            <w:noWrap/>
            <w:vAlign w:val="center"/>
            <w:hideMark/>
          </w:tcPr>
          <w:p w14:paraId="370A2E08" w14:textId="77777777" w:rsidR="00FB3EFE" w:rsidRPr="00FB3EFE" w:rsidRDefault="00FB3EFE" w:rsidP="00D82B8D">
            <w:pPr>
              <w:spacing w:after="0"/>
              <w:ind w:left="0" w:hanging="2"/>
              <w:rPr>
                <w:rFonts w:ascii="Arial" w:eastAsia="Times New Roman" w:hAnsi="Arial" w:cs="Arial"/>
                <w:color w:val="000000"/>
                <w:position w:val="-10"/>
                <w:sz w:val="16"/>
                <w:szCs w:val="16"/>
              </w:rPr>
            </w:pPr>
            <w:r w:rsidRPr="00FB3EFE">
              <w:rPr>
                <w:rFonts w:ascii="Arial" w:eastAsia="Times New Roman" w:hAnsi="Arial" w:cs="Arial"/>
                <w:color w:val="000000"/>
                <w:position w:val="-10"/>
                <w:sz w:val="16"/>
                <w:szCs w:val="16"/>
              </w:rPr>
              <w:t>day</w:t>
            </w:r>
            <w:r w:rsidRPr="00FB3EFE">
              <w:rPr>
                <w:rFonts w:ascii="Arial" w:eastAsia="Times New Roman" w:hAnsi="Arial" w:cs="Arial"/>
                <w:color w:val="000000"/>
                <w:position w:val="-10"/>
                <w:sz w:val="16"/>
                <w:szCs w:val="16"/>
                <w:vertAlign w:val="superscript"/>
              </w:rPr>
              <w:t>-1</w:t>
            </w:r>
          </w:p>
        </w:tc>
        <w:tc>
          <w:tcPr>
            <w:tcW w:w="776" w:type="dxa"/>
            <w:tcBorders>
              <w:top w:val="nil"/>
              <w:left w:val="nil"/>
              <w:bottom w:val="nil"/>
              <w:right w:val="nil"/>
            </w:tcBorders>
            <w:shd w:val="clear" w:color="auto" w:fill="auto"/>
            <w:noWrap/>
            <w:vAlign w:val="center"/>
            <w:hideMark/>
          </w:tcPr>
          <w:p w14:paraId="1C94AFA4" w14:textId="77777777" w:rsidR="00FB3EFE" w:rsidRPr="00FB3EFE" w:rsidRDefault="00FB3EFE" w:rsidP="00D82B8D">
            <w:pPr>
              <w:spacing w:after="0"/>
              <w:ind w:left="0" w:hanging="2"/>
              <w:jc w:val="center"/>
              <w:rPr>
                <w:rFonts w:ascii="Arial" w:eastAsia="Times New Roman" w:hAnsi="Arial" w:cs="Arial"/>
                <w:sz w:val="16"/>
                <w:szCs w:val="16"/>
                <w:lang w:val="en-GB"/>
              </w:rPr>
            </w:pPr>
            <w:r w:rsidRPr="00FB3EFE">
              <w:rPr>
                <w:rFonts w:ascii="Arial" w:eastAsia="Times New Roman" w:hAnsi="Arial" w:cs="Arial"/>
                <w:sz w:val="16"/>
                <w:szCs w:val="16"/>
                <w:lang w:val="en-GB"/>
              </w:rPr>
              <w:t>0.27 - 3.77</w:t>
            </w:r>
          </w:p>
        </w:tc>
        <w:tc>
          <w:tcPr>
            <w:tcW w:w="776" w:type="dxa"/>
            <w:tcBorders>
              <w:top w:val="nil"/>
              <w:left w:val="nil"/>
              <w:bottom w:val="nil"/>
              <w:right w:val="nil"/>
            </w:tcBorders>
            <w:shd w:val="clear" w:color="auto" w:fill="auto"/>
            <w:noWrap/>
            <w:vAlign w:val="center"/>
            <w:hideMark/>
          </w:tcPr>
          <w:p w14:paraId="0F22EC0A" w14:textId="77777777" w:rsidR="00FB3EFE" w:rsidRPr="00FB3EFE" w:rsidRDefault="00FB3EFE" w:rsidP="00D82B8D">
            <w:pPr>
              <w:spacing w:after="0"/>
              <w:ind w:left="0" w:hanging="2"/>
              <w:jc w:val="center"/>
              <w:rPr>
                <w:rFonts w:ascii="Arial" w:eastAsia="Times New Roman" w:hAnsi="Arial" w:cs="Arial"/>
                <w:sz w:val="16"/>
                <w:szCs w:val="16"/>
                <w:lang w:val="en-GB"/>
              </w:rPr>
            </w:pPr>
            <w:r w:rsidRPr="00FB3EFE">
              <w:rPr>
                <w:rFonts w:ascii="Arial" w:eastAsia="Times New Roman" w:hAnsi="Arial" w:cs="Arial"/>
                <w:sz w:val="16"/>
                <w:szCs w:val="16"/>
                <w:lang w:val="en-GB"/>
              </w:rPr>
              <w:t>0.27 – 4.31</w:t>
            </w:r>
          </w:p>
        </w:tc>
      </w:tr>
      <w:tr w:rsidR="00FB3EFE" w:rsidRPr="00FB3EFE" w14:paraId="4C1FD8AF" w14:textId="77777777" w:rsidTr="00D82B8D">
        <w:trPr>
          <w:trHeight w:val="321"/>
          <w:jc w:val="center"/>
        </w:trPr>
        <w:tc>
          <w:tcPr>
            <w:tcW w:w="1985" w:type="dxa"/>
            <w:tcBorders>
              <w:top w:val="nil"/>
              <w:left w:val="nil"/>
              <w:bottom w:val="nil"/>
              <w:right w:val="nil"/>
            </w:tcBorders>
            <w:shd w:val="clear" w:color="auto" w:fill="auto"/>
            <w:noWrap/>
            <w:vAlign w:val="center"/>
            <w:hideMark/>
          </w:tcPr>
          <w:p w14:paraId="4BA35DA0" w14:textId="77777777" w:rsidR="00FB3EFE" w:rsidRPr="00FB3EFE" w:rsidRDefault="00FB3EFE" w:rsidP="00D82B8D">
            <w:pPr>
              <w:spacing w:after="0"/>
              <w:ind w:left="0" w:hanging="2"/>
              <w:rPr>
                <w:rFonts w:ascii="Arial" w:eastAsia="Times New Roman" w:hAnsi="Arial" w:cs="Arial"/>
                <w:color w:val="000000"/>
                <w:sz w:val="16"/>
                <w:szCs w:val="16"/>
                <w:lang w:val="en-GB"/>
              </w:rPr>
            </w:pPr>
            <w:r w:rsidRPr="00FB3EFE">
              <w:rPr>
                <w:rFonts w:ascii="Arial" w:eastAsia="Times New Roman" w:hAnsi="Arial" w:cs="Arial"/>
                <w:color w:val="000000"/>
                <w:sz w:val="16"/>
                <w:szCs w:val="16"/>
                <w:lang w:val="en-GB"/>
              </w:rPr>
              <w:t>Dispersion Coefficients (E</w:t>
            </w:r>
            <w:r w:rsidRPr="00FB3EFE">
              <w:rPr>
                <w:rFonts w:ascii="Arial" w:eastAsia="Times New Roman" w:hAnsi="Arial" w:cs="Arial"/>
                <w:color w:val="000000"/>
                <w:sz w:val="16"/>
                <w:szCs w:val="16"/>
                <w:vertAlign w:val="subscript"/>
                <w:lang w:val="en-GB"/>
              </w:rPr>
              <w:t>x</w:t>
            </w:r>
            <w:r w:rsidRPr="00FB3EFE">
              <w:rPr>
                <w:rFonts w:ascii="Arial" w:eastAsia="Times New Roman" w:hAnsi="Arial" w:cs="Arial"/>
                <w:color w:val="000000"/>
                <w:sz w:val="16"/>
                <w:szCs w:val="16"/>
                <w:lang w:val="en-GB"/>
              </w:rPr>
              <w:t>)</w:t>
            </w:r>
          </w:p>
        </w:tc>
        <w:tc>
          <w:tcPr>
            <w:tcW w:w="607" w:type="dxa"/>
            <w:tcBorders>
              <w:top w:val="nil"/>
              <w:left w:val="nil"/>
              <w:bottom w:val="nil"/>
              <w:right w:val="nil"/>
            </w:tcBorders>
            <w:shd w:val="clear" w:color="auto" w:fill="auto"/>
            <w:noWrap/>
            <w:vAlign w:val="center"/>
            <w:hideMark/>
          </w:tcPr>
          <w:p w14:paraId="554B9E89" w14:textId="77777777" w:rsidR="00FB3EFE" w:rsidRPr="00FB3EFE" w:rsidRDefault="00FB3EFE" w:rsidP="00D82B8D">
            <w:pPr>
              <w:spacing w:after="0"/>
              <w:ind w:left="0" w:hanging="2"/>
              <w:rPr>
                <w:rFonts w:ascii="Arial" w:eastAsia="Times New Roman" w:hAnsi="Arial" w:cs="Arial"/>
                <w:color w:val="000000"/>
                <w:sz w:val="16"/>
                <w:szCs w:val="16"/>
                <w:lang w:val="en-GB"/>
              </w:rPr>
            </w:pPr>
            <w:r w:rsidRPr="00FB3EFE">
              <w:rPr>
                <w:rFonts w:ascii="Arial" w:eastAsia="Times New Roman" w:hAnsi="Arial" w:cs="Arial"/>
                <w:color w:val="000000"/>
                <w:sz w:val="16"/>
                <w:szCs w:val="16"/>
                <w:lang w:val="en-GB"/>
              </w:rPr>
              <w:t>m</w:t>
            </w:r>
            <w:r w:rsidRPr="00FB3EFE">
              <w:rPr>
                <w:rFonts w:ascii="Arial" w:eastAsia="Times New Roman" w:hAnsi="Arial" w:cs="Arial"/>
                <w:color w:val="000000"/>
                <w:sz w:val="16"/>
                <w:szCs w:val="16"/>
                <w:vertAlign w:val="superscript"/>
                <w:lang w:val="en-GB"/>
              </w:rPr>
              <w:t>2</w:t>
            </w:r>
            <w:r w:rsidRPr="00FB3EFE">
              <w:rPr>
                <w:rFonts w:ascii="Arial" w:eastAsia="Times New Roman" w:hAnsi="Arial" w:cs="Arial"/>
                <w:color w:val="000000"/>
                <w:sz w:val="16"/>
                <w:szCs w:val="16"/>
                <w:lang w:val="en-GB"/>
              </w:rPr>
              <w:t>/s</w:t>
            </w:r>
          </w:p>
        </w:tc>
        <w:tc>
          <w:tcPr>
            <w:tcW w:w="776" w:type="dxa"/>
            <w:tcBorders>
              <w:top w:val="nil"/>
              <w:left w:val="nil"/>
              <w:bottom w:val="nil"/>
              <w:right w:val="nil"/>
            </w:tcBorders>
            <w:shd w:val="clear" w:color="auto" w:fill="auto"/>
            <w:noWrap/>
            <w:vAlign w:val="center"/>
            <w:hideMark/>
          </w:tcPr>
          <w:p w14:paraId="510DDEB0" w14:textId="77777777" w:rsidR="00FB3EFE" w:rsidRPr="00FB3EFE" w:rsidRDefault="00FB3EFE" w:rsidP="00D82B8D">
            <w:pPr>
              <w:spacing w:after="0"/>
              <w:ind w:left="0" w:hanging="2"/>
              <w:jc w:val="center"/>
              <w:rPr>
                <w:rFonts w:ascii="Arial" w:eastAsia="Times New Roman" w:hAnsi="Arial" w:cs="Arial"/>
                <w:sz w:val="16"/>
                <w:szCs w:val="16"/>
                <w:lang w:val="en-GB"/>
              </w:rPr>
            </w:pPr>
            <w:r w:rsidRPr="00FB3EFE">
              <w:rPr>
                <w:rFonts w:ascii="Arial" w:eastAsia="Times New Roman" w:hAnsi="Arial" w:cs="Arial"/>
                <w:sz w:val="16"/>
                <w:szCs w:val="16"/>
                <w:lang w:val="en-GB"/>
              </w:rPr>
              <w:t>2.32 - 7.60</w:t>
            </w:r>
          </w:p>
        </w:tc>
        <w:tc>
          <w:tcPr>
            <w:tcW w:w="776" w:type="dxa"/>
            <w:tcBorders>
              <w:top w:val="nil"/>
              <w:left w:val="nil"/>
              <w:bottom w:val="nil"/>
              <w:right w:val="nil"/>
            </w:tcBorders>
            <w:shd w:val="clear" w:color="auto" w:fill="auto"/>
            <w:noWrap/>
            <w:vAlign w:val="center"/>
            <w:hideMark/>
          </w:tcPr>
          <w:p w14:paraId="1C24D584" w14:textId="77777777" w:rsidR="00FB3EFE" w:rsidRPr="00FB3EFE" w:rsidRDefault="00FB3EFE" w:rsidP="00D82B8D">
            <w:pPr>
              <w:spacing w:after="0"/>
              <w:ind w:left="0" w:hanging="2"/>
              <w:jc w:val="center"/>
              <w:rPr>
                <w:rFonts w:ascii="Arial" w:eastAsia="Times New Roman" w:hAnsi="Arial" w:cs="Arial"/>
                <w:sz w:val="16"/>
                <w:szCs w:val="16"/>
                <w:lang w:val="en-GB"/>
              </w:rPr>
            </w:pPr>
            <w:r w:rsidRPr="00FB3EFE">
              <w:rPr>
                <w:rFonts w:ascii="Arial" w:eastAsia="Times New Roman" w:hAnsi="Arial" w:cs="Arial"/>
                <w:sz w:val="16"/>
                <w:szCs w:val="16"/>
                <w:lang w:val="en-GB"/>
              </w:rPr>
              <w:t>2.31 – 7.52</w:t>
            </w:r>
          </w:p>
        </w:tc>
      </w:tr>
      <w:tr w:rsidR="00FB3EFE" w:rsidRPr="00FB3EFE" w14:paraId="616055EC" w14:textId="77777777" w:rsidTr="00D82B8D">
        <w:trPr>
          <w:trHeight w:val="313"/>
          <w:jc w:val="center"/>
        </w:trPr>
        <w:tc>
          <w:tcPr>
            <w:tcW w:w="1985" w:type="dxa"/>
            <w:tcBorders>
              <w:top w:val="nil"/>
              <w:left w:val="nil"/>
              <w:bottom w:val="single" w:sz="8" w:space="0" w:color="auto"/>
              <w:right w:val="nil"/>
            </w:tcBorders>
            <w:shd w:val="clear" w:color="auto" w:fill="auto"/>
            <w:noWrap/>
            <w:vAlign w:val="center"/>
            <w:hideMark/>
          </w:tcPr>
          <w:p w14:paraId="7CC88018" w14:textId="77777777" w:rsidR="00FB3EFE" w:rsidRPr="00FB3EFE" w:rsidRDefault="00FB3EFE" w:rsidP="00D82B8D">
            <w:pPr>
              <w:spacing w:after="0"/>
              <w:ind w:left="0" w:hanging="2"/>
              <w:rPr>
                <w:rFonts w:ascii="Arial" w:eastAsia="Times New Roman" w:hAnsi="Arial" w:cs="Arial"/>
                <w:color w:val="000000"/>
                <w:position w:val="-8"/>
                <w:sz w:val="16"/>
                <w:szCs w:val="16"/>
              </w:rPr>
            </w:pPr>
            <w:r w:rsidRPr="00FB3EFE">
              <w:rPr>
                <w:rFonts w:ascii="Arial" w:eastAsia="Times New Roman" w:hAnsi="Arial" w:cs="Arial"/>
                <w:color w:val="000000"/>
                <w:position w:val="-8"/>
                <w:sz w:val="16"/>
                <w:szCs w:val="16"/>
              </w:rPr>
              <w:t>Settling Coefficient for Copper Parameter (α)</w:t>
            </w:r>
          </w:p>
        </w:tc>
        <w:tc>
          <w:tcPr>
            <w:tcW w:w="607" w:type="dxa"/>
            <w:tcBorders>
              <w:top w:val="nil"/>
              <w:left w:val="nil"/>
              <w:bottom w:val="single" w:sz="8" w:space="0" w:color="auto"/>
              <w:right w:val="nil"/>
            </w:tcBorders>
            <w:shd w:val="clear" w:color="auto" w:fill="auto"/>
            <w:noWrap/>
            <w:vAlign w:val="center"/>
            <w:hideMark/>
          </w:tcPr>
          <w:p w14:paraId="32E726B6" w14:textId="77777777" w:rsidR="00FB3EFE" w:rsidRPr="00FB3EFE" w:rsidRDefault="00FB3EFE" w:rsidP="00D82B8D">
            <w:pPr>
              <w:spacing w:after="0"/>
              <w:ind w:left="0" w:hanging="2"/>
              <w:rPr>
                <w:rFonts w:ascii="Arial" w:eastAsia="Times New Roman" w:hAnsi="Arial" w:cs="Arial"/>
                <w:color w:val="000000"/>
                <w:position w:val="-8"/>
                <w:sz w:val="16"/>
                <w:szCs w:val="16"/>
              </w:rPr>
            </w:pPr>
            <w:r w:rsidRPr="00FB3EFE">
              <w:rPr>
                <w:rFonts w:ascii="Arial" w:eastAsia="Times New Roman" w:hAnsi="Arial" w:cs="Arial"/>
                <w:color w:val="000000"/>
                <w:position w:val="-10"/>
                <w:sz w:val="16"/>
                <w:szCs w:val="16"/>
              </w:rPr>
              <w:t>day</w:t>
            </w:r>
            <w:r w:rsidRPr="00FB3EFE">
              <w:rPr>
                <w:rFonts w:ascii="Arial" w:eastAsia="Times New Roman" w:hAnsi="Arial" w:cs="Arial"/>
                <w:color w:val="000000"/>
                <w:position w:val="-10"/>
                <w:sz w:val="16"/>
                <w:szCs w:val="16"/>
                <w:vertAlign w:val="superscript"/>
              </w:rPr>
              <w:t>-1</w:t>
            </w:r>
          </w:p>
        </w:tc>
        <w:tc>
          <w:tcPr>
            <w:tcW w:w="1552" w:type="dxa"/>
            <w:gridSpan w:val="2"/>
            <w:tcBorders>
              <w:top w:val="nil"/>
              <w:left w:val="nil"/>
              <w:bottom w:val="single" w:sz="8" w:space="0" w:color="auto"/>
              <w:right w:val="nil"/>
            </w:tcBorders>
            <w:shd w:val="clear" w:color="auto" w:fill="auto"/>
            <w:noWrap/>
            <w:vAlign w:val="center"/>
            <w:hideMark/>
          </w:tcPr>
          <w:p w14:paraId="68C4CFAF" w14:textId="77777777" w:rsidR="00FB3EFE" w:rsidRPr="00FB3EFE" w:rsidRDefault="00FB3EFE" w:rsidP="00D82B8D">
            <w:pPr>
              <w:spacing w:after="0"/>
              <w:ind w:left="0" w:hanging="2"/>
              <w:jc w:val="center"/>
              <w:rPr>
                <w:rFonts w:ascii="Arial" w:eastAsia="Times New Roman" w:hAnsi="Arial" w:cs="Arial"/>
                <w:color w:val="000000"/>
                <w:position w:val="-8"/>
                <w:sz w:val="16"/>
                <w:szCs w:val="16"/>
              </w:rPr>
            </w:pPr>
            <w:r w:rsidRPr="00FB3EFE">
              <w:rPr>
                <w:rFonts w:ascii="Arial" w:eastAsia="Times New Roman" w:hAnsi="Arial" w:cs="Arial"/>
                <w:color w:val="000000"/>
                <w:position w:val="-8"/>
                <w:sz w:val="16"/>
                <w:szCs w:val="16"/>
              </w:rPr>
              <w:t>40.00</w:t>
            </w:r>
          </w:p>
        </w:tc>
      </w:tr>
    </w:tbl>
    <w:p w14:paraId="4744D163" w14:textId="77777777" w:rsidR="00FB3EFE" w:rsidRDefault="00FB3EFE" w:rsidP="00FB3EFE">
      <w:pPr>
        <w:spacing w:after="0" w:line="240" w:lineRule="auto"/>
        <w:ind w:left="0" w:hanging="2"/>
        <w:jc w:val="both"/>
        <w:rPr>
          <w:rFonts w:ascii="Arial" w:eastAsia="Arial" w:hAnsi="Arial" w:cs="Arial"/>
          <w:sz w:val="20"/>
          <w:szCs w:val="20"/>
        </w:rPr>
      </w:pPr>
    </w:p>
    <w:p w14:paraId="36D151CC" w14:textId="77777777" w:rsidR="006B754F" w:rsidRDefault="00FB3EFE" w:rsidP="00363742">
      <w:pPr>
        <w:spacing w:after="0" w:line="240" w:lineRule="auto"/>
        <w:ind w:leftChars="0" w:left="0" w:firstLineChars="0" w:firstLine="720"/>
        <w:jc w:val="both"/>
        <w:rPr>
          <w:rFonts w:ascii="Arial" w:eastAsia="Arial" w:hAnsi="Arial" w:cs="Arial"/>
          <w:sz w:val="20"/>
          <w:szCs w:val="20"/>
        </w:rPr>
        <w:sectPr w:rsidR="006B754F">
          <w:type w:val="continuous"/>
          <w:pgSz w:w="11907" w:h="16840"/>
          <w:pgMar w:top="1701" w:right="1134" w:bottom="1701" w:left="1701" w:header="680" w:footer="680" w:gutter="0"/>
          <w:cols w:num="2" w:space="720" w:equalWidth="0">
            <w:col w:w="4394" w:space="284"/>
            <w:col w:w="4394" w:space="0"/>
          </w:cols>
          <w:titlePg/>
        </w:sectPr>
      </w:pPr>
      <w:r w:rsidRPr="00FB3EFE">
        <w:rPr>
          <w:rFonts w:ascii="Arial" w:eastAsia="Arial" w:hAnsi="Arial" w:cs="Arial"/>
          <w:sz w:val="20"/>
          <w:szCs w:val="20"/>
        </w:rPr>
        <w:t xml:space="preserve">The pollution control simulation produces maximum concentration values for the textile industry effluent's BOD, COD and Cu parameters. Meanwhile, the DO parameter concentration is set at one mg/L because the applicable regulations do not state a minimum standard for recovering DO levels. Table 10 shows the value of the effluent load entering the </w:t>
      </w:r>
      <w:proofErr w:type="spellStart"/>
      <w:r w:rsidRPr="00FB3EFE">
        <w:rPr>
          <w:rFonts w:ascii="Arial" w:eastAsia="Arial" w:hAnsi="Arial" w:cs="Arial"/>
          <w:sz w:val="20"/>
          <w:szCs w:val="20"/>
        </w:rPr>
        <w:t>Cikakembang</w:t>
      </w:r>
      <w:proofErr w:type="spellEnd"/>
      <w:r w:rsidRPr="00FB3EFE">
        <w:rPr>
          <w:rFonts w:ascii="Arial" w:eastAsia="Arial" w:hAnsi="Arial" w:cs="Arial"/>
          <w:sz w:val="20"/>
          <w:szCs w:val="20"/>
        </w:rPr>
        <w:t xml:space="preserve"> River during the pollution control simulation. Figure 8 and Figure 9 show the effects of entering textile industrial effluent into the </w:t>
      </w:r>
      <w:proofErr w:type="spellStart"/>
      <w:r w:rsidRPr="00FB3EFE">
        <w:rPr>
          <w:rFonts w:ascii="Arial" w:eastAsia="Arial" w:hAnsi="Arial" w:cs="Arial"/>
          <w:sz w:val="20"/>
          <w:szCs w:val="20"/>
        </w:rPr>
        <w:t>Cikakembang</w:t>
      </w:r>
      <w:proofErr w:type="spellEnd"/>
      <w:r w:rsidRPr="00FB3EFE">
        <w:rPr>
          <w:rFonts w:ascii="Arial" w:eastAsia="Arial" w:hAnsi="Arial" w:cs="Arial"/>
          <w:sz w:val="20"/>
          <w:szCs w:val="20"/>
        </w:rPr>
        <w:t xml:space="preserve"> River without passing class four river water quality standards in the rainy and dry seasons, respectively. The PCC of the </w:t>
      </w:r>
      <w:proofErr w:type="spellStart"/>
      <w:r w:rsidRPr="00FB3EFE">
        <w:rPr>
          <w:rFonts w:ascii="Arial" w:eastAsia="Arial" w:hAnsi="Arial" w:cs="Arial"/>
          <w:sz w:val="20"/>
          <w:szCs w:val="20"/>
        </w:rPr>
        <w:t>Cikakembang</w:t>
      </w:r>
      <w:proofErr w:type="spellEnd"/>
      <w:r w:rsidRPr="00FB3EFE">
        <w:rPr>
          <w:rFonts w:ascii="Arial" w:eastAsia="Arial" w:hAnsi="Arial" w:cs="Arial"/>
          <w:sz w:val="20"/>
          <w:szCs w:val="20"/>
        </w:rPr>
        <w:t xml:space="preserve"> River is calculated for both seasons and is shown in Table 11.  </w:t>
      </w:r>
    </w:p>
    <w:p w14:paraId="69E1E58E" w14:textId="77777777" w:rsidR="00FB3EFE" w:rsidRDefault="00FB3EFE" w:rsidP="00FB3EFE">
      <w:pPr>
        <w:spacing w:after="0" w:line="240" w:lineRule="auto"/>
        <w:ind w:left="0" w:hanging="2"/>
        <w:jc w:val="both"/>
        <w:rPr>
          <w:rFonts w:ascii="Arial" w:eastAsia="Arial" w:hAnsi="Arial" w:cs="Arial"/>
          <w:sz w:val="20"/>
          <w:szCs w:val="20"/>
        </w:rPr>
      </w:pPr>
    </w:p>
    <w:p w14:paraId="37A387D6" w14:textId="76CFFE54" w:rsidR="006B754F" w:rsidRPr="006B754F" w:rsidRDefault="006B754F" w:rsidP="006B754F">
      <w:pPr>
        <w:keepNext/>
        <w:pBdr>
          <w:top w:val="nil"/>
          <w:left w:val="nil"/>
          <w:bottom w:val="nil"/>
          <w:right w:val="nil"/>
          <w:between w:val="nil"/>
        </w:pBdr>
        <w:spacing w:after="0"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t xml:space="preserve">Table 10. </w:t>
      </w:r>
      <w:r w:rsidRPr="006B754F">
        <w:rPr>
          <w:rFonts w:ascii="Arial" w:hAnsi="Arial" w:cs="Arial"/>
          <w:sz w:val="20"/>
          <w:szCs w:val="20"/>
        </w:rPr>
        <w:t>Pollution Control Scenario in Rainy and Dry Season</w:t>
      </w:r>
    </w:p>
    <w:tbl>
      <w:tblPr>
        <w:tblW w:w="8988" w:type="dxa"/>
        <w:tblLook w:val="04A0" w:firstRow="1" w:lastRow="0" w:firstColumn="1" w:lastColumn="0" w:noHBand="0" w:noVBand="1"/>
      </w:tblPr>
      <w:tblGrid>
        <w:gridCol w:w="851"/>
        <w:gridCol w:w="883"/>
        <w:gridCol w:w="963"/>
        <w:gridCol w:w="806"/>
        <w:gridCol w:w="786"/>
        <w:gridCol w:w="850"/>
        <w:gridCol w:w="764"/>
        <w:gridCol w:w="714"/>
        <w:gridCol w:w="844"/>
        <w:gridCol w:w="813"/>
        <w:gridCol w:w="714"/>
      </w:tblGrid>
      <w:tr w:rsidR="006B754F" w:rsidRPr="006B754F" w14:paraId="6CB554E4" w14:textId="77777777" w:rsidTr="006B754F">
        <w:trPr>
          <w:trHeight w:val="300"/>
        </w:trPr>
        <w:tc>
          <w:tcPr>
            <w:tcW w:w="851" w:type="dxa"/>
            <w:vMerge w:val="restart"/>
            <w:tcBorders>
              <w:top w:val="single" w:sz="8" w:space="0" w:color="auto"/>
              <w:left w:val="nil"/>
              <w:bottom w:val="single" w:sz="8" w:space="0" w:color="000000"/>
              <w:right w:val="nil"/>
            </w:tcBorders>
            <w:shd w:val="clear" w:color="000000" w:fill="FFFFFF"/>
            <w:vAlign w:val="center"/>
            <w:hideMark/>
          </w:tcPr>
          <w:p w14:paraId="52C8FC63" w14:textId="77777777" w:rsidR="006B754F" w:rsidRPr="006B754F" w:rsidRDefault="006B754F" w:rsidP="006B754F">
            <w:pPr>
              <w:spacing w:after="0" w:line="240" w:lineRule="auto"/>
              <w:ind w:left="0" w:hanging="2"/>
              <w:jc w:val="center"/>
              <w:rPr>
                <w:rFonts w:ascii="Arial" w:eastAsia="Times New Roman" w:hAnsi="Arial" w:cs="Arial"/>
                <w:b/>
                <w:bCs/>
                <w:color w:val="000000"/>
                <w:sz w:val="16"/>
                <w:szCs w:val="16"/>
                <w:lang w:val="en-GB"/>
              </w:rPr>
            </w:pPr>
            <w:r w:rsidRPr="006B754F">
              <w:rPr>
                <w:rFonts w:ascii="Arial" w:eastAsia="Times New Roman" w:hAnsi="Arial" w:cs="Arial"/>
                <w:b/>
                <w:bCs/>
                <w:color w:val="000000"/>
                <w:sz w:val="16"/>
                <w:szCs w:val="16"/>
                <w:lang w:val="en-GB"/>
              </w:rPr>
              <w:t>Point</w:t>
            </w:r>
          </w:p>
        </w:tc>
        <w:tc>
          <w:tcPr>
            <w:tcW w:w="883" w:type="dxa"/>
            <w:vMerge w:val="restart"/>
            <w:tcBorders>
              <w:top w:val="single" w:sz="8" w:space="0" w:color="auto"/>
              <w:left w:val="nil"/>
              <w:bottom w:val="single" w:sz="8" w:space="0" w:color="000000"/>
              <w:right w:val="nil"/>
            </w:tcBorders>
            <w:shd w:val="clear" w:color="000000" w:fill="FFFFFF"/>
            <w:vAlign w:val="center"/>
            <w:hideMark/>
          </w:tcPr>
          <w:p w14:paraId="038736F0" w14:textId="77777777" w:rsidR="006B754F" w:rsidRPr="006B754F" w:rsidRDefault="006B754F" w:rsidP="006B754F">
            <w:pPr>
              <w:spacing w:after="0" w:line="240" w:lineRule="auto"/>
              <w:ind w:left="0" w:hanging="2"/>
              <w:jc w:val="center"/>
              <w:rPr>
                <w:rFonts w:ascii="Arial" w:eastAsia="Times New Roman" w:hAnsi="Arial" w:cs="Arial"/>
                <w:b/>
                <w:bCs/>
                <w:color w:val="000000"/>
                <w:sz w:val="16"/>
                <w:szCs w:val="16"/>
                <w:lang w:val="en-GB"/>
              </w:rPr>
            </w:pPr>
            <w:r w:rsidRPr="006B754F">
              <w:rPr>
                <w:rFonts w:ascii="Arial" w:eastAsia="Times New Roman" w:hAnsi="Arial" w:cs="Arial"/>
                <w:b/>
                <w:bCs/>
                <w:color w:val="000000"/>
                <w:sz w:val="16"/>
                <w:szCs w:val="16"/>
                <w:lang w:val="en-GB"/>
              </w:rPr>
              <w:t>Location (m)</w:t>
            </w:r>
          </w:p>
        </w:tc>
        <w:tc>
          <w:tcPr>
            <w:tcW w:w="963" w:type="dxa"/>
            <w:vMerge w:val="restart"/>
            <w:tcBorders>
              <w:top w:val="single" w:sz="8" w:space="0" w:color="auto"/>
              <w:left w:val="nil"/>
              <w:bottom w:val="nil"/>
              <w:right w:val="nil"/>
            </w:tcBorders>
            <w:shd w:val="clear" w:color="000000" w:fill="FFFFFF"/>
            <w:vAlign w:val="center"/>
            <w:hideMark/>
          </w:tcPr>
          <w:p w14:paraId="6461A965" w14:textId="77777777" w:rsidR="006B754F" w:rsidRDefault="006B754F" w:rsidP="006B754F">
            <w:pPr>
              <w:spacing w:after="0" w:line="240" w:lineRule="auto"/>
              <w:ind w:left="0" w:hanging="2"/>
              <w:jc w:val="center"/>
              <w:rPr>
                <w:rFonts w:ascii="Arial" w:eastAsia="Times New Roman" w:hAnsi="Arial" w:cs="Arial"/>
                <w:b/>
                <w:bCs/>
                <w:color w:val="000000"/>
                <w:sz w:val="16"/>
                <w:szCs w:val="16"/>
                <w:vertAlign w:val="subscript"/>
                <w:lang w:val="en-GB"/>
              </w:rPr>
            </w:pPr>
            <w:proofErr w:type="spellStart"/>
            <w:r w:rsidRPr="006B754F">
              <w:rPr>
                <w:rFonts w:ascii="Arial" w:eastAsia="Times New Roman" w:hAnsi="Arial" w:cs="Arial"/>
                <w:b/>
                <w:bCs/>
                <w:color w:val="000000"/>
                <w:sz w:val="16"/>
                <w:szCs w:val="16"/>
                <w:lang w:val="en-GB"/>
              </w:rPr>
              <w:t>Q</w:t>
            </w:r>
            <w:r w:rsidRPr="006B754F">
              <w:rPr>
                <w:rFonts w:ascii="Arial" w:eastAsia="Times New Roman" w:hAnsi="Arial" w:cs="Arial"/>
                <w:b/>
                <w:bCs/>
                <w:color w:val="000000"/>
                <w:sz w:val="16"/>
                <w:szCs w:val="16"/>
                <w:vertAlign w:val="subscript"/>
                <w:lang w:val="en-GB"/>
              </w:rPr>
              <w:t>eff</w:t>
            </w:r>
            <w:proofErr w:type="spellEnd"/>
          </w:p>
          <w:p w14:paraId="755347E9" w14:textId="11AC60EF" w:rsidR="006B754F" w:rsidRPr="006B754F" w:rsidRDefault="006B754F" w:rsidP="006B754F">
            <w:pPr>
              <w:spacing w:after="0" w:line="240" w:lineRule="auto"/>
              <w:ind w:left="0" w:hanging="2"/>
              <w:jc w:val="center"/>
              <w:rPr>
                <w:rFonts w:ascii="Arial" w:eastAsia="Times New Roman" w:hAnsi="Arial" w:cs="Arial"/>
                <w:b/>
                <w:bCs/>
                <w:color w:val="000000"/>
                <w:sz w:val="16"/>
                <w:szCs w:val="16"/>
                <w:lang w:val="en-GB"/>
              </w:rPr>
            </w:pPr>
            <w:r w:rsidRPr="006B754F">
              <w:rPr>
                <w:rFonts w:ascii="Arial" w:eastAsia="Times New Roman" w:hAnsi="Arial" w:cs="Arial"/>
                <w:b/>
                <w:bCs/>
                <w:color w:val="000000"/>
                <w:sz w:val="16"/>
                <w:szCs w:val="16"/>
                <w:lang w:val="en-GB"/>
              </w:rPr>
              <w:t>(m</w:t>
            </w:r>
            <w:r w:rsidRPr="006B754F">
              <w:rPr>
                <w:rFonts w:ascii="Arial" w:eastAsia="Times New Roman" w:hAnsi="Arial" w:cs="Arial"/>
                <w:b/>
                <w:bCs/>
                <w:color w:val="000000"/>
                <w:sz w:val="16"/>
                <w:szCs w:val="16"/>
                <w:vertAlign w:val="superscript"/>
                <w:lang w:val="en-GB"/>
              </w:rPr>
              <w:t>3</w:t>
            </w:r>
            <w:r w:rsidRPr="006B754F">
              <w:rPr>
                <w:rFonts w:ascii="Arial" w:eastAsia="Times New Roman" w:hAnsi="Arial" w:cs="Arial"/>
                <w:b/>
                <w:bCs/>
                <w:color w:val="000000"/>
                <w:sz w:val="16"/>
                <w:szCs w:val="16"/>
                <w:lang w:val="en-GB"/>
              </w:rPr>
              <w:t>/s)</w:t>
            </w:r>
          </w:p>
        </w:tc>
        <w:tc>
          <w:tcPr>
            <w:tcW w:w="3206" w:type="dxa"/>
            <w:gridSpan w:val="4"/>
            <w:tcBorders>
              <w:top w:val="single" w:sz="8" w:space="0" w:color="auto"/>
              <w:left w:val="nil"/>
              <w:bottom w:val="single" w:sz="8" w:space="0" w:color="auto"/>
              <w:right w:val="nil"/>
            </w:tcBorders>
            <w:shd w:val="clear" w:color="auto" w:fill="auto"/>
            <w:noWrap/>
            <w:vAlign w:val="center"/>
            <w:hideMark/>
          </w:tcPr>
          <w:p w14:paraId="16FAB4BA" w14:textId="77777777" w:rsidR="006B754F" w:rsidRPr="006B754F" w:rsidRDefault="006B754F" w:rsidP="006B754F">
            <w:pPr>
              <w:spacing w:after="0" w:line="240" w:lineRule="auto"/>
              <w:ind w:left="0" w:hanging="2"/>
              <w:jc w:val="center"/>
              <w:rPr>
                <w:rFonts w:ascii="Arial" w:eastAsia="Times New Roman" w:hAnsi="Arial" w:cs="Arial"/>
                <w:b/>
                <w:bCs/>
                <w:color w:val="000000"/>
                <w:sz w:val="16"/>
                <w:szCs w:val="16"/>
                <w:lang w:val="en-GB"/>
              </w:rPr>
            </w:pPr>
            <w:r w:rsidRPr="006B754F">
              <w:rPr>
                <w:rFonts w:ascii="Arial" w:eastAsia="Times New Roman" w:hAnsi="Arial" w:cs="Arial"/>
                <w:b/>
                <w:bCs/>
                <w:color w:val="000000"/>
                <w:sz w:val="16"/>
                <w:szCs w:val="16"/>
                <w:lang w:val="en-GB"/>
              </w:rPr>
              <w:t>Rainy Season</w:t>
            </w:r>
          </w:p>
        </w:tc>
        <w:tc>
          <w:tcPr>
            <w:tcW w:w="3085" w:type="dxa"/>
            <w:gridSpan w:val="4"/>
            <w:tcBorders>
              <w:top w:val="single" w:sz="8" w:space="0" w:color="auto"/>
              <w:left w:val="nil"/>
              <w:bottom w:val="single" w:sz="8" w:space="0" w:color="auto"/>
              <w:right w:val="nil"/>
            </w:tcBorders>
            <w:shd w:val="clear" w:color="auto" w:fill="auto"/>
            <w:noWrap/>
            <w:vAlign w:val="center"/>
            <w:hideMark/>
          </w:tcPr>
          <w:p w14:paraId="2AF3F972" w14:textId="77777777" w:rsidR="006B754F" w:rsidRPr="006B754F" w:rsidRDefault="006B754F" w:rsidP="006B754F">
            <w:pPr>
              <w:spacing w:after="0" w:line="240" w:lineRule="auto"/>
              <w:ind w:left="0" w:hanging="2"/>
              <w:jc w:val="center"/>
              <w:rPr>
                <w:rFonts w:ascii="Arial" w:eastAsia="Times New Roman" w:hAnsi="Arial" w:cs="Arial"/>
                <w:b/>
                <w:bCs/>
                <w:color w:val="000000"/>
                <w:sz w:val="16"/>
                <w:szCs w:val="16"/>
                <w:lang w:val="en-GB"/>
              </w:rPr>
            </w:pPr>
            <w:r w:rsidRPr="006B754F">
              <w:rPr>
                <w:rFonts w:ascii="Arial" w:eastAsia="Times New Roman" w:hAnsi="Arial" w:cs="Arial"/>
                <w:b/>
                <w:bCs/>
                <w:color w:val="000000"/>
                <w:sz w:val="16"/>
                <w:szCs w:val="16"/>
                <w:lang w:val="en-GB"/>
              </w:rPr>
              <w:t>Dry Season</w:t>
            </w:r>
          </w:p>
        </w:tc>
      </w:tr>
      <w:tr w:rsidR="006B754F" w:rsidRPr="006B754F" w14:paraId="34FE68C0" w14:textId="77777777" w:rsidTr="006B754F">
        <w:trPr>
          <w:trHeight w:val="290"/>
        </w:trPr>
        <w:tc>
          <w:tcPr>
            <w:tcW w:w="851" w:type="dxa"/>
            <w:vMerge/>
            <w:tcBorders>
              <w:top w:val="single" w:sz="8" w:space="0" w:color="auto"/>
              <w:left w:val="nil"/>
              <w:bottom w:val="single" w:sz="8" w:space="0" w:color="000000"/>
              <w:right w:val="nil"/>
            </w:tcBorders>
            <w:vAlign w:val="center"/>
            <w:hideMark/>
          </w:tcPr>
          <w:p w14:paraId="03869DCD" w14:textId="77777777" w:rsidR="006B754F" w:rsidRPr="006B754F" w:rsidRDefault="006B754F" w:rsidP="006B754F">
            <w:pPr>
              <w:spacing w:after="0" w:line="240" w:lineRule="auto"/>
              <w:ind w:left="0" w:hanging="2"/>
              <w:rPr>
                <w:rFonts w:ascii="Arial" w:eastAsia="Times New Roman" w:hAnsi="Arial" w:cs="Arial"/>
                <w:b/>
                <w:bCs/>
                <w:color w:val="000000"/>
                <w:sz w:val="16"/>
                <w:szCs w:val="16"/>
                <w:lang w:val="en-GB"/>
              </w:rPr>
            </w:pPr>
          </w:p>
        </w:tc>
        <w:tc>
          <w:tcPr>
            <w:tcW w:w="883" w:type="dxa"/>
            <w:vMerge/>
            <w:tcBorders>
              <w:top w:val="single" w:sz="8" w:space="0" w:color="auto"/>
              <w:left w:val="nil"/>
              <w:bottom w:val="single" w:sz="8" w:space="0" w:color="000000"/>
              <w:right w:val="nil"/>
            </w:tcBorders>
            <w:vAlign w:val="center"/>
            <w:hideMark/>
          </w:tcPr>
          <w:p w14:paraId="5E607565" w14:textId="77777777" w:rsidR="006B754F" w:rsidRPr="006B754F" w:rsidRDefault="006B754F" w:rsidP="006B754F">
            <w:pPr>
              <w:spacing w:after="0" w:line="240" w:lineRule="auto"/>
              <w:ind w:left="0" w:hanging="2"/>
              <w:rPr>
                <w:rFonts w:ascii="Arial" w:eastAsia="Times New Roman" w:hAnsi="Arial" w:cs="Arial"/>
                <w:b/>
                <w:bCs/>
                <w:color w:val="000000"/>
                <w:sz w:val="16"/>
                <w:szCs w:val="16"/>
                <w:lang w:val="en-GB"/>
              </w:rPr>
            </w:pPr>
          </w:p>
        </w:tc>
        <w:tc>
          <w:tcPr>
            <w:tcW w:w="963" w:type="dxa"/>
            <w:vMerge/>
            <w:tcBorders>
              <w:top w:val="single" w:sz="8" w:space="0" w:color="auto"/>
              <w:left w:val="nil"/>
              <w:bottom w:val="nil"/>
              <w:right w:val="nil"/>
            </w:tcBorders>
            <w:vAlign w:val="center"/>
            <w:hideMark/>
          </w:tcPr>
          <w:p w14:paraId="35849F2D" w14:textId="77777777" w:rsidR="006B754F" w:rsidRPr="006B754F" w:rsidRDefault="006B754F" w:rsidP="006B754F">
            <w:pPr>
              <w:spacing w:after="0" w:line="240" w:lineRule="auto"/>
              <w:ind w:left="0" w:hanging="2"/>
              <w:rPr>
                <w:rFonts w:ascii="Arial" w:eastAsia="Times New Roman" w:hAnsi="Arial" w:cs="Arial"/>
                <w:b/>
                <w:bCs/>
                <w:color w:val="000000"/>
                <w:sz w:val="16"/>
                <w:szCs w:val="16"/>
                <w:lang w:val="en-GB"/>
              </w:rPr>
            </w:pPr>
          </w:p>
        </w:tc>
        <w:tc>
          <w:tcPr>
            <w:tcW w:w="806" w:type="dxa"/>
            <w:tcBorders>
              <w:top w:val="nil"/>
              <w:left w:val="nil"/>
              <w:bottom w:val="nil"/>
              <w:right w:val="nil"/>
            </w:tcBorders>
            <w:shd w:val="clear" w:color="000000" w:fill="FFFFFF"/>
            <w:vAlign w:val="center"/>
            <w:hideMark/>
          </w:tcPr>
          <w:p w14:paraId="3BDB4203" w14:textId="77777777" w:rsidR="006B754F" w:rsidRPr="006B754F" w:rsidRDefault="006B754F" w:rsidP="006B754F">
            <w:pPr>
              <w:spacing w:after="0" w:line="240" w:lineRule="auto"/>
              <w:ind w:left="0" w:hanging="2"/>
              <w:jc w:val="center"/>
              <w:rPr>
                <w:rFonts w:ascii="Arial" w:eastAsia="Times New Roman" w:hAnsi="Arial" w:cs="Arial"/>
                <w:b/>
                <w:bCs/>
                <w:color w:val="000000"/>
                <w:sz w:val="16"/>
                <w:szCs w:val="16"/>
                <w:lang w:val="en-GB"/>
              </w:rPr>
            </w:pPr>
            <w:proofErr w:type="spellStart"/>
            <w:r w:rsidRPr="006B754F">
              <w:rPr>
                <w:rFonts w:ascii="Arial" w:eastAsia="Times New Roman" w:hAnsi="Arial" w:cs="Arial"/>
                <w:b/>
                <w:bCs/>
                <w:color w:val="000000"/>
                <w:sz w:val="16"/>
                <w:szCs w:val="16"/>
                <w:lang w:val="en-GB"/>
              </w:rPr>
              <w:t>DO</w:t>
            </w:r>
            <w:r w:rsidRPr="006B754F">
              <w:rPr>
                <w:rFonts w:ascii="Arial" w:eastAsia="Times New Roman" w:hAnsi="Arial" w:cs="Arial"/>
                <w:b/>
                <w:bCs/>
                <w:color w:val="000000"/>
                <w:sz w:val="16"/>
                <w:szCs w:val="16"/>
                <w:vertAlign w:val="subscript"/>
                <w:lang w:val="en-GB"/>
              </w:rPr>
              <w:t>eff</w:t>
            </w:r>
            <w:proofErr w:type="spellEnd"/>
          </w:p>
        </w:tc>
        <w:tc>
          <w:tcPr>
            <w:tcW w:w="786" w:type="dxa"/>
            <w:tcBorders>
              <w:top w:val="nil"/>
              <w:left w:val="nil"/>
              <w:bottom w:val="nil"/>
              <w:right w:val="nil"/>
            </w:tcBorders>
            <w:shd w:val="clear" w:color="000000" w:fill="FFFFFF"/>
            <w:vAlign w:val="center"/>
            <w:hideMark/>
          </w:tcPr>
          <w:p w14:paraId="65803D90" w14:textId="77777777" w:rsidR="006B754F" w:rsidRPr="006B754F" w:rsidRDefault="006B754F" w:rsidP="006B754F">
            <w:pPr>
              <w:spacing w:after="0" w:line="240" w:lineRule="auto"/>
              <w:ind w:left="0" w:hanging="2"/>
              <w:jc w:val="center"/>
              <w:rPr>
                <w:rFonts w:ascii="Arial" w:eastAsia="Times New Roman" w:hAnsi="Arial" w:cs="Arial"/>
                <w:b/>
                <w:bCs/>
                <w:color w:val="000000"/>
                <w:sz w:val="16"/>
                <w:szCs w:val="16"/>
                <w:lang w:val="en-GB"/>
              </w:rPr>
            </w:pPr>
            <w:proofErr w:type="spellStart"/>
            <w:r w:rsidRPr="006B754F">
              <w:rPr>
                <w:rFonts w:ascii="Arial" w:eastAsia="Times New Roman" w:hAnsi="Arial" w:cs="Arial"/>
                <w:b/>
                <w:bCs/>
                <w:color w:val="000000"/>
                <w:sz w:val="16"/>
                <w:szCs w:val="16"/>
                <w:lang w:val="en-GB"/>
              </w:rPr>
              <w:t>BOD</w:t>
            </w:r>
            <w:r w:rsidRPr="006B754F">
              <w:rPr>
                <w:rFonts w:ascii="Arial" w:eastAsia="Times New Roman" w:hAnsi="Arial" w:cs="Arial"/>
                <w:b/>
                <w:bCs/>
                <w:color w:val="000000"/>
                <w:sz w:val="16"/>
                <w:szCs w:val="16"/>
                <w:vertAlign w:val="subscript"/>
                <w:lang w:val="en-GB"/>
              </w:rPr>
              <w:t>eff</w:t>
            </w:r>
            <w:proofErr w:type="spellEnd"/>
          </w:p>
        </w:tc>
        <w:tc>
          <w:tcPr>
            <w:tcW w:w="850" w:type="dxa"/>
            <w:tcBorders>
              <w:top w:val="nil"/>
              <w:left w:val="nil"/>
              <w:bottom w:val="nil"/>
              <w:right w:val="nil"/>
            </w:tcBorders>
            <w:shd w:val="clear" w:color="000000" w:fill="FFFFFF"/>
            <w:vAlign w:val="center"/>
            <w:hideMark/>
          </w:tcPr>
          <w:p w14:paraId="03C69A4D" w14:textId="77777777" w:rsidR="006B754F" w:rsidRPr="006B754F" w:rsidRDefault="006B754F" w:rsidP="006B754F">
            <w:pPr>
              <w:spacing w:after="0" w:line="240" w:lineRule="auto"/>
              <w:ind w:left="0" w:hanging="2"/>
              <w:jc w:val="center"/>
              <w:rPr>
                <w:rFonts w:ascii="Arial" w:eastAsia="Times New Roman" w:hAnsi="Arial" w:cs="Arial"/>
                <w:b/>
                <w:bCs/>
                <w:color w:val="000000"/>
                <w:sz w:val="16"/>
                <w:szCs w:val="16"/>
                <w:lang w:val="en-GB"/>
              </w:rPr>
            </w:pPr>
            <w:proofErr w:type="spellStart"/>
            <w:r w:rsidRPr="006B754F">
              <w:rPr>
                <w:rFonts w:ascii="Arial" w:eastAsia="Times New Roman" w:hAnsi="Arial" w:cs="Arial"/>
                <w:b/>
                <w:bCs/>
                <w:color w:val="000000"/>
                <w:sz w:val="16"/>
                <w:szCs w:val="16"/>
                <w:lang w:val="en-GB"/>
              </w:rPr>
              <w:t>COD</w:t>
            </w:r>
            <w:r w:rsidRPr="006B754F">
              <w:rPr>
                <w:rFonts w:ascii="Arial" w:eastAsia="Times New Roman" w:hAnsi="Arial" w:cs="Arial"/>
                <w:b/>
                <w:bCs/>
                <w:color w:val="000000"/>
                <w:sz w:val="16"/>
                <w:szCs w:val="16"/>
                <w:vertAlign w:val="subscript"/>
                <w:lang w:val="en-GB"/>
              </w:rPr>
              <w:t>eff</w:t>
            </w:r>
            <w:proofErr w:type="spellEnd"/>
          </w:p>
        </w:tc>
        <w:tc>
          <w:tcPr>
            <w:tcW w:w="764" w:type="dxa"/>
            <w:tcBorders>
              <w:top w:val="nil"/>
              <w:left w:val="nil"/>
              <w:bottom w:val="nil"/>
              <w:right w:val="nil"/>
            </w:tcBorders>
            <w:shd w:val="clear" w:color="000000" w:fill="FFFFFF"/>
            <w:vAlign w:val="center"/>
            <w:hideMark/>
          </w:tcPr>
          <w:p w14:paraId="751A3F68" w14:textId="77777777" w:rsidR="006B754F" w:rsidRPr="006B754F" w:rsidRDefault="006B754F" w:rsidP="006B754F">
            <w:pPr>
              <w:spacing w:after="0" w:line="240" w:lineRule="auto"/>
              <w:ind w:left="0" w:hanging="2"/>
              <w:jc w:val="center"/>
              <w:rPr>
                <w:rFonts w:ascii="Arial" w:eastAsia="Times New Roman" w:hAnsi="Arial" w:cs="Arial"/>
                <w:b/>
                <w:bCs/>
                <w:color w:val="000000"/>
                <w:sz w:val="16"/>
                <w:szCs w:val="16"/>
                <w:lang w:val="en-GB"/>
              </w:rPr>
            </w:pPr>
            <w:proofErr w:type="spellStart"/>
            <w:r w:rsidRPr="006B754F">
              <w:rPr>
                <w:rFonts w:ascii="Arial" w:eastAsia="Times New Roman" w:hAnsi="Arial" w:cs="Arial"/>
                <w:b/>
                <w:bCs/>
                <w:color w:val="000000"/>
                <w:sz w:val="16"/>
                <w:szCs w:val="16"/>
                <w:lang w:val="en-GB"/>
              </w:rPr>
              <w:t>Cu</w:t>
            </w:r>
            <w:r w:rsidRPr="006B754F">
              <w:rPr>
                <w:rFonts w:ascii="Arial" w:eastAsia="Times New Roman" w:hAnsi="Arial" w:cs="Arial"/>
                <w:b/>
                <w:bCs/>
                <w:color w:val="000000"/>
                <w:sz w:val="16"/>
                <w:szCs w:val="16"/>
                <w:vertAlign w:val="subscript"/>
                <w:lang w:val="en-GB"/>
              </w:rPr>
              <w:t>eff</w:t>
            </w:r>
            <w:proofErr w:type="spellEnd"/>
          </w:p>
        </w:tc>
        <w:tc>
          <w:tcPr>
            <w:tcW w:w="714" w:type="dxa"/>
            <w:tcBorders>
              <w:top w:val="nil"/>
              <w:left w:val="nil"/>
              <w:bottom w:val="nil"/>
              <w:right w:val="nil"/>
            </w:tcBorders>
            <w:shd w:val="clear" w:color="000000" w:fill="FFFFFF"/>
            <w:vAlign w:val="center"/>
            <w:hideMark/>
          </w:tcPr>
          <w:p w14:paraId="0AFF64E8" w14:textId="77777777" w:rsidR="006B754F" w:rsidRPr="006B754F" w:rsidRDefault="006B754F" w:rsidP="006B754F">
            <w:pPr>
              <w:spacing w:after="0" w:line="240" w:lineRule="auto"/>
              <w:ind w:left="0" w:hanging="2"/>
              <w:jc w:val="center"/>
              <w:rPr>
                <w:rFonts w:ascii="Arial" w:eastAsia="Times New Roman" w:hAnsi="Arial" w:cs="Arial"/>
                <w:b/>
                <w:bCs/>
                <w:color w:val="000000"/>
                <w:sz w:val="16"/>
                <w:szCs w:val="16"/>
                <w:lang w:val="en-GB"/>
              </w:rPr>
            </w:pPr>
            <w:proofErr w:type="spellStart"/>
            <w:r w:rsidRPr="006B754F">
              <w:rPr>
                <w:rFonts w:ascii="Arial" w:eastAsia="Times New Roman" w:hAnsi="Arial" w:cs="Arial"/>
                <w:b/>
                <w:bCs/>
                <w:color w:val="000000"/>
                <w:sz w:val="16"/>
                <w:szCs w:val="16"/>
                <w:lang w:val="en-GB"/>
              </w:rPr>
              <w:t>DO</w:t>
            </w:r>
            <w:r w:rsidRPr="006B754F">
              <w:rPr>
                <w:rFonts w:ascii="Arial" w:eastAsia="Times New Roman" w:hAnsi="Arial" w:cs="Arial"/>
                <w:b/>
                <w:bCs/>
                <w:color w:val="000000"/>
                <w:sz w:val="16"/>
                <w:szCs w:val="16"/>
                <w:vertAlign w:val="subscript"/>
                <w:lang w:val="en-GB"/>
              </w:rPr>
              <w:t>eff</w:t>
            </w:r>
            <w:proofErr w:type="spellEnd"/>
          </w:p>
        </w:tc>
        <w:tc>
          <w:tcPr>
            <w:tcW w:w="844" w:type="dxa"/>
            <w:tcBorders>
              <w:top w:val="nil"/>
              <w:left w:val="nil"/>
              <w:bottom w:val="nil"/>
              <w:right w:val="nil"/>
            </w:tcBorders>
            <w:shd w:val="clear" w:color="000000" w:fill="FFFFFF"/>
            <w:vAlign w:val="center"/>
            <w:hideMark/>
          </w:tcPr>
          <w:p w14:paraId="02CECFF5" w14:textId="77777777" w:rsidR="006B754F" w:rsidRPr="006B754F" w:rsidRDefault="006B754F" w:rsidP="006B754F">
            <w:pPr>
              <w:spacing w:after="0" w:line="240" w:lineRule="auto"/>
              <w:ind w:left="0" w:hanging="2"/>
              <w:jc w:val="center"/>
              <w:rPr>
                <w:rFonts w:ascii="Arial" w:eastAsia="Times New Roman" w:hAnsi="Arial" w:cs="Arial"/>
                <w:b/>
                <w:bCs/>
                <w:color w:val="000000"/>
                <w:sz w:val="16"/>
                <w:szCs w:val="16"/>
                <w:lang w:val="en-GB"/>
              </w:rPr>
            </w:pPr>
            <w:proofErr w:type="spellStart"/>
            <w:r w:rsidRPr="006B754F">
              <w:rPr>
                <w:rFonts w:ascii="Arial" w:eastAsia="Times New Roman" w:hAnsi="Arial" w:cs="Arial"/>
                <w:b/>
                <w:bCs/>
                <w:color w:val="000000"/>
                <w:sz w:val="16"/>
                <w:szCs w:val="16"/>
                <w:lang w:val="en-GB"/>
              </w:rPr>
              <w:t>BOD</w:t>
            </w:r>
            <w:r w:rsidRPr="006B754F">
              <w:rPr>
                <w:rFonts w:ascii="Arial" w:eastAsia="Times New Roman" w:hAnsi="Arial" w:cs="Arial"/>
                <w:b/>
                <w:bCs/>
                <w:color w:val="000000"/>
                <w:sz w:val="16"/>
                <w:szCs w:val="16"/>
                <w:vertAlign w:val="subscript"/>
                <w:lang w:val="en-GB"/>
              </w:rPr>
              <w:t>eff</w:t>
            </w:r>
            <w:proofErr w:type="spellEnd"/>
          </w:p>
        </w:tc>
        <w:tc>
          <w:tcPr>
            <w:tcW w:w="813" w:type="dxa"/>
            <w:tcBorders>
              <w:top w:val="nil"/>
              <w:left w:val="nil"/>
              <w:bottom w:val="nil"/>
              <w:right w:val="nil"/>
            </w:tcBorders>
            <w:shd w:val="clear" w:color="000000" w:fill="FFFFFF"/>
            <w:vAlign w:val="center"/>
            <w:hideMark/>
          </w:tcPr>
          <w:p w14:paraId="530C9BE8" w14:textId="77777777" w:rsidR="006B754F" w:rsidRPr="006B754F" w:rsidRDefault="006B754F" w:rsidP="006B754F">
            <w:pPr>
              <w:spacing w:after="0" w:line="240" w:lineRule="auto"/>
              <w:ind w:left="0" w:hanging="2"/>
              <w:jc w:val="center"/>
              <w:rPr>
                <w:rFonts w:ascii="Arial" w:eastAsia="Times New Roman" w:hAnsi="Arial" w:cs="Arial"/>
                <w:b/>
                <w:bCs/>
                <w:color w:val="000000"/>
                <w:sz w:val="16"/>
                <w:szCs w:val="16"/>
                <w:lang w:val="en-GB"/>
              </w:rPr>
            </w:pPr>
            <w:proofErr w:type="spellStart"/>
            <w:r w:rsidRPr="006B754F">
              <w:rPr>
                <w:rFonts w:ascii="Arial" w:eastAsia="Times New Roman" w:hAnsi="Arial" w:cs="Arial"/>
                <w:b/>
                <w:bCs/>
                <w:color w:val="000000"/>
                <w:sz w:val="16"/>
                <w:szCs w:val="16"/>
                <w:lang w:val="en-GB"/>
              </w:rPr>
              <w:t>COD</w:t>
            </w:r>
            <w:r w:rsidRPr="006B754F">
              <w:rPr>
                <w:rFonts w:ascii="Arial" w:eastAsia="Times New Roman" w:hAnsi="Arial" w:cs="Arial"/>
                <w:b/>
                <w:bCs/>
                <w:color w:val="000000"/>
                <w:sz w:val="16"/>
                <w:szCs w:val="16"/>
                <w:vertAlign w:val="subscript"/>
                <w:lang w:val="en-GB"/>
              </w:rPr>
              <w:t>eff</w:t>
            </w:r>
            <w:proofErr w:type="spellEnd"/>
          </w:p>
        </w:tc>
        <w:tc>
          <w:tcPr>
            <w:tcW w:w="714" w:type="dxa"/>
            <w:tcBorders>
              <w:top w:val="nil"/>
              <w:left w:val="nil"/>
              <w:bottom w:val="nil"/>
              <w:right w:val="nil"/>
            </w:tcBorders>
            <w:shd w:val="clear" w:color="000000" w:fill="FFFFFF"/>
            <w:vAlign w:val="center"/>
            <w:hideMark/>
          </w:tcPr>
          <w:p w14:paraId="25C5EC13" w14:textId="77777777" w:rsidR="006B754F" w:rsidRPr="006B754F" w:rsidRDefault="006B754F" w:rsidP="006B754F">
            <w:pPr>
              <w:spacing w:after="0" w:line="240" w:lineRule="auto"/>
              <w:ind w:left="0" w:hanging="2"/>
              <w:jc w:val="center"/>
              <w:rPr>
                <w:rFonts w:ascii="Arial" w:eastAsia="Times New Roman" w:hAnsi="Arial" w:cs="Arial"/>
                <w:b/>
                <w:bCs/>
                <w:color w:val="000000"/>
                <w:sz w:val="16"/>
                <w:szCs w:val="16"/>
                <w:lang w:val="en-GB"/>
              </w:rPr>
            </w:pPr>
            <w:proofErr w:type="spellStart"/>
            <w:r w:rsidRPr="006B754F">
              <w:rPr>
                <w:rFonts w:ascii="Arial" w:eastAsia="Times New Roman" w:hAnsi="Arial" w:cs="Arial"/>
                <w:b/>
                <w:bCs/>
                <w:color w:val="000000"/>
                <w:sz w:val="16"/>
                <w:szCs w:val="16"/>
                <w:lang w:val="en-GB"/>
              </w:rPr>
              <w:t>Cu</w:t>
            </w:r>
            <w:r w:rsidRPr="006B754F">
              <w:rPr>
                <w:rFonts w:ascii="Arial" w:eastAsia="Times New Roman" w:hAnsi="Arial" w:cs="Arial"/>
                <w:b/>
                <w:bCs/>
                <w:color w:val="000000"/>
                <w:sz w:val="16"/>
                <w:szCs w:val="16"/>
                <w:vertAlign w:val="subscript"/>
                <w:lang w:val="en-GB"/>
              </w:rPr>
              <w:t>eff</w:t>
            </w:r>
            <w:proofErr w:type="spellEnd"/>
          </w:p>
        </w:tc>
      </w:tr>
      <w:tr w:rsidR="006B754F" w:rsidRPr="006B754F" w14:paraId="06B64B4D" w14:textId="77777777" w:rsidTr="006B754F">
        <w:trPr>
          <w:trHeight w:val="29"/>
        </w:trPr>
        <w:tc>
          <w:tcPr>
            <w:tcW w:w="851" w:type="dxa"/>
            <w:vMerge/>
            <w:tcBorders>
              <w:top w:val="single" w:sz="8" w:space="0" w:color="auto"/>
              <w:left w:val="nil"/>
              <w:bottom w:val="single" w:sz="8" w:space="0" w:color="auto"/>
              <w:right w:val="nil"/>
            </w:tcBorders>
            <w:vAlign w:val="center"/>
            <w:hideMark/>
          </w:tcPr>
          <w:p w14:paraId="1F054B0B" w14:textId="77777777" w:rsidR="006B754F" w:rsidRPr="006B754F" w:rsidRDefault="006B754F" w:rsidP="006B754F">
            <w:pPr>
              <w:spacing w:after="0" w:line="240" w:lineRule="auto"/>
              <w:ind w:left="0" w:hanging="2"/>
              <w:rPr>
                <w:rFonts w:ascii="Arial" w:eastAsia="Times New Roman" w:hAnsi="Arial" w:cs="Arial"/>
                <w:b/>
                <w:bCs/>
                <w:color w:val="000000"/>
                <w:sz w:val="16"/>
                <w:szCs w:val="16"/>
                <w:lang w:val="en-GB"/>
              </w:rPr>
            </w:pPr>
          </w:p>
        </w:tc>
        <w:tc>
          <w:tcPr>
            <w:tcW w:w="883" w:type="dxa"/>
            <w:vMerge/>
            <w:tcBorders>
              <w:top w:val="single" w:sz="8" w:space="0" w:color="auto"/>
              <w:left w:val="nil"/>
              <w:bottom w:val="single" w:sz="8" w:space="0" w:color="000000"/>
              <w:right w:val="nil"/>
            </w:tcBorders>
            <w:vAlign w:val="center"/>
            <w:hideMark/>
          </w:tcPr>
          <w:p w14:paraId="291CAECD" w14:textId="77777777" w:rsidR="006B754F" w:rsidRPr="006B754F" w:rsidRDefault="006B754F" w:rsidP="006B754F">
            <w:pPr>
              <w:spacing w:after="0" w:line="240" w:lineRule="auto"/>
              <w:ind w:left="0" w:hanging="2"/>
              <w:rPr>
                <w:rFonts w:ascii="Arial" w:eastAsia="Times New Roman" w:hAnsi="Arial" w:cs="Arial"/>
                <w:b/>
                <w:bCs/>
                <w:color w:val="000000"/>
                <w:sz w:val="16"/>
                <w:szCs w:val="16"/>
                <w:lang w:val="en-GB"/>
              </w:rPr>
            </w:pPr>
          </w:p>
        </w:tc>
        <w:tc>
          <w:tcPr>
            <w:tcW w:w="963" w:type="dxa"/>
            <w:tcBorders>
              <w:top w:val="nil"/>
              <w:left w:val="nil"/>
              <w:bottom w:val="single" w:sz="8" w:space="0" w:color="auto"/>
              <w:right w:val="nil"/>
            </w:tcBorders>
            <w:shd w:val="clear" w:color="000000" w:fill="FFFFFF"/>
            <w:vAlign w:val="center"/>
            <w:hideMark/>
          </w:tcPr>
          <w:p w14:paraId="4C6AC517" w14:textId="77777777" w:rsidR="006B754F" w:rsidRPr="006B754F" w:rsidRDefault="006B754F" w:rsidP="006B754F">
            <w:pPr>
              <w:spacing w:after="0" w:line="240" w:lineRule="auto"/>
              <w:ind w:left="0" w:hanging="2"/>
              <w:jc w:val="center"/>
              <w:rPr>
                <w:rFonts w:ascii="Arial" w:eastAsia="Times New Roman" w:hAnsi="Arial" w:cs="Arial"/>
                <w:b/>
                <w:bCs/>
                <w:color w:val="000000"/>
                <w:sz w:val="16"/>
                <w:szCs w:val="16"/>
                <w:lang w:val="en-GB"/>
              </w:rPr>
            </w:pPr>
            <w:r w:rsidRPr="006B754F">
              <w:rPr>
                <w:rFonts w:ascii="Arial" w:eastAsia="Times New Roman" w:hAnsi="Arial" w:cs="Arial"/>
                <w:b/>
                <w:bCs/>
                <w:color w:val="000000"/>
                <w:sz w:val="16"/>
                <w:szCs w:val="16"/>
                <w:lang w:val="en-GB"/>
              </w:rPr>
              <w:t>(m</w:t>
            </w:r>
            <w:r w:rsidRPr="006B754F">
              <w:rPr>
                <w:rFonts w:ascii="Arial" w:eastAsia="Times New Roman" w:hAnsi="Arial" w:cs="Arial"/>
                <w:b/>
                <w:bCs/>
                <w:color w:val="000000"/>
                <w:sz w:val="16"/>
                <w:szCs w:val="16"/>
                <w:vertAlign w:val="superscript"/>
                <w:lang w:val="en-GB"/>
              </w:rPr>
              <w:t>3</w:t>
            </w:r>
            <w:r w:rsidRPr="006B754F">
              <w:rPr>
                <w:rFonts w:ascii="Arial" w:eastAsia="Times New Roman" w:hAnsi="Arial" w:cs="Arial"/>
                <w:b/>
                <w:bCs/>
                <w:color w:val="000000"/>
                <w:sz w:val="16"/>
                <w:szCs w:val="16"/>
                <w:lang w:val="en-GB"/>
              </w:rPr>
              <w:t>/s)</w:t>
            </w:r>
          </w:p>
        </w:tc>
        <w:tc>
          <w:tcPr>
            <w:tcW w:w="806" w:type="dxa"/>
            <w:tcBorders>
              <w:top w:val="nil"/>
              <w:left w:val="nil"/>
              <w:bottom w:val="single" w:sz="8" w:space="0" w:color="auto"/>
              <w:right w:val="nil"/>
            </w:tcBorders>
            <w:shd w:val="clear" w:color="000000" w:fill="FFFFFF"/>
            <w:vAlign w:val="center"/>
            <w:hideMark/>
          </w:tcPr>
          <w:p w14:paraId="3717DC4C" w14:textId="77777777" w:rsidR="006B754F" w:rsidRPr="006B754F" w:rsidRDefault="006B754F" w:rsidP="006B754F">
            <w:pPr>
              <w:spacing w:after="0" w:line="240" w:lineRule="auto"/>
              <w:ind w:left="0" w:hanging="2"/>
              <w:jc w:val="center"/>
              <w:rPr>
                <w:rFonts w:ascii="Arial" w:eastAsia="Times New Roman" w:hAnsi="Arial" w:cs="Arial"/>
                <w:b/>
                <w:bCs/>
                <w:color w:val="000000"/>
                <w:sz w:val="16"/>
                <w:szCs w:val="16"/>
                <w:lang w:val="en-GB"/>
              </w:rPr>
            </w:pPr>
            <w:r w:rsidRPr="006B754F">
              <w:rPr>
                <w:rFonts w:ascii="Arial" w:eastAsia="Times New Roman" w:hAnsi="Arial" w:cs="Arial"/>
                <w:b/>
                <w:bCs/>
                <w:color w:val="000000"/>
                <w:sz w:val="16"/>
                <w:szCs w:val="16"/>
                <w:lang w:val="en-GB"/>
              </w:rPr>
              <w:t>(mg/L)</w:t>
            </w:r>
          </w:p>
        </w:tc>
        <w:tc>
          <w:tcPr>
            <w:tcW w:w="786" w:type="dxa"/>
            <w:tcBorders>
              <w:top w:val="nil"/>
              <w:left w:val="nil"/>
              <w:bottom w:val="single" w:sz="8" w:space="0" w:color="auto"/>
              <w:right w:val="nil"/>
            </w:tcBorders>
            <w:shd w:val="clear" w:color="000000" w:fill="FFFFFF"/>
            <w:vAlign w:val="center"/>
            <w:hideMark/>
          </w:tcPr>
          <w:p w14:paraId="296B1A64" w14:textId="77777777" w:rsidR="006B754F" w:rsidRPr="006B754F" w:rsidRDefault="006B754F" w:rsidP="006B754F">
            <w:pPr>
              <w:spacing w:after="0" w:line="240" w:lineRule="auto"/>
              <w:ind w:left="0" w:hanging="2"/>
              <w:jc w:val="center"/>
              <w:rPr>
                <w:rFonts w:ascii="Arial" w:eastAsia="Times New Roman" w:hAnsi="Arial" w:cs="Arial"/>
                <w:b/>
                <w:bCs/>
                <w:color w:val="000000"/>
                <w:sz w:val="16"/>
                <w:szCs w:val="16"/>
                <w:lang w:val="en-GB"/>
              </w:rPr>
            </w:pPr>
            <w:r w:rsidRPr="006B754F">
              <w:rPr>
                <w:rFonts w:ascii="Arial" w:eastAsia="Times New Roman" w:hAnsi="Arial" w:cs="Arial"/>
                <w:b/>
                <w:bCs/>
                <w:color w:val="000000"/>
                <w:sz w:val="16"/>
                <w:szCs w:val="16"/>
                <w:lang w:val="en-GB"/>
              </w:rPr>
              <w:t>(mg/L)</w:t>
            </w:r>
          </w:p>
        </w:tc>
        <w:tc>
          <w:tcPr>
            <w:tcW w:w="850" w:type="dxa"/>
            <w:tcBorders>
              <w:top w:val="nil"/>
              <w:left w:val="nil"/>
              <w:bottom w:val="single" w:sz="8" w:space="0" w:color="auto"/>
              <w:right w:val="nil"/>
            </w:tcBorders>
            <w:shd w:val="clear" w:color="000000" w:fill="FFFFFF"/>
            <w:vAlign w:val="center"/>
            <w:hideMark/>
          </w:tcPr>
          <w:p w14:paraId="0CE02C72" w14:textId="77777777" w:rsidR="006B754F" w:rsidRPr="006B754F" w:rsidRDefault="006B754F" w:rsidP="006B754F">
            <w:pPr>
              <w:spacing w:after="0" w:line="240" w:lineRule="auto"/>
              <w:ind w:left="0" w:hanging="2"/>
              <w:jc w:val="center"/>
              <w:rPr>
                <w:rFonts w:ascii="Arial" w:eastAsia="Times New Roman" w:hAnsi="Arial" w:cs="Arial"/>
                <w:b/>
                <w:bCs/>
                <w:color w:val="000000"/>
                <w:sz w:val="16"/>
                <w:szCs w:val="16"/>
                <w:lang w:val="en-GB"/>
              </w:rPr>
            </w:pPr>
            <w:r w:rsidRPr="006B754F">
              <w:rPr>
                <w:rFonts w:ascii="Arial" w:eastAsia="Times New Roman" w:hAnsi="Arial" w:cs="Arial"/>
                <w:b/>
                <w:bCs/>
                <w:color w:val="000000"/>
                <w:sz w:val="16"/>
                <w:szCs w:val="16"/>
                <w:lang w:val="en-GB"/>
              </w:rPr>
              <w:t>(mg/L)</w:t>
            </w:r>
          </w:p>
        </w:tc>
        <w:tc>
          <w:tcPr>
            <w:tcW w:w="764" w:type="dxa"/>
            <w:tcBorders>
              <w:top w:val="nil"/>
              <w:left w:val="nil"/>
              <w:bottom w:val="single" w:sz="8" w:space="0" w:color="auto"/>
              <w:right w:val="nil"/>
            </w:tcBorders>
            <w:shd w:val="clear" w:color="000000" w:fill="FFFFFF"/>
            <w:vAlign w:val="center"/>
            <w:hideMark/>
          </w:tcPr>
          <w:p w14:paraId="0F15DB26" w14:textId="77777777" w:rsidR="006B754F" w:rsidRPr="006B754F" w:rsidRDefault="006B754F" w:rsidP="006B754F">
            <w:pPr>
              <w:spacing w:after="0" w:line="240" w:lineRule="auto"/>
              <w:ind w:left="0" w:hanging="2"/>
              <w:jc w:val="center"/>
              <w:rPr>
                <w:rFonts w:ascii="Arial" w:eastAsia="Times New Roman" w:hAnsi="Arial" w:cs="Arial"/>
                <w:b/>
                <w:bCs/>
                <w:color w:val="000000"/>
                <w:sz w:val="16"/>
                <w:szCs w:val="16"/>
                <w:lang w:val="en-GB"/>
              </w:rPr>
            </w:pPr>
            <w:r w:rsidRPr="006B754F">
              <w:rPr>
                <w:rFonts w:ascii="Arial" w:eastAsia="Times New Roman" w:hAnsi="Arial" w:cs="Arial"/>
                <w:b/>
                <w:bCs/>
                <w:color w:val="000000"/>
                <w:sz w:val="16"/>
                <w:szCs w:val="16"/>
                <w:lang w:val="en-GB"/>
              </w:rPr>
              <w:t>(mg/L)</w:t>
            </w:r>
          </w:p>
        </w:tc>
        <w:tc>
          <w:tcPr>
            <w:tcW w:w="714" w:type="dxa"/>
            <w:tcBorders>
              <w:top w:val="nil"/>
              <w:left w:val="nil"/>
              <w:bottom w:val="single" w:sz="8" w:space="0" w:color="auto"/>
              <w:right w:val="nil"/>
            </w:tcBorders>
            <w:shd w:val="clear" w:color="000000" w:fill="FFFFFF"/>
            <w:vAlign w:val="center"/>
            <w:hideMark/>
          </w:tcPr>
          <w:p w14:paraId="5484EA17" w14:textId="77777777" w:rsidR="006B754F" w:rsidRPr="006B754F" w:rsidRDefault="006B754F" w:rsidP="006B754F">
            <w:pPr>
              <w:spacing w:after="0" w:line="240" w:lineRule="auto"/>
              <w:ind w:left="0" w:hanging="2"/>
              <w:jc w:val="center"/>
              <w:rPr>
                <w:rFonts w:ascii="Arial" w:eastAsia="Times New Roman" w:hAnsi="Arial" w:cs="Arial"/>
                <w:b/>
                <w:bCs/>
                <w:color w:val="000000"/>
                <w:sz w:val="16"/>
                <w:szCs w:val="16"/>
                <w:lang w:val="en-GB"/>
              </w:rPr>
            </w:pPr>
            <w:r w:rsidRPr="006B754F">
              <w:rPr>
                <w:rFonts w:ascii="Arial" w:eastAsia="Times New Roman" w:hAnsi="Arial" w:cs="Arial"/>
                <w:b/>
                <w:bCs/>
                <w:color w:val="000000"/>
                <w:sz w:val="16"/>
                <w:szCs w:val="16"/>
                <w:lang w:val="en-GB"/>
              </w:rPr>
              <w:t>(mg/L)</w:t>
            </w:r>
          </w:p>
        </w:tc>
        <w:tc>
          <w:tcPr>
            <w:tcW w:w="844" w:type="dxa"/>
            <w:tcBorders>
              <w:top w:val="nil"/>
              <w:left w:val="nil"/>
              <w:bottom w:val="single" w:sz="8" w:space="0" w:color="auto"/>
              <w:right w:val="nil"/>
            </w:tcBorders>
            <w:shd w:val="clear" w:color="000000" w:fill="FFFFFF"/>
            <w:vAlign w:val="center"/>
            <w:hideMark/>
          </w:tcPr>
          <w:p w14:paraId="0A15516C" w14:textId="77777777" w:rsidR="006B754F" w:rsidRPr="006B754F" w:rsidRDefault="006B754F" w:rsidP="006B754F">
            <w:pPr>
              <w:spacing w:after="0" w:line="240" w:lineRule="auto"/>
              <w:ind w:left="0" w:hanging="2"/>
              <w:jc w:val="center"/>
              <w:rPr>
                <w:rFonts w:ascii="Arial" w:eastAsia="Times New Roman" w:hAnsi="Arial" w:cs="Arial"/>
                <w:b/>
                <w:bCs/>
                <w:color w:val="000000"/>
                <w:sz w:val="16"/>
                <w:szCs w:val="16"/>
                <w:lang w:val="en-GB"/>
              </w:rPr>
            </w:pPr>
            <w:r w:rsidRPr="006B754F">
              <w:rPr>
                <w:rFonts w:ascii="Arial" w:eastAsia="Times New Roman" w:hAnsi="Arial" w:cs="Arial"/>
                <w:b/>
                <w:bCs/>
                <w:color w:val="000000"/>
                <w:sz w:val="16"/>
                <w:szCs w:val="16"/>
                <w:lang w:val="en-GB"/>
              </w:rPr>
              <w:t>(mg/L)</w:t>
            </w:r>
          </w:p>
        </w:tc>
        <w:tc>
          <w:tcPr>
            <w:tcW w:w="813" w:type="dxa"/>
            <w:tcBorders>
              <w:top w:val="nil"/>
              <w:left w:val="nil"/>
              <w:bottom w:val="single" w:sz="8" w:space="0" w:color="auto"/>
              <w:right w:val="nil"/>
            </w:tcBorders>
            <w:shd w:val="clear" w:color="000000" w:fill="FFFFFF"/>
            <w:vAlign w:val="center"/>
            <w:hideMark/>
          </w:tcPr>
          <w:p w14:paraId="6EE14046" w14:textId="77777777" w:rsidR="006B754F" w:rsidRPr="006B754F" w:rsidRDefault="006B754F" w:rsidP="006B754F">
            <w:pPr>
              <w:spacing w:after="0" w:line="240" w:lineRule="auto"/>
              <w:ind w:left="0" w:hanging="2"/>
              <w:jc w:val="center"/>
              <w:rPr>
                <w:rFonts w:ascii="Arial" w:eastAsia="Times New Roman" w:hAnsi="Arial" w:cs="Arial"/>
                <w:b/>
                <w:bCs/>
                <w:color w:val="000000"/>
                <w:sz w:val="16"/>
                <w:szCs w:val="16"/>
                <w:lang w:val="en-GB"/>
              </w:rPr>
            </w:pPr>
            <w:r w:rsidRPr="006B754F">
              <w:rPr>
                <w:rFonts w:ascii="Arial" w:eastAsia="Times New Roman" w:hAnsi="Arial" w:cs="Arial"/>
                <w:b/>
                <w:bCs/>
                <w:color w:val="000000"/>
                <w:sz w:val="16"/>
                <w:szCs w:val="16"/>
                <w:lang w:val="en-GB"/>
              </w:rPr>
              <w:t>(mg/L)</w:t>
            </w:r>
          </w:p>
        </w:tc>
        <w:tc>
          <w:tcPr>
            <w:tcW w:w="714" w:type="dxa"/>
            <w:tcBorders>
              <w:top w:val="nil"/>
              <w:left w:val="nil"/>
              <w:bottom w:val="single" w:sz="8" w:space="0" w:color="auto"/>
              <w:right w:val="nil"/>
            </w:tcBorders>
            <w:shd w:val="clear" w:color="000000" w:fill="FFFFFF"/>
            <w:vAlign w:val="center"/>
            <w:hideMark/>
          </w:tcPr>
          <w:p w14:paraId="526BA56E" w14:textId="77777777" w:rsidR="006B754F" w:rsidRPr="006B754F" w:rsidRDefault="006B754F" w:rsidP="006B754F">
            <w:pPr>
              <w:spacing w:after="0" w:line="240" w:lineRule="auto"/>
              <w:ind w:left="0" w:hanging="2"/>
              <w:jc w:val="center"/>
              <w:rPr>
                <w:rFonts w:ascii="Arial" w:eastAsia="Times New Roman" w:hAnsi="Arial" w:cs="Arial"/>
                <w:b/>
                <w:bCs/>
                <w:color w:val="000000"/>
                <w:sz w:val="16"/>
                <w:szCs w:val="16"/>
                <w:lang w:val="en-GB"/>
              </w:rPr>
            </w:pPr>
            <w:r w:rsidRPr="006B754F">
              <w:rPr>
                <w:rFonts w:ascii="Arial" w:eastAsia="Times New Roman" w:hAnsi="Arial" w:cs="Arial"/>
                <w:b/>
                <w:bCs/>
                <w:color w:val="000000"/>
                <w:sz w:val="16"/>
                <w:szCs w:val="16"/>
                <w:lang w:val="en-GB"/>
              </w:rPr>
              <w:t>(mg/L)</w:t>
            </w:r>
          </w:p>
        </w:tc>
      </w:tr>
      <w:tr w:rsidR="006B754F" w:rsidRPr="006B754F" w14:paraId="06FAFF4C" w14:textId="77777777" w:rsidTr="006B754F">
        <w:trPr>
          <w:trHeight w:val="290"/>
        </w:trPr>
        <w:tc>
          <w:tcPr>
            <w:tcW w:w="851" w:type="dxa"/>
            <w:tcBorders>
              <w:top w:val="single" w:sz="8" w:space="0" w:color="auto"/>
              <w:left w:val="nil"/>
              <w:bottom w:val="nil"/>
              <w:right w:val="nil"/>
            </w:tcBorders>
            <w:shd w:val="clear" w:color="auto" w:fill="F2F2F2" w:themeFill="background1" w:themeFillShade="F2"/>
            <w:vAlign w:val="center"/>
            <w:hideMark/>
          </w:tcPr>
          <w:p w14:paraId="1A737063"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C5</w:t>
            </w:r>
          </w:p>
        </w:tc>
        <w:tc>
          <w:tcPr>
            <w:tcW w:w="883" w:type="dxa"/>
            <w:tcBorders>
              <w:top w:val="nil"/>
              <w:left w:val="nil"/>
              <w:bottom w:val="nil"/>
              <w:right w:val="nil"/>
            </w:tcBorders>
            <w:shd w:val="clear" w:color="auto" w:fill="F2F2F2" w:themeFill="background1" w:themeFillShade="F2"/>
            <w:vAlign w:val="center"/>
            <w:hideMark/>
          </w:tcPr>
          <w:p w14:paraId="59AB4E45"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2208.39</w:t>
            </w:r>
          </w:p>
        </w:tc>
        <w:tc>
          <w:tcPr>
            <w:tcW w:w="963" w:type="dxa"/>
            <w:tcBorders>
              <w:top w:val="nil"/>
              <w:left w:val="nil"/>
              <w:bottom w:val="nil"/>
              <w:right w:val="nil"/>
            </w:tcBorders>
            <w:shd w:val="clear" w:color="auto" w:fill="F2F2F2" w:themeFill="background1" w:themeFillShade="F2"/>
            <w:vAlign w:val="center"/>
            <w:hideMark/>
          </w:tcPr>
          <w:p w14:paraId="1BE691C6"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0.012</w:t>
            </w:r>
          </w:p>
        </w:tc>
        <w:tc>
          <w:tcPr>
            <w:tcW w:w="806" w:type="dxa"/>
            <w:tcBorders>
              <w:top w:val="nil"/>
              <w:left w:val="nil"/>
              <w:bottom w:val="nil"/>
              <w:right w:val="nil"/>
            </w:tcBorders>
            <w:shd w:val="clear" w:color="auto" w:fill="F2F2F2" w:themeFill="background1" w:themeFillShade="F2"/>
            <w:vAlign w:val="center"/>
            <w:hideMark/>
          </w:tcPr>
          <w:p w14:paraId="77731133"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1.00</w:t>
            </w:r>
          </w:p>
        </w:tc>
        <w:tc>
          <w:tcPr>
            <w:tcW w:w="786" w:type="dxa"/>
            <w:tcBorders>
              <w:top w:val="nil"/>
              <w:left w:val="nil"/>
              <w:bottom w:val="nil"/>
              <w:right w:val="nil"/>
            </w:tcBorders>
            <w:shd w:val="clear" w:color="auto" w:fill="F2F2F2" w:themeFill="background1" w:themeFillShade="F2"/>
            <w:vAlign w:val="center"/>
            <w:hideMark/>
          </w:tcPr>
          <w:p w14:paraId="1467BB2E"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23.00</w:t>
            </w:r>
          </w:p>
        </w:tc>
        <w:tc>
          <w:tcPr>
            <w:tcW w:w="850" w:type="dxa"/>
            <w:tcBorders>
              <w:top w:val="nil"/>
              <w:left w:val="nil"/>
              <w:bottom w:val="nil"/>
              <w:right w:val="nil"/>
            </w:tcBorders>
            <w:shd w:val="clear" w:color="auto" w:fill="F2F2F2" w:themeFill="background1" w:themeFillShade="F2"/>
            <w:vAlign w:val="center"/>
            <w:hideMark/>
          </w:tcPr>
          <w:p w14:paraId="6A848BAE"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145.00</w:t>
            </w:r>
          </w:p>
        </w:tc>
        <w:tc>
          <w:tcPr>
            <w:tcW w:w="764" w:type="dxa"/>
            <w:tcBorders>
              <w:top w:val="nil"/>
              <w:left w:val="nil"/>
              <w:bottom w:val="nil"/>
              <w:right w:val="nil"/>
            </w:tcBorders>
            <w:shd w:val="clear" w:color="auto" w:fill="F2F2F2" w:themeFill="background1" w:themeFillShade="F2"/>
            <w:vAlign w:val="center"/>
            <w:hideMark/>
          </w:tcPr>
          <w:p w14:paraId="79EF8659"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0.54</w:t>
            </w:r>
          </w:p>
        </w:tc>
        <w:tc>
          <w:tcPr>
            <w:tcW w:w="714" w:type="dxa"/>
            <w:tcBorders>
              <w:top w:val="nil"/>
              <w:left w:val="nil"/>
              <w:bottom w:val="nil"/>
              <w:right w:val="nil"/>
            </w:tcBorders>
            <w:shd w:val="clear" w:color="auto" w:fill="F2F2F2" w:themeFill="background1" w:themeFillShade="F2"/>
            <w:vAlign w:val="center"/>
            <w:hideMark/>
          </w:tcPr>
          <w:p w14:paraId="7501F300"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1.00</w:t>
            </w:r>
          </w:p>
        </w:tc>
        <w:tc>
          <w:tcPr>
            <w:tcW w:w="844" w:type="dxa"/>
            <w:tcBorders>
              <w:top w:val="nil"/>
              <w:left w:val="nil"/>
              <w:bottom w:val="nil"/>
              <w:right w:val="nil"/>
            </w:tcBorders>
            <w:shd w:val="clear" w:color="auto" w:fill="F2F2F2" w:themeFill="background1" w:themeFillShade="F2"/>
            <w:vAlign w:val="center"/>
            <w:hideMark/>
          </w:tcPr>
          <w:p w14:paraId="66D42BC7"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18.95</w:t>
            </w:r>
          </w:p>
        </w:tc>
        <w:tc>
          <w:tcPr>
            <w:tcW w:w="813" w:type="dxa"/>
            <w:tcBorders>
              <w:top w:val="nil"/>
              <w:left w:val="nil"/>
              <w:bottom w:val="nil"/>
              <w:right w:val="nil"/>
            </w:tcBorders>
            <w:shd w:val="clear" w:color="auto" w:fill="F2F2F2" w:themeFill="background1" w:themeFillShade="F2"/>
            <w:vAlign w:val="center"/>
            <w:hideMark/>
          </w:tcPr>
          <w:p w14:paraId="74A056F8"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122.00</w:t>
            </w:r>
          </w:p>
        </w:tc>
        <w:tc>
          <w:tcPr>
            <w:tcW w:w="714" w:type="dxa"/>
            <w:tcBorders>
              <w:top w:val="nil"/>
              <w:left w:val="nil"/>
              <w:bottom w:val="nil"/>
              <w:right w:val="nil"/>
            </w:tcBorders>
            <w:shd w:val="clear" w:color="auto" w:fill="F2F2F2" w:themeFill="background1" w:themeFillShade="F2"/>
            <w:vAlign w:val="center"/>
            <w:hideMark/>
          </w:tcPr>
          <w:p w14:paraId="46355497"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0.42</w:t>
            </w:r>
          </w:p>
        </w:tc>
      </w:tr>
      <w:tr w:rsidR="006B754F" w:rsidRPr="006B754F" w14:paraId="73A575E9" w14:textId="77777777" w:rsidTr="006B754F">
        <w:trPr>
          <w:trHeight w:val="290"/>
        </w:trPr>
        <w:tc>
          <w:tcPr>
            <w:tcW w:w="851" w:type="dxa"/>
            <w:tcBorders>
              <w:top w:val="nil"/>
              <w:left w:val="nil"/>
              <w:bottom w:val="nil"/>
              <w:right w:val="nil"/>
            </w:tcBorders>
            <w:shd w:val="clear" w:color="auto" w:fill="FFFFFF" w:themeFill="background1"/>
            <w:vAlign w:val="center"/>
            <w:hideMark/>
          </w:tcPr>
          <w:p w14:paraId="6620C34D"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C6</w:t>
            </w:r>
          </w:p>
        </w:tc>
        <w:tc>
          <w:tcPr>
            <w:tcW w:w="883" w:type="dxa"/>
            <w:tcBorders>
              <w:top w:val="nil"/>
              <w:left w:val="nil"/>
              <w:bottom w:val="nil"/>
              <w:right w:val="nil"/>
            </w:tcBorders>
            <w:shd w:val="clear" w:color="auto" w:fill="FFFFFF" w:themeFill="background1"/>
            <w:vAlign w:val="center"/>
            <w:hideMark/>
          </w:tcPr>
          <w:p w14:paraId="11F13FC3"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2122.89</w:t>
            </w:r>
          </w:p>
        </w:tc>
        <w:tc>
          <w:tcPr>
            <w:tcW w:w="963" w:type="dxa"/>
            <w:tcBorders>
              <w:top w:val="nil"/>
              <w:left w:val="nil"/>
              <w:bottom w:val="nil"/>
              <w:right w:val="nil"/>
            </w:tcBorders>
            <w:shd w:val="clear" w:color="auto" w:fill="FFFFFF" w:themeFill="background1"/>
            <w:vAlign w:val="center"/>
            <w:hideMark/>
          </w:tcPr>
          <w:p w14:paraId="6F27C6B2"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0.012</w:t>
            </w:r>
          </w:p>
        </w:tc>
        <w:tc>
          <w:tcPr>
            <w:tcW w:w="806" w:type="dxa"/>
            <w:tcBorders>
              <w:top w:val="nil"/>
              <w:left w:val="nil"/>
              <w:bottom w:val="nil"/>
              <w:right w:val="nil"/>
            </w:tcBorders>
            <w:shd w:val="clear" w:color="auto" w:fill="FFFFFF" w:themeFill="background1"/>
            <w:vAlign w:val="center"/>
            <w:hideMark/>
          </w:tcPr>
          <w:p w14:paraId="63FE96F8"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1.00</w:t>
            </w:r>
          </w:p>
        </w:tc>
        <w:tc>
          <w:tcPr>
            <w:tcW w:w="786" w:type="dxa"/>
            <w:tcBorders>
              <w:top w:val="nil"/>
              <w:left w:val="nil"/>
              <w:bottom w:val="nil"/>
              <w:right w:val="nil"/>
            </w:tcBorders>
            <w:shd w:val="clear" w:color="auto" w:fill="FFFFFF" w:themeFill="background1"/>
            <w:vAlign w:val="center"/>
            <w:hideMark/>
          </w:tcPr>
          <w:p w14:paraId="38F28F1F"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23.25</w:t>
            </w:r>
          </w:p>
        </w:tc>
        <w:tc>
          <w:tcPr>
            <w:tcW w:w="850" w:type="dxa"/>
            <w:tcBorders>
              <w:top w:val="nil"/>
              <w:left w:val="nil"/>
              <w:bottom w:val="nil"/>
              <w:right w:val="nil"/>
            </w:tcBorders>
            <w:shd w:val="clear" w:color="auto" w:fill="FFFFFF" w:themeFill="background1"/>
            <w:vAlign w:val="center"/>
            <w:hideMark/>
          </w:tcPr>
          <w:p w14:paraId="4C6968BC"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147.50</w:t>
            </w:r>
          </w:p>
        </w:tc>
        <w:tc>
          <w:tcPr>
            <w:tcW w:w="764" w:type="dxa"/>
            <w:tcBorders>
              <w:top w:val="nil"/>
              <w:left w:val="nil"/>
              <w:bottom w:val="nil"/>
              <w:right w:val="nil"/>
            </w:tcBorders>
            <w:shd w:val="clear" w:color="auto" w:fill="FFFFFF" w:themeFill="background1"/>
            <w:vAlign w:val="center"/>
            <w:hideMark/>
          </w:tcPr>
          <w:p w14:paraId="02E3D149"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0.54</w:t>
            </w:r>
          </w:p>
        </w:tc>
        <w:tc>
          <w:tcPr>
            <w:tcW w:w="714" w:type="dxa"/>
            <w:tcBorders>
              <w:top w:val="nil"/>
              <w:left w:val="nil"/>
              <w:bottom w:val="nil"/>
              <w:right w:val="nil"/>
            </w:tcBorders>
            <w:shd w:val="clear" w:color="auto" w:fill="FFFFFF" w:themeFill="background1"/>
            <w:vAlign w:val="center"/>
            <w:hideMark/>
          </w:tcPr>
          <w:p w14:paraId="78E0A0F4"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1.00</w:t>
            </w:r>
          </w:p>
        </w:tc>
        <w:tc>
          <w:tcPr>
            <w:tcW w:w="844" w:type="dxa"/>
            <w:tcBorders>
              <w:top w:val="nil"/>
              <w:left w:val="nil"/>
              <w:bottom w:val="nil"/>
              <w:right w:val="nil"/>
            </w:tcBorders>
            <w:shd w:val="clear" w:color="auto" w:fill="FFFFFF" w:themeFill="background1"/>
            <w:vAlign w:val="center"/>
            <w:hideMark/>
          </w:tcPr>
          <w:p w14:paraId="5C8B9CC3"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18.95</w:t>
            </w:r>
          </w:p>
        </w:tc>
        <w:tc>
          <w:tcPr>
            <w:tcW w:w="813" w:type="dxa"/>
            <w:tcBorders>
              <w:top w:val="nil"/>
              <w:left w:val="nil"/>
              <w:bottom w:val="nil"/>
              <w:right w:val="nil"/>
            </w:tcBorders>
            <w:shd w:val="clear" w:color="auto" w:fill="FFFFFF" w:themeFill="background1"/>
            <w:vAlign w:val="center"/>
            <w:hideMark/>
          </w:tcPr>
          <w:p w14:paraId="7309D9CD"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121.00</w:t>
            </w:r>
          </w:p>
        </w:tc>
        <w:tc>
          <w:tcPr>
            <w:tcW w:w="714" w:type="dxa"/>
            <w:tcBorders>
              <w:top w:val="nil"/>
              <w:left w:val="nil"/>
              <w:bottom w:val="nil"/>
              <w:right w:val="nil"/>
            </w:tcBorders>
            <w:shd w:val="clear" w:color="auto" w:fill="FFFFFF" w:themeFill="background1"/>
            <w:vAlign w:val="center"/>
            <w:hideMark/>
          </w:tcPr>
          <w:p w14:paraId="5BF57C11"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0.42</w:t>
            </w:r>
          </w:p>
        </w:tc>
      </w:tr>
      <w:tr w:rsidR="006B754F" w:rsidRPr="006B754F" w14:paraId="465F910A" w14:textId="77777777" w:rsidTr="006B754F">
        <w:trPr>
          <w:trHeight w:val="290"/>
        </w:trPr>
        <w:tc>
          <w:tcPr>
            <w:tcW w:w="851" w:type="dxa"/>
            <w:tcBorders>
              <w:top w:val="nil"/>
              <w:left w:val="nil"/>
              <w:bottom w:val="nil"/>
              <w:right w:val="nil"/>
            </w:tcBorders>
            <w:shd w:val="clear" w:color="auto" w:fill="F2F2F2" w:themeFill="background1" w:themeFillShade="F2"/>
            <w:vAlign w:val="center"/>
            <w:hideMark/>
          </w:tcPr>
          <w:p w14:paraId="2DA94E67"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C12</w:t>
            </w:r>
          </w:p>
        </w:tc>
        <w:tc>
          <w:tcPr>
            <w:tcW w:w="883" w:type="dxa"/>
            <w:tcBorders>
              <w:top w:val="nil"/>
              <w:left w:val="nil"/>
              <w:bottom w:val="nil"/>
              <w:right w:val="nil"/>
            </w:tcBorders>
            <w:shd w:val="clear" w:color="auto" w:fill="F2F2F2" w:themeFill="background1" w:themeFillShade="F2"/>
            <w:vAlign w:val="center"/>
            <w:hideMark/>
          </w:tcPr>
          <w:p w14:paraId="5331887A"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1564.99</w:t>
            </w:r>
          </w:p>
        </w:tc>
        <w:tc>
          <w:tcPr>
            <w:tcW w:w="963" w:type="dxa"/>
            <w:tcBorders>
              <w:top w:val="nil"/>
              <w:left w:val="nil"/>
              <w:bottom w:val="nil"/>
              <w:right w:val="nil"/>
            </w:tcBorders>
            <w:shd w:val="clear" w:color="auto" w:fill="F2F2F2" w:themeFill="background1" w:themeFillShade="F2"/>
            <w:vAlign w:val="center"/>
            <w:hideMark/>
          </w:tcPr>
          <w:p w14:paraId="2E4D9FF7"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0.012</w:t>
            </w:r>
          </w:p>
        </w:tc>
        <w:tc>
          <w:tcPr>
            <w:tcW w:w="806" w:type="dxa"/>
            <w:tcBorders>
              <w:top w:val="nil"/>
              <w:left w:val="nil"/>
              <w:bottom w:val="nil"/>
              <w:right w:val="nil"/>
            </w:tcBorders>
            <w:shd w:val="clear" w:color="auto" w:fill="F2F2F2" w:themeFill="background1" w:themeFillShade="F2"/>
            <w:vAlign w:val="center"/>
            <w:hideMark/>
          </w:tcPr>
          <w:p w14:paraId="72FE92EE"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1.00</w:t>
            </w:r>
          </w:p>
        </w:tc>
        <w:tc>
          <w:tcPr>
            <w:tcW w:w="786" w:type="dxa"/>
            <w:tcBorders>
              <w:top w:val="nil"/>
              <w:left w:val="nil"/>
              <w:bottom w:val="nil"/>
              <w:right w:val="nil"/>
            </w:tcBorders>
            <w:shd w:val="clear" w:color="auto" w:fill="F2F2F2" w:themeFill="background1" w:themeFillShade="F2"/>
            <w:vAlign w:val="center"/>
            <w:hideMark/>
          </w:tcPr>
          <w:p w14:paraId="2B57AA40"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22.00</w:t>
            </w:r>
          </w:p>
        </w:tc>
        <w:tc>
          <w:tcPr>
            <w:tcW w:w="850" w:type="dxa"/>
            <w:tcBorders>
              <w:top w:val="nil"/>
              <w:left w:val="nil"/>
              <w:bottom w:val="nil"/>
              <w:right w:val="nil"/>
            </w:tcBorders>
            <w:shd w:val="clear" w:color="auto" w:fill="F2F2F2" w:themeFill="background1" w:themeFillShade="F2"/>
            <w:vAlign w:val="center"/>
            <w:hideMark/>
          </w:tcPr>
          <w:p w14:paraId="5D2B2168"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97.50</w:t>
            </w:r>
          </w:p>
        </w:tc>
        <w:tc>
          <w:tcPr>
            <w:tcW w:w="764" w:type="dxa"/>
            <w:tcBorders>
              <w:top w:val="nil"/>
              <w:left w:val="nil"/>
              <w:bottom w:val="nil"/>
              <w:right w:val="nil"/>
            </w:tcBorders>
            <w:shd w:val="clear" w:color="auto" w:fill="F2F2F2" w:themeFill="background1" w:themeFillShade="F2"/>
            <w:vAlign w:val="center"/>
            <w:hideMark/>
          </w:tcPr>
          <w:p w14:paraId="5AAD698C"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0.44</w:t>
            </w:r>
          </w:p>
        </w:tc>
        <w:tc>
          <w:tcPr>
            <w:tcW w:w="714" w:type="dxa"/>
            <w:tcBorders>
              <w:top w:val="nil"/>
              <w:left w:val="nil"/>
              <w:bottom w:val="nil"/>
              <w:right w:val="nil"/>
            </w:tcBorders>
            <w:shd w:val="clear" w:color="auto" w:fill="F2F2F2" w:themeFill="background1" w:themeFillShade="F2"/>
            <w:vAlign w:val="center"/>
            <w:hideMark/>
          </w:tcPr>
          <w:p w14:paraId="49B706BC"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1.00</w:t>
            </w:r>
          </w:p>
        </w:tc>
        <w:tc>
          <w:tcPr>
            <w:tcW w:w="844" w:type="dxa"/>
            <w:tcBorders>
              <w:top w:val="nil"/>
              <w:left w:val="nil"/>
              <w:bottom w:val="nil"/>
              <w:right w:val="nil"/>
            </w:tcBorders>
            <w:shd w:val="clear" w:color="auto" w:fill="F2F2F2" w:themeFill="background1" w:themeFillShade="F2"/>
            <w:vAlign w:val="center"/>
            <w:hideMark/>
          </w:tcPr>
          <w:p w14:paraId="0D8A4333"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19.20</w:t>
            </w:r>
          </w:p>
        </w:tc>
        <w:tc>
          <w:tcPr>
            <w:tcW w:w="813" w:type="dxa"/>
            <w:tcBorders>
              <w:top w:val="nil"/>
              <w:left w:val="nil"/>
              <w:bottom w:val="nil"/>
              <w:right w:val="nil"/>
            </w:tcBorders>
            <w:shd w:val="clear" w:color="auto" w:fill="F2F2F2" w:themeFill="background1" w:themeFillShade="F2"/>
            <w:vAlign w:val="center"/>
            <w:hideMark/>
          </w:tcPr>
          <w:p w14:paraId="0C40BA65"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93.50</w:t>
            </w:r>
          </w:p>
        </w:tc>
        <w:tc>
          <w:tcPr>
            <w:tcW w:w="714" w:type="dxa"/>
            <w:tcBorders>
              <w:top w:val="nil"/>
              <w:left w:val="nil"/>
              <w:bottom w:val="nil"/>
              <w:right w:val="nil"/>
            </w:tcBorders>
            <w:shd w:val="clear" w:color="auto" w:fill="F2F2F2" w:themeFill="background1" w:themeFillShade="F2"/>
            <w:vAlign w:val="center"/>
            <w:hideMark/>
          </w:tcPr>
          <w:p w14:paraId="2A3B7761"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0.38</w:t>
            </w:r>
          </w:p>
        </w:tc>
      </w:tr>
      <w:tr w:rsidR="006B754F" w:rsidRPr="006B754F" w14:paraId="082AF880" w14:textId="77777777" w:rsidTr="006B754F">
        <w:trPr>
          <w:trHeight w:val="290"/>
        </w:trPr>
        <w:tc>
          <w:tcPr>
            <w:tcW w:w="851" w:type="dxa"/>
            <w:tcBorders>
              <w:top w:val="nil"/>
              <w:left w:val="nil"/>
              <w:bottom w:val="nil"/>
              <w:right w:val="nil"/>
            </w:tcBorders>
            <w:shd w:val="clear" w:color="auto" w:fill="FFFFFF" w:themeFill="background1"/>
            <w:vAlign w:val="center"/>
            <w:hideMark/>
          </w:tcPr>
          <w:p w14:paraId="5B4C0D70"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C13</w:t>
            </w:r>
          </w:p>
        </w:tc>
        <w:tc>
          <w:tcPr>
            <w:tcW w:w="883" w:type="dxa"/>
            <w:tcBorders>
              <w:top w:val="nil"/>
              <w:left w:val="nil"/>
              <w:bottom w:val="nil"/>
              <w:right w:val="nil"/>
            </w:tcBorders>
            <w:shd w:val="clear" w:color="auto" w:fill="FFFFFF" w:themeFill="background1"/>
            <w:vAlign w:val="center"/>
            <w:hideMark/>
          </w:tcPr>
          <w:p w14:paraId="0FAC759B"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1487.59</w:t>
            </w:r>
          </w:p>
        </w:tc>
        <w:tc>
          <w:tcPr>
            <w:tcW w:w="963" w:type="dxa"/>
            <w:tcBorders>
              <w:top w:val="nil"/>
              <w:left w:val="nil"/>
              <w:bottom w:val="nil"/>
              <w:right w:val="nil"/>
            </w:tcBorders>
            <w:shd w:val="clear" w:color="auto" w:fill="FFFFFF" w:themeFill="background1"/>
            <w:vAlign w:val="center"/>
            <w:hideMark/>
          </w:tcPr>
          <w:p w14:paraId="66286EB5"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0.012</w:t>
            </w:r>
          </w:p>
        </w:tc>
        <w:tc>
          <w:tcPr>
            <w:tcW w:w="806" w:type="dxa"/>
            <w:tcBorders>
              <w:top w:val="nil"/>
              <w:left w:val="nil"/>
              <w:bottom w:val="nil"/>
              <w:right w:val="nil"/>
            </w:tcBorders>
            <w:shd w:val="clear" w:color="auto" w:fill="FFFFFF" w:themeFill="background1"/>
            <w:vAlign w:val="center"/>
            <w:hideMark/>
          </w:tcPr>
          <w:p w14:paraId="382C06D2"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1.00</w:t>
            </w:r>
          </w:p>
        </w:tc>
        <w:tc>
          <w:tcPr>
            <w:tcW w:w="786" w:type="dxa"/>
            <w:tcBorders>
              <w:top w:val="nil"/>
              <w:left w:val="nil"/>
              <w:bottom w:val="nil"/>
              <w:right w:val="nil"/>
            </w:tcBorders>
            <w:shd w:val="clear" w:color="auto" w:fill="FFFFFF" w:themeFill="background1"/>
            <w:vAlign w:val="center"/>
            <w:hideMark/>
          </w:tcPr>
          <w:p w14:paraId="0C0E83CE"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22.00</w:t>
            </w:r>
          </w:p>
        </w:tc>
        <w:tc>
          <w:tcPr>
            <w:tcW w:w="850" w:type="dxa"/>
            <w:tcBorders>
              <w:top w:val="nil"/>
              <w:left w:val="nil"/>
              <w:bottom w:val="nil"/>
              <w:right w:val="nil"/>
            </w:tcBorders>
            <w:shd w:val="clear" w:color="auto" w:fill="FFFFFF" w:themeFill="background1"/>
            <w:vAlign w:val="center"/>
            <w:hideMark/>
          </w:tcPr>
          <w:p w14:paraId="23E31D53"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94.75</w:t>
            </w:r>
          </w:p>
        </w:tc>
        <w:tc>
          <w:tcPr>
            <w:tcW w:w="764" w:type="dxa"/>
            <w:tcBorders>
              <w:top w:val="nil"/>
              <w:left w:val="nil"/>
              <w:bottom w:val="nil"/>
              <w:right w:val="nil"/>
            </w:tcBorders>
            <w:shd w:val="clear" w:color="auto" w:fill="FFFFFF" w:themeFill="background1"/>
            <w:vAlign w:val="center"/>
            <w:hideMark/>
          </w:tcPr>
          <w:p w14:paraId="5AE8C86D"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0.43</w:t>
            </w:r>
          </w:p>
        </w:tc>
        <w:tc>
          <w:tcPr>
            <w:tcW w:w="714" w:type="dxa"/>
            <w:tcBorders>
              <w:top w:val="nil"/>
              <w:left w:val="nil"/>
              <w:bottom w:val="nil"/>
              <w:right w:val="nil"/>
            </w:tcBorders>
            <w:shd w:val="clear" w:color="auto" w:fill="FFFFFF" w:themeFill="background1"/>
            <w:vAlign w:val="center"/>
            <w:hideMark/>
          </w:tcPr>
          <w:p w14:paraId="2F5DDE2E"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1.00</w:t>
            </w:r>
          </w:p>
        </w:tc>
        <w:tc>
          <w:tcPr>
            <w:tcW w:w="844" w:type="dxa"/>
            <w:tcBorders>
              <w:top w:val="nil"/>
              <w:left w:val="nil"/>
              <w:bottom w:val="nil"/>
              <w:right w:val="nil"/>
            </w:tcBorders>
            <w:shd w:val="clear" w:color="auto" w:fill="FFFFFF" w:themeFill="background1"/>
            <w:vAlign w:val="center"/>
            <w:hideMark/>
          </w:tcPr>
          <w:p w14:paraId="3F2169B8"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19.20</w:t>
            </w:r>
          </w:p>
        </w:tc>
        <w:tc>
          <w:tcPr>
            <w:tcW w:w="813" w:type="dxa"/>
            <w:tcBorders>
              <w:top w:val="nil"/>
              <w:left w:val="nil"/>
              <w:bottom w:val="nil"/>
              <w:right w:val="nil"/>
            </w:tcBorders>
            <w:shd w:val="clear" w:color="auto" w:fill="FFFFFF" w:themeFill="background1"/>
            <w:vAlign w:val="center"/>
            <w:hideMark/>
          </w:tcPr>
          <w:p w14:paraId="7FE19DF8"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89.50</w:t>
            </w:r>
          </w:p>
        </w:tc>
        <w:tc>
          <w:tcPr>
            <w:tcW w:w="714" w:type="dxa"/>
            <w:tcBorders>
              <w:top w:val="nil"/>
              <w:left w:val="nil"/>
              <w:bottom w:val="nil"/>
              <w:right w:val="nil"/>
            </w:tcBorders>
            <w:shd w:val="clear" w:color="auto" w:fill="FFFFFF" w:themeFill="background1"/>
            <w:vAlign w:val="center"/>
            <w:hideMark/>
          </w:tcPr>
          <w:p w14:paraId="0D76230A"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0.38</w:t>
            </w:r>
          </w:p>
        </w:tc>
      </w:tr>
      <w:tr w:rsidR="006B754F" w:rsidRPr="006B754F" w14:paraId="1FAD3B3A" w14:textId="77777777" w:rsidTr="006B754F">
        <w:trPr>
          <w:trHeight w:val="290"/>
        </w:trPr>
        <w:tc>
          <w:tcPr>
            <w:tcW w:w="851" w:type="dxa"/>
            <w:tcBorders>
              <w:top w:val="nil"/>
              <w:left w:val="nil"/>
              <w:bottom w:val="nil"/>
              <w:right w:val="nil"/>
            </w:tcBorders>
            <w:shd w:val="clear" w:color="auto" w:fill="F2F2F2" w:themeFill="background1" w:themeFillShade="F2"/>
            <w:vAlign w:val="center"/>
            <w:hideMark/>
          </w:tcPr>
          <w:p w14:paraId="738BED03"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C16</w:t>
            </w:r>
          </w:p>
        </w:tc>
        <w:tc>
          <w:tcPr>
            <w:tcW w:w="883" w:type="dxa"/>
            <w:tcBorders>
              <w:top w:val="nil"/>
              <w:left w:val="nil"/>
              <w:bottom w:val="nil"/>
              <w:right w:val="nil"/>
            </w:tcBorders>
            <w:shd w:val="clear" w:color="auto" w:fill="F2F2F2" w:themeFill="background1" w:themeFillShade="F2"/>
            <w:vAlign w:val="center"/>
            <w:hideMark/>
          </w:tcPr>
          <w:p w14:paraId="5A1073DD"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1179.19</w:t>
            </w:r>
          </w:p>
        </w:tc>
        <w:tc>
          <w:tcPr>
            <w:tcW w:w="963" w:type="dxa"/>
            <w:tcBorders>
              <w:top w:val="nil"/>
              <w:left w:val="nil"/>
              <w:bottom w:val="nil"/>
              <w:right w:val="nil"/>
            </w:tcBorders>
            <w:shd w:val="clear" w:color="auto" w:fill="F2F2F2" w:themeFill="background1" w:themeFillShade="F2"/>
            <w:vAlign w:val="center"/>
            <w:hideMark/>
          </w:tcPr>
          <w:p w14:paraId="4439D527"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0.012</w:t>
            </w:r>
          </w:p>
        </w:tc>
        <w:tc>
          <w:tcPr>
            <w:tcW w:w="806" w:type="dxa"/>
            <w:tcBorders>
              <w:top w:val="nil"/>
              <w:left w:val="nil"/>
              <w:bottom w:val="nil"/>
              <w:right w:val="nil"/>
            </w:tcBorders>
            <w:shd w:val="clear" w:color="auto" w:fill="F2F2F2" w:themeFill="background1" w:themeFillShade="F2"/>
            <w:vAlign w:val="center"/>
            <w:hideMark/>
          </w:tcPr>
          <w:p w14:paraId="79B31A46"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1.00</w:t>
            </w:r>
          </w:p>
        </w:tc>
        <w:tc>
          <w:tcPr>
            <w:tcW w:w="786" w:type="dxa"/>
            <w:tcBorders>
              <w:top w:val="nil"/>
              <w:left w:val="nil"/>
              <w:bottom w:val="nil"/>
              <w:right w:val="nil"/>
            </w:tcBorders>
            <w:shd w:val="clear" w:color="auto" w:fill="F2F2F2" w:themeFill="background1" w:themeFillShade="F2"/>
            <w:vAlign w:val="center"/>
            <w:hideMark/>
          </w:tcPr>
          <w:p w14:paraId="6703D8DA"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18.85</w:t>
            </w:r>
          </w:p>
        </w:tc>
        <w:tc>
          <w:tcPr>
            <w:tcW w:w="850" w:type="dxa"/>
            <w:tcBorders>
              <w:top w:val="nil"/>
              <w:left w:val="nil"/>
              <w:bottom w:val="nil"/>
              <w:right w:val="nil"/>
            </w:tcBorders>
            <w:shd w:val="clear" w:color="auto" w:fill="F2F2F2" w:themeFill="background1" w:themeFillShade="F2"/>
            <w:vAlign w:val="center"/>
            <w:hideMark/>
          </w:tcPr>
          <w:p w14:paraId="19A312EB"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88.50</w:t>
            </w:r>
          </w:p>
        </w:tc>
        <w:tc>
          <w:tcPr>
            <w:tcW w:w="764" w:type="dxa"/>
            <w:tcBorders>
              <w:top w:val="nil"/>
              <w:left w:val="nil"/>
              <w:bottom w:val="nil"/>
              <w:right w:val="nil"/>
            </w:tcBorders>
            <w:shd w:val="clear" w:color="auto" w:fill="F2F2F2" w:themeFill="background1" w:themeFillShade="F2"/>
            <w:vAlign w:val="center"/>
            <w:hideMark/>
          </w:tcPr>
          <w:p w14:paraId="20196E2E"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0.37</w:t>
            </w:r>
          </w:p>
        </w:tc>
        <w:tc>
          <w:tcPr>
            <w:tcW w:w="714" w:type="dxa"/>
            <w:tcBorders>
              <w:top w:val="nil"/>
              <w:left w:val="nil"/>
              <w:bottom w:val="nil"/>
              <w:right w:val="nil"/>
            </w:tcBorders>
            <w:shd w:val="clear" w:color="auto" w:fill="F2F2F2" w:themeFill="background1" w:themeFillShade="F2"/>
            <w:vAlign w:val="center"/>
            <w:hideMark/>
          </w:tcPr>
          <w:p w14:paraId="0AA4A604"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1.00</w:t>
            </w:r>
          </w:p>
        </w:tc>
        <w:tc>
          <w:tcPr>
            <w:tcW w:w="844" w:type="dxa"/>
            <w:tcBorders>
              <w:top w:val="nil"/>
              <w:left w:val="nil"/>
              <w:bottom w:val="nil"/>
              <w:right w:val="nil"/>
            </w:tcBorders>
            <w:shd w:val="clear" w:color="auto" w:fill="F2F2F2" w:themeFill="background1" w:themeFillShade="F2"/>
            <w:vAlign w:val="center"/>
            <w:hideMark/>
          </w:tcPr>
          <w:p w14:paraId="6981AFFB"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17.25</w:t>
            </w:r>
          </w:p>
        </w:tc>
        <w:tc>
          <w:tcPr>
            <w:tcW w:w="813" w:type="dxa"/>
            <w:tcBorders>
              <w:top w:val="nil"/>
              <w:left w:val="nil"/>
              <w:bottom w:val="nil"/>
              <w:right w:val="nil"/>
            </w:tcBorders>
            <w:shd w:val="clear" w:color="auto" w:fill="F2F2F2" w:themeFill="background1" w:themeFillShade="F2"/>
            <w:vAlign w:val="center"/>
            <w:hideMark/>
          </w:tcPr>
          <w:p w14:paraId="2F4929CB"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86.50</w:t>
            </w:r>
          </w:p>
        </w:tc>
        <w:tc>
          <w:tcPr>
            <w:tcW w:w="714" w:type="dxa"/>
            <w:tcBorders>
              <w:top w:val="nil"/>
              <w:left w:val="nil"/>
              <w:bottom w:val="nil"/>
              <w:right w:val="nil"/>
            </w:tcBorders>
            <w:shd w:val="clear" w:color="auto" w:fill="F2F2F2" w:themeFill="background1" w:themeFillShade="F2"/>
            <w:vAlign w:val="center"/>
            <w:hideMark/>
          </w:tcPr>
          <w:p w14:paraId="24D52305"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0.34</w:t>
            </w:r>
          </w:p>
        </w:tc>
      </w:tr>
      <w:tr w:rsidR="006B754F" w:rsidRPr="006B754F" w14:paraId="1217BB79" w14:textId="77777777" w:rsidTr="006B754F">
        <w:trPr>
          <w:trHeight w:val="290"/>
        </w:trPr>
        <w:tc>
          <w:tcPr>
            <w:tcW w:w="851" w:type="dxa"/>
            <w:tcBorders>
              <w:top w:val="nil"/>
              <w:left w:val="nil"/>
              <w:bottom w:val="nil"/>
              <w:right w:val="nil"/>
            </w:tcBorders>
            <w:shd w:val="clear" w:color="auto" w:fill="FFFFFF" w:themeFill="background1"/>
            <w:vAlign w:val="center"/>
            <w:hideMark/>
          </w:tcPr>
          <w:p w14:paraId="53C5F3B0"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C17</w:t>
            </w:r>
          </w:p>
        </w:tc>
        <w:tc>
          <w:tcPr>
            <w:tcW w:w="883" w:type="dxa"/>
            <w:tcBorders>
              <w:top w:val="nil"/>
              <w:left w:val="nil"/>
              <w:bottom w:val="nil"/>
              <w:right w:val="nil"/>
            </w:tcBorders>
            <w:shd w:val="clear" w:color="auto" w:fill="FFFFFF" w:themeFill="background1"/>
            <w:vAlign w:val="center"/>
            <w:hideMark/>
          </w:tcPr>
          <w:p w14:paraId="6C229C0C"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1001.19</w:t>
            </w:r>
          </w:p>
        </w:tc>
        <w:tc>
          <w:tcPr>
            <w:tcW w:w="963" w:type="dxa"/>
            <w:tcBorders>
              <w:top w:val="nil"/>
              <w:left w:val="nil"/>
              <w:bottom w:val="nil"/>
              <w:right w:val="nil"/>
            </w:tcBorders>
            <w:shd w:val="clear" w:color="auto" w:fill="FFFFFF" w:themeFill="background1"/>
            <w:vAlign w:val="center"/>
            <w:hideMark/>
          </w:tcPr>
          <w:p w14:paraId="06C974E5"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0.012</w:t>
            </w:r>
          </w:p>
        </w:tc>
        <w:tc>
          <w:tcPr>
            <w:tcW w:w="806" w:type="dxa"/>
            <w:tcBorders>
              <w:top w:val="nil"/>
              <w:left w:val="nil"/>
              <w:bottom w:val="nil"/>
              <w:right w:val="nil"/>
            </w:tcBorders>
            <w:shd w:val="clear" w:color="auto" w:fill="FFFFFF" w:themeFill="background1"/>
            <w:vAlign w:val="center"/>
            <w:hideMark/>
          </w:tcPr>
          <w:p w14:paraId="79962478"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1.00</w:t>
            </w:r>
          </w:p>
        </w:tc>
        <w:tc>
          <w:tcPr>
            <w:tcW w:w="786" w:type="dxa"/>
            <w:tcBorders>
              <w:top w:val="nil"/>
              <w:left w:val="nil"/>
              <w:bottom w:val="nil"/>
              <w:right w:val="nil"/>
            </w:tcBorders>
            <w:shd w:val="clear" w:color="auto" w:fill="FFFFFF" w:themeFill="background1"/>
            <w:vAlign w:val="center"/>
            <w:hideMark/>
          </w:tcPr>
          <w:p w14:paraId="1002010A"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18.85</w:t>
            </w:r>
          </w:p>
        </w:tc>
        <w:tc>
          <w:tcPr>
            <w:tcW w:w="850" w:type="dxa"/>
            <w:tcBorders>
              <w:top w:val="nil"/>
              <w:left w:val="nil"/>
              <w:bottom w:val="nil"/>
              <w:right w:val="nil"/>
            </w:tcBorders>
            <w:shd w:val="clear" w:color="auto" w:fill="FFFFFF" w:themeFill="background1"/>
            <w:vAlign w:val="center"/>
            <w:hideMark/>
          </w:tcPr>
          <w:p w14:paraId="37EE9069"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88.50</w:t>
            </w:r>
          </w:p>
        </w:tc>
        <w:tc>
          <w:tcPr>
            <w:tcW w:w="764" w:type="dxa"/>
            <w:tcBorders>
              <w:top w:val="nil"/>
              <w:left w:val="nil"/>
              <w:bottom w:val="nil"/>
              <w:right w:val="nil"/>
            </w:tcBorders>
            <w:shd w:val="clear" w:color="auto" w:fill="FFFFFF" w:themeFill="background1"/>
            <w:vAlign w:val="center"/>
            <w:hideMark/>
          </w:tcPr>
          <w:p w14:paraId="5626D353"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0.37</w:t>
            </w:r>
          </w:p>
        </w:tc>
        <w:tc>
          <w:tcPr>
            <w:tcW w:w="714" w:type="dxa"/>
            <w:tcBorders>
              <w:top w:val="nil"/>
              <w:left w:val="nil"/>
              <w:bottom w:val="nil"/>
              <w:right w:val="nil"/>
            </w:tcBorders>
            <w:shd w:val="clear" w:color="auto" w:fill="FFFFFF" w:themeFill="background1"/>
            <w:vAlign w:val="center"/>
            <w:hideMark/>
          </w:tcPr>
          <w:p w14:paraId="2A86066C"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1.00</w:t>
            </w:r>
          </w:p>
        </w:tc>
        <w:tc>
          <w:tcPr>
            <w:tcW w:w="844" w:type="dxa"/>
            <w:tcBorders>
              <w:top w:val="nil"/>
              <w:left w:val="nil"/>
              <w:bottom w:val="nil"/>
              <w:right w:val="nil"/>
            </w:tcBorders>
            <w:shd w:val="clear" w:color="auto" w:fill="FFFFFF" w:themeFill="background1"/>
            <w:vAlign w:val="center"/>
            <w:hideMark/>
          </w:tcPr>
          <w:p w14:paraId="72B12CF5"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17.13</w:t>
            </w:r>
          </w:p>
        </w:tc>
        <w:tc>
          <w:tcPr>
            <w:tcW w:w="813" w:type="dxa"/>
            <w:tcBorders>
              <w:top w:val="nil"/>
              <w:left w:val="nil"/>
              <w:bottom w:val="nil"/>
              <w:right w:val="nil"/>
            </w:tcBorders>
            <w:shd w:val="clear" w:color="auto" w:fill="FFFFFF" w:themeFill="background1"/>
            <w:vAlign w:val="center"/>
            <w:hideMark/>
          </w:tcPr>
          <w:p w14:paraId="12169709"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86.50</w:t>
            </w:r>
          </w:p>
        </w:tc>
        <w:tc>
          <w:tcPr>
            <w:tcW w:w="714" w:type="dxa"/>
            <w:tcBorders>
              <w:top w:val="nil"/>
              <w:left w:val="nil"/>
              <w:bottom w:val="nil"/>
              <w:right w:val="nil"/>
            </w:tcBorders>
            <w:shd w:val="clear" w:color="auto" w:fill="FFFFFF" w:themeFill="background1"/>
            <w:vAlign w:val="center"/>
            <w:hideMark/>
          </w:tcPr>
          <w:p w14:paraId="07ACFAA2"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0.33</w:t>
            </w:r>
          </w:p>
        </w:tc>
      </w:tr>
      <w:tr w:rsidR="006B754F" w:rsidRPr="006B754F" w14:paraId="0313AD13" w14:textId="77777777" w:rsidTr="006B754F">
        <w:trPr>
          <w:trHeight w:val="290"/>
        </w:trPr>
        <w:tc>
          <w:tcPr>
            <w:tcW w:w="851" w:type="dxa"/>
            <w:tcBorders>
              <w:top w:val="nil"/>
              <w:left w:val="nil"/>
              <w:bottom w:val="nil"/>
              <w:right w:val="nil"/>
            </w:tcBorders>
            <w:shd w:val="clear" w:color="auto" w:fill="F2F2F2" w:themeFill="background1" w:themeFillShade="F2"/>
            <w:vAlign w:val="center"/>
            <w:hideMark/>
          </w:tcPr>
          <w:p w14:paraId="337FC149"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C20</w:t>
            </w:r>
          </w:p>
        </w:tc>
        <w:tc>
          <w:tcPr>
            <w:tcW w:w="883" w:type="dxa"/>
            <w:tcBorders>
              <w:top w:val="nil"/>
              <w:left w:val="nil"/>
              <w:bottom w:val="nil"/>
              <w:right w:val="nil"/>
            </w:tcBorders>
            <w:shd w:val="clear" w:color="auto" w:fill="F2F2F2" w:themeFill="background1" w:themeFillShade="F2"/>
            <w:vAlign w:val="center"/>
            <w:hideMark/>
          </w:tcPr>
          <w:p w14:paraId="4726ED6D"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754.10</w:t>
            </w:r>
          </w:p>
        </w:tc>
        <w:tc>
          <w:tcPr>
            <w:tcW w:w="963" w:type="dxa"/>
            <w:tcBorders>
              <w:top w:val="nil"/>
              <w:left w:val="nil"/>
              <w:bottom w:val="nil"/>
              <w:right w:val="nil"/>
            </w:tcBorders>
            <w:shd w:val="clear" w:color="auto" w:fill="F2F2F2" w:themeFill="background1" w:themeFillShade="F2"/>
            <w:vAlign w:val="center"/>
            <w:hideMark/>
          </w:tcPr>
          <w:p w14:paraId="3B6F5B9E"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0.012</w:t>
            </w:r>
          </w:p>
        </w:tc>
        <w:tc>
          <w:tcPr>
            <w:tcW w:w="806" w:type="dxa"/>
            <w:tcBorders>
              <w:top w:val="nil"/>
              <w:left w:val="nil"/>
              <w:bottom w:val="nil"/>
              <w:right w:val="nil"/>
            </w:tcBorders>
            <w:shd w:val="clear" w:color="auto" w:fill="F2F2F2" w:themeFill="background1" w:themeFillShade="F2"/>
            <w:vAlign w:val="center"/>
            <w:hideMark/>
          </w:tcPr>
          <w:p w14:paraId="3A1AA141"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1.00</w:t>
            </w:r>
          </w:p>
        </w:tc>
        <w:tc>
          <w:tcPr>
            <w:tcW w:w="786" w:type="dxa"/>
            <w:tcBorders>
              <w:top w:val="nil"/>
              <w:left w:val="nil"/>
              <w:bottom w:val="nil"/>
              <w:right w:val="nil"/>
            </w:tcBorders>
            <w:shd w:val="clear" w:color="auto" w:fill="F2F2F2" w:themeFill="background1" w:themeFillShade="F2"/>
            <w:vAlign w:val="center"/>
            <w:hideMark/>
          </w:tcPr>
          <w:p w14:paraId="2AA900D3"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15.75</w:t>
            </w:r>
          </w:p>
        </w:tc>
        <w:tc>
          <w:tcPr>
            <w:tcW w:w="850" w:type="dxa"/>
            <w:tcBorders>
              <w:top w:val="nil"/>
              <w:left w:val="nil"/>
              <w:bottom w:val="nil"/>
              <w:right w:val="nil"/>
            </w:tcBorders>
            <w:shd w:val="clear" w:color="auto" w:fill="F2F2F2" w:themeFill="background1" w:themeFillShade="F2"/>
            <w:vAlign w:val="center"/>
            <w:hideMark/>
          </w:tcPr>
          <w:p w14:paraId="309159B2"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85.00</w:t>
            </w:r>
          </w:p>
        </w:tc>
        <w:tc>
          <w:tcPr>
            <w:tcW w:w="764" w:type="dxa"/>
            <w:tcBorders>
              <w:top w:val="nil"/>
              <w:left w:val="nil"/>
              <w:bottom w:val="nil"/>
              <w:right w:val="nil"/>
            </w:tcBorders>
            <w:shd w:val="clear" w:color="auto" w:fill="F2F2F2" w:themeFill="background1" w:themeFillShade="F2"/>
            <w:vAlign w:val="center"/>
            <w:hideMark/>
          </w:tcPr>
          <w:p w14:paraId="532AE099"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0.37</w:t>
            </w:r>
          </w:p>
        </w:tc>
        <w:tc>
          <w:tcPr>
            <w:tcW w:w="714" w:type="dxa"/>
            <w:tcBorders>
              <w:top w:val="nil"/>
              <w:left w:val="nil"/>
              <w:bottom w:val="nil"/>
              <w:right w:val="nil"/>
            </w:tcBorders>
            <w:shd w:val="clear" w:color="auto" w:fill="F2F2F2" w:themeFill="background1" w:themeFillShade="F2"/>
            <w:vAlign w:val="center"/>
            <w:hideMark/>
          </w:tcPr>
          <w:p w14:paraId="2EF72CBE"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1.00</w:t>
            </w:r>
          </w:p>
        </w:tc>
        <w:tc>
          <w:tcPr>
            <w:tcW w:w="844" w:type="dxa"/>
            <w:tcBorders>
              <w:top w:val="nil"/>
              <w:left w:val="nil"/>
              <w:bottom w:val="nil"/>
              <w:right w:val="nil"/>
            </w:tcBorders>
            <w:shd w:val="clear" w:color="auto" w:fill="F2F2F2" w:themeFill="background1" w:themeFillShade="F2"/>
            <w:vAlign w:val="center"/>
            <w:hideMark/>
          </w:tcPr>
          <w:p w14:paraId="5B7C42B9"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14.90</w:t>
            </w:r>
          </w:p>
        </w:tc>
        <w:tc>
          <w:tcPr>
            <w:tcW w:w="813" w:type="dxa"/>
            <w:tcBorders>
              <w:top w:val="nil"/>
              <w:left w:val="nil"/>
              <w:bottom w:val="nil"/>
              <w:right w:val="nil"/>
            </w:tcBorders>
            <w:shd w:val="clear" w:color="auto" w:fill="F2F2F2" w:themeFill="background1" w:themeFillShade="F2"/>
            <w:vAlign w:val="center"/>
            <w:hideMark/>
          </w:tcPr>
          <w:p w14:paraId="49189AE8"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84.00</w:t>
            </w:r>
          </w:p>
        </w:tc>
        <w:tc>
          <w:tcPr>
            <w:tcW w:w="714" w:type="dxa"/>
            <w:tcBorders>
              <w:top w:val="nil"/>
              <w:left w:val="nil"/>
              <w:bottom w:val="nil"/>
              <w:right w:val="nil"/>
            </w:tcBorders>
            <w:shd w:val="clear" w:color="auto" w:fill="F2F2F2" w:themeFill="background1" w:themeFillShade="F2"/>
            <w:vAlign w:val="center"/>
            <w:hideMark/>
          </w:tcPr>
          <w:p w14:paraId="4FFB9F1B"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0.36</w:t>
            </w:r>
          </w:p>
        </w:tc>
      </w:tr>
      <w:tr w:rsidR="006B754F" w:rsidRPr="006B754F" w14:paraId="7EBAA4BB" w14:textId="77777777" w:rsidTr="006B754F">
        <w:trPr>
          <w:trHeight w:val="290"/>
        </w:trPr>
        <w:tc>
          <w:tcPr>
            <w:tcW w:w="851" w:type="dxa"/>
            <w:tcBorders>
              <w:top w:val="nil"/>
              <w:left w:val="nil"/>
              <w:bottom w:val="nil"/>
              <w:right w:val="nil"/>
            </w:tcBorders>
            <w:shd w:val="clear" w:color="auto" w:fill="FFFFFF" w:themeFill="background1"/>
            <w:vAlign w:val="center"/>
            <w:hideMark/>
          </w:tcPr>
          <w:p w14:paraId="24E35259"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C21</w:t>
            </w:r>
          </w:p>
        </w:tc>
        <w:tc>
          <w:tcPr>
            <w:tcW w:w="883" w:type="dxa"/>
            <w:tcBorders>
              <w:top w:val="nil"/>
              <w:left w:val="nil"/>
              <w:bottom w:val="nil"/>
              <w:right w:val="nil"/>
            </w:tcBorders>
            <w:shd w:val="clear" w:color="auto" w:fill="FFFFFF" w:themeFill="background1"/>
            <w:vAlign w:val="center"/>
            <w:hideMark/>
          </w:tcPr>
          <w:p w14:paraId="3FDAECC3"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673.40</w:t>
            </w:r>
          </w:p>
        </w:tc>
        <w:tc>
          <w:tcPr>
            <w:tcW w:w="963" w:type="dxa"/>
            <w:tcBorders>
              <w:top w:val="nil"/>
              <w:left w:val="nil"/>
              <w:bottom w:val="nil"/>
              <w:right w:val="nil"/>
            </w:tcBorders>
            <w:shd w:val="clear" w:color="auto" w:fill="FFFFFF" w:themeFill="background1"/>
            <w:vAlign w:val="center"/>
            <w:hideMark/>
          </w:tcPr>
          <w:p w14:paraId="4CB9C9CF"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0.012</w:t>
            </w:r>
          </w:p>
        </w:tc>
        <w:tc>
          <w:tcPr>
            <w:tcW w:w="806" w:type="dxa"/>
            <w:tcBorders>
              <w:top w:val="nil"/>
              <w:left w:val="nil"/>
              <w:bottom w:val="nil"/>
              <w:right w:val="nil"/>
            </w:tcBorders>
            <w:shd w:val="clear" w:color="auto" w:fill="FFFFFF" w:themeFill="background1"/>
            <w:vAlign w:val="center"/>
            <w:hideMark/>
          </w:tcPr>
          <w:p w14:paraId="0E7FE34B"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1.00</w:t>
            </w:r>
          </w:p>
        </w:tc>
        <w:tc>
          <w:tcPr>
            <w:tcW w:w="786" w:type="dxa"/>
            <w:tcBorders>
              <w:top w:val="nil"/>
              <w:left w:val="nil"/>
              <w:bottom w:val="nil"/>
              <w:right w:val="nil"/>
            </w:tcBorders>
            <w:shd w:val="clear" w:color="auto" w:fill="FFFFFF" w:themeFill="background1"/>
            <w:vAlign w:val="center"/>
            <w:hideMark/>
          </w:tcPr>
          <w:p w14:paraId="5B3F6699"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15.75</w:t>
            </w:r>
          </w:p>
        </w:tc>
        <w:tc>
          <w:tcPr>
            <w:tcW w:w="850" w:type="dxa"/>
            <w:tcBorders>
              <w:top w:val="nil"/>
              <w:left w:val="nil"/>
              <w:bottom w:val="nil"/>
              <w:right w:val="nil"/>
            </w:tcBorders>
            <w:shd w:val="clear" w:color="auto" w:fill="FFFFFF" w:themeFill="background1"/>
            <w:vAlign w:val="center"/>
            <w:hideMark/>
          </w:tcPr>
          <w:p w14:paraId="2A4FD7D2"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85.00</w:t>
            </w:r>
          </w:p>
        </w:tc>
        <w:tc>
          <w:tcPr>
            <w:tcW w:w="764" w:type="dxa"/>
            <w:tcBorders>
              <w:top w:val="nil"/>
              <w:left w:val="nil"/>
              <w:bottom w:val="nil"/>
              <w:right w:val="nil"/>
            </w:tcBorders>
            <w:shd w:val="clear" w:color="auto" w:fill="FFFFFF" w:themeFill="background1"/>
            <w:vAlign w:val="center"/>
            <w:hideMark/>
          </w:tcPr>
          <w:p w14:paraId="54175DC4"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0.37</w:t>
            </w:r>
          </w:p>
        </w:tc>
        <w:tc>
          <w:tcPr>
            <w:tcW w:w="714" w:type="dxa"/>
            <w:tcBorders>
              <w:top w:val="nil"/>
              <w:left w:val="nil"/>
              <w:bottom w:val="nil"/>
              <w:right w:val="nil"/>
            </w:tcBorders>
            <w:shd w:val="clear" w:color="auto" w:fill="FFFFFF" w:themeFill="background1"/>
            <w:vAlign w:val="center"/>
            <w:hideMark/>
          </w:tcPr>
          <w:p w14:paraId="1F75172D"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1.00</w:t>
            </w:r>
          </w:p>
        </w:tc>
        <w:tc>
          <w:tcPr>
            <w:tcW w:w="844" w:type="dxa"/>
            <w:tcBorders>
              <w:top w:val="nil"/>
              <w:left w:val="nil"/>
              <w:bottom w:val="nil"/>
              <w:right w:val="nil"/>
            </w:tcBorders>
            <w:shd w:val="clear" w:color="auto" w:fill="FFFFFF" w:themeFill="background1"/>
            <w:vAlign w:val="center"/>
            <w:hideMark/>
          </w:tcPr>
          <w:p w14:paraId="6A06CD32"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14.85</w:t>
            </w:r>
          </w:p>
        </w:tc>
        <w:tc>
          <w:tcPr>
            <w:tcW w:w="813" w:type="dxa"/>
            <w:tcBorders>
              <w:top w:val="nil"/>
              <w:left w:val="nil"/>
              <w:bottom w:val="nil"/>
              <w:right w:val="nil"/>
            </w:tcBorders>
            <w:shd w:val="clear" w:color="auto" w:fill="FFFFFF" w:themeFill="background1"/>
            <w:vAlign w:val="center"/>
            <w:hideMark/>
          </w:tcPr>
          <w:p w14:paraId="21FAEBAE"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84.00</w:t>
            </w:r>
          </w:p>
        </w:tc>
        <w:tc>
          <w:tcPr>
            <w:tcW w:w="714" w:type="dxa"/>
            <w:tcBorders>
              <w:top w:val="nil"/>
              <w:left w:val="nil"/>
              <w:bottom w:val="nil"/>
              <w:right w:val="nil"/>
            </w:tcBorders>
            <w:shd w:val="clear" w:color="auto" w:fill="FFFFFF" w:themeFill="background1"/>
            <w:vAlign w:val="center"/>
            <w:hideMark/>
          </w:tcPr>
          <w:p w14:paraId="323036FF"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0.36</w:t>
            </w:r>
          </w:p>
        </w:tc>
      </w:tr>
      <w:tr w:rsidR="006B754F" w:rsidRPr="006B754F" w14:paraId="432BE1F5" w14:textId="77777777" w:rsidTr="006B754F">
        <w:trPr>
          <w:trHeight w:val="290"/>
        </w:trPr>
        <w:tc>
          <w:tcPr>
            <w:tcW w:w="851" w:type="dxa"/>
            <w:tcBorders>
              <w:top w:val="nil"/>
              <w:left w:val="nil"/>
              <w:bottom w:val="nil"/>
              <w:right w:val="nil"/>
            </w:tcBorders>
            <w:shd w:val="clear" w:color="auto" w:fill="F2F2F2" w:themeFill="background1" w:themeFillShade="F2"/>
            <w:vAlign w:val="center"/>
            <w:hideMark/>
          </w:tcPr>
          <w:p w14:paraId="594EA0CE"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C22</w:t>
            </w:r>
          </w:p>
        </w:tc>
        <w:tc>
          <w:tcPr>
            <w:tcW w:w="883" w:type="dxa"/>
            <w:tcBorders>
              <w:top w:val="nil"/>
              <w:left w:val="nil"/>
              <w:bottom w:val="nil"/>
              <w:right w:val="nil"/>
            </w:tcBorders>
            <w:shd w:val="clear" w:color="auto" w:fill="F2F2F2" w:themeFill="background1" w:themeFillShade="F2"/>
            <w:vAlign w:val="center"/>
            <w:hideMark/>
          </w:tcPr>
          <w:p w14:paraId="387BD6E1"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558.00</w:t>
            </w:r>
          </w:p>
        </w:tc>
        <w:tc>
          <w:tcPr>
            <w:tcW w:w="963" w:type="dxa"/>
            <w:tcBorders>
              <w:top w:val="nil"/>
              <w:left w:val="nil"/>
              <w:bottom w:val="nil"/>
              <w:right w:val="nil"/>
            </w:tcBorders>
            <w:shd w:val="clear" w:color="auto" w:fill="F2F2F2" w:themeFill="background1" w:themeFillShade="F2"/>
            <w:vAlign w:val="center"/>
            <w:hideMark/>
          </w:tcPr>
          <w:p w14:paraId="01EF39A1"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0.012</w:t>
            </w:r>
          </w:p>
        </w:tc>
        <w:tc>
          <w:tcPr>
            <w:tcW w:w="806" w:type="dxa"/>
            <w:tcBorders>
              <w:top w:val="nil"/>
              <w:left w:val="nil"/>
              <w:bottom w:val="nil"/>
              <w:right w:val="nil"/>
            </w:tcBorders>
            <w:shd w:val="clear" w:color="auto" w:fill="F2F2F2" w:themeFill="background1" w:themeFillShade="F2"/>
            <w:vAlign w:val="center"/>
            <w:hideMark/>
          </w:tcPr>
          <w:p w14:paraId="51827854"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1.00</w:t>
            </w:r>
          </w:p>
        </w:tc>
        <w:tc>
          <w:tcPr>
            <w:tcW w:w="786" w:type="dxa"/>
            <w:tcBorders>
              <w:top w:val="nil"/>
              <w:left w:val="nil"/>
              <w:bottom w:val="nil"/>
              <w:right w:val="nil"/>
            </w:tcBorders>
            <w:shd w:val="clear" w:color="auto" w:fill="F2F2F2" w:themeFill="background1" w:themeFillShade="F2"/>
            <w:vAlign w:val="center"/>
            <w:hideMark/>
          </w:tcPr>
          <w:p w14:paraId="154F1A1E"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15.65</w:t>
            </w:r>
          </w:p>
        </w:tc>
        <w:tc>
          <w:tcPr>
            <w:tcW w:w="850" w:type="dxa"/>
            <w:tcBorders>
              <w:top w:val="nil"/>
              <w:left w:val="nil"/>
              <w:bottom w:val="nil"/>
              <w:right w:val="nil"/>
            </w:tcBorders>
            <w:shd w:val="clear" w:color="auto" w:fill="F2F2F2" w:themeFill="background1" w:themeFillShade="F2"/>
            <w:vAlign w:val="center"/>
            <w:hideMark/>
          </w:tcPr>
          <w:p w14:paraId="16A9B516"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85.00</w:t>
            </w:r>
          </w:p>
        </w:tc>
        <w:tc>
          <w:tcPr>
            <w:tcW w:w="764" w:type="dxa"/>
            <w:tcBorders>
              <w:top w:val="nil"/>
              <w:left w:val="nil"/>
              <w:bottom w:val="nil"/>
              <w:right w:val="nil"/>
            </w:tcBorders>
            <w:shd w:val="clear" w:color="auto" w:fill="F2F2F2" w:themeFill="background1" w:themeFillShade="F2"/>
            <w:vAlign w:val="center"/>
            <w:hideMark/>
          </w:tcPr>
          <w:p w14:paraId="0794CBB6"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0.31</w:t>
            </w:r>
          </w:p>
        </w:tc>
        <w:tc>
          <w:tcPr>
            <w:tcW w:w="714" w:type="dxa"/>
            <w:tcBorders>
              <w:top w:val="nil"/>
              <w:left w:val="nil"/>
              <w:bottom w:val="nil"/>
              <w:right w:val="nil"/>
            </w:tcBorders>
            <w:shd w:val="clear" w:color="auto" w:fill="F2F2F2" w:themeFill="background1" w:themeFillShade="F2"/>
            <w:vAlign w:val="center"/>
            <w:hideMark/>
          </w:tcPr>
          <w:p w14:paraId="7257B9DD"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1.00</w:t>
            </w:r>
          </w:p>
        </w:tc>
        <w:tc>
          <w:tcPr>
            <w:tcW w:w="844" w:type="dxa"/>
            <w:tcBorders>
              <w:top w:val="nil"/>
              <w:left w:val="nil"/>
              <w:bottom w:val="nil"/>
              <w:right w:val="nil"/>
            </w:tcBorders>
            <w:shd w:val="clear" w:color="auto" w:fill="F2F2F2" w:themeFill="background1" w:themeFillShade="F2"/>
            <w:vAlign w:val="center"/>
            <w:hideMark/>
          </w:tcPr>
          <w:p w14:paraId="2A824EB2"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14.80</w:t>
            </w:r>
          </w:p>
        </w:tc>
        <w:tc>
          <w:tcPr>
            <w:tcW w:w="813" w:type="dxa"/>
            <w:tcBorders>
              <w:top w:val="nil"/>
              <w:left w:val="nil"/>
              <w:bottom w:val="nil"/>
              <w:right w:val="nil"/>
            </w:tcBorders>
            <w:shd w:val="clear" w:color="auto" w:fill="F2F2F2" w:themeFill="background1" w:themeFillShade="F2"/>
            <w:vAlign w:val="center"/>
            <w:hideMark/>
          </w:tcPr>
          <w:p w14:paraId="6411BC6F"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84.20</w:t>
            </w:r>
          </w:p>
        </w:tc>
        <w:tc>
          <w:tcPr>
            <w:tcW w:w="714" w:type="dxa"/>
            <w:tcBorders>
              <w:top w:val="nil"/>
              <w:left w:val="nil"/>
              <w:bottom w:val="nil"/>
              <w:right w:val="nil"/>
            </w:tcBorders>
            <w:shd w:val="clear" w:color="auto" w:fill="F2F2F2" w:themeFill="background1" w:themeFillShade="F2"/>
            <w:vAlign w:val="center"/>
            <w:hideMark/>
          </w:tcPr>
          <w:p w14:paraId="1776C9E4"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0.28</w:t>
            </w:r>
          </w:p>
        </w:tc>
      </w:tr>
      <w:tr w:rsidR="006B754F" w:rsidRPr="006B754F" w14:paraId="2714546A" w14:textId="77777777" w:rsidTr="006B754F">
        <w:trPr>
          <w:trHeight w:val="290"/>
        </w:trPr>
        <w:tc>
          <w:tcPr>
            <w:tcW w:w="851" w:type="dxa"/>
            <w:tcBorders>
              <w:top w:val="nil"/>
              <w:left w:val="nil"/>
              <w:bottom w:val="nil"/>
              <w:right w:val="nil"/>
            </w:tcBorders>
            <w:shd w:val="clear" w:color="auto" w:fill="FFFFFF" w:themeFill="background1"/>
            <w:vAlign w:val="center"/>
            <w:hideMark/>
          </w:tcPr>
          <w:p w14:paraId="05883B57"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C23</w:t>
            </w:r>
          </w:p>
        </w:tc>
        <w:tc>
          <w:tcPr>
            <w:tcW w:w="883" w:type="dxa"/>
            <w:tcBorders>
              <w:top w:val="nil"/>
              <w:left w:val="nil"/>
              <w:bottom w:val="nil"/>
              <w:right w:val="nil"/>
            </w:tcBorders>
            <w:shd w:val="clear" w:color="auto" w:fill="FFFFFF" w:themeFill="background1"/>
            <w:vAlign w:val="center"/>
            <w:hideMark/>
          </w:tcPr>
          <w:p w14:paraId="56592915"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455.60</w:t>
            </w:r>
          </w:p>
        </w:tc>
        <w:tc>
          <w:tcPr>
            <w:tcW w:w="963" w:type="dxa"/>
            <w:tcBorders>
              <w:top w:val="nil"/>
              <w:left w:val="nil"/>
              <w:bottom w:val="nil"/>
              <w:right w:val="nil"/>
            </w:tcBorders>
            <w:shd w:val="clear" w:color="auto" w:fill="FFFFFF" w:themeFill="background1"/>
            <w:vAlign w:val="center"/>
            <w:hideMark/>
          </w:tcPr>
          <w:p w14:paraId="3589F87A"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0.012</w:t>
            </w:r>
          </w:p>
        </w:tc>
        <w:tc>
          <w:tcPr>
            <w:tcW w:w="806" w:type="dxa"/>
            <w:tcBorders>
              <w:top w:val="nil"/>
              <w:left w:val="nil"/>
              <w:bottom w:val="nil"/>
              <w:right w:val="nil"/>
            </w:tcBorders>
            <w:shd w:val="clear" w:color="auto" w:fill="FFFFFF" w:themeFill="background1"/>
            <w:vAlign w:val="center"/>
            <w:hideMark/>
          </w:tcPr>
          <w:p w14:paraId="090E1EBD"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1.00</w:t>
            </w:r>
          </w:p>
        </w:tc>
        <w:tc>
          <w:tcPr>
            <w:tcW w:w="786" w:type="dxa"/>
            <w:tcBorders>
              <w:top w:val="nil"/>
              <w:left w:val="nil"/>
              <w:bottom w:val="nil"/>
              <w:right w:val="nil"/>
            </w:tcBorders>
            <w:shd w:val="clear" w:color="auto" w:fill="FFFFFF" w:themeFill="background1"/>
            <w:vAlign w:val="center"/>
            <w:hideMark/>
          </w:tcPr>
          <w:p w14:paraId="7DBDF7E5"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15.53</w:t>
            </w:r>
          </w:p>
        </w:tc>
        <w:tc>
          <w:tcPr>
            <w:tcW w:w="850" w:type="dxa"/>
            <w:tcBorders>
              <w:top w:val="nil"/>
              <w:left w:val="nil"/>
              <w:bottom w:val="nil"/>
              <w:right w:val="nil"/>
            </w:tcBorders>
            <w:shd w:val="clear" w:color="auto" w:fill="FFFFFF" w:themeFill="background1"/>
            <w:vAlign w:val="center"/>
            <w:hideMark/>
          </w:tcPr>
          <w:p w14:paraId="7BDC1814"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85.00</w:t>
            </w:r>
          </w:p>
        </w:tc>
        <w:tc>
          <w:tcPr>
            <w:tcW w:w="764" w:type="dxa"/>
            <w:tcBorders>
              <w:top w:val="nil"/>
              <w:left w:val="nil"/>
              <w:bottom w:val="nil"/>
              <w:right w:val="nil"/>
            </w:tcBorders>
            <w:shd w:val="clear" w:color="auto" w:fill="FFFFFF" w:themeFill="background1"/>
            <w:vAlign w:val="center"/>
            <w:hideMark/>
          </w:tcPr>
          <w:p w14:paraId="4594BC43"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0.31</w:t>
            </w:r>
          </w:p>
        </w:tc>
        <w:tc>
          <w:tcPr>
            <w:tcW w:w="714" w:type="dxa"/>
            <w:tcBorders>
              <w:top w:val="nil"/>
              <w:left w:val="nil"/>
              <w:bottom w:val="nil"/>
              <w:right w:val="nil"/>
            </w:tcBorders>
            <w:shd w:val="clear" w:color="auto" w:fill="FFFFFF" w:themeFill="background1"/>
            <w:vAlign w:val="center"/>
            <w:hideMark/>
          </w:tcPr>
          <w:p w14:paraId="76074010"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1.00</w:t>
            </w:r>
          </w:p>
        </w:tc>
        <w:tc>
          <w:tcPr>
            <w:tcW w:w="844" w:type="dxa"/>
            <w:tcBorders>
              <w:top w:val="nil"/>
              <w:left w:val="nil"/>
              <w:bottom w:val="nil"/>
              <w:right w:val="nil"/>
            </w:tcBorders>
            <w:shd w:val="clear" w:color="auto" w:fill="FFFFFF" w:themeFill="background1"/>
            <w:vAlign w:val="center"/>
            <w:hideMark/>
          </w:tcPr>
          <w:p w14:paraId="0F318AF8"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14.80</w:t>
            </w:r>
          </w:p>
        </w:tc>
        <w:tc>
          <w:tcPr>
            <w:tcW w:w="813" w:type="dxa"/>
            <w:tcBorders>
              <w:top w:val="nil"/>
              <w:left w:val="nil"/>
              <w:bottom w:val="nil"/>
              <w:right w:val="nil"/>
            </w:tcBorders>
            <w:shd w:val="clear" w:color="auto" w:fill="FFFFFF" w:themeFill="background1"/>
            <w:vAlign w:val="center"/>
            <w:hideMark/>
          </w:tcPr>
          <w:p w14:paraId="7AAD07F5"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84.20</w:t>
            </w:r>
          </w:p>
        </w:tc>
        <w:tc>
          <w:tcPr>
            <w:tcW w:w="714" w:type="dxa"/>
            <w:tcBorders>
              <w:top w:val="nil"/>
              <w:left w:val="nil"/>
              <w:bottom w:val="nil"/>
              <w:right w:val="nil"/>
            </w:tcBorders>
            <w:shd w:val="clear" w:color="auto" w:fill="FFFFFF" w:themeFill="background1"/>
            <w:vAlign w:val="center"/>
            <w:hideMark/>
          </w:tcPr>
          <w:p w14:paraId="5B17473A"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0.27</w:t>
            </w:r>
          </w:p>
        </w:tc>
      </w:tr>
      <w:tr w:rsidR="006B754F" w:rsidRPr="006B754F" w14:paraId="2A270DD6" w14:textId="77777777" w:rsidTr="006B754F">
        <w:trPr>
          <w:trHeight w:val="290"/>
        </w:trPr>
        <w:tc>
          <w:tcPr>
            <w:tcW w:w="851" w:type="dxa"/>
            <w:tcBorders>
              <w:top w:val="nil"/>
              <w:left w:val="nil"/>
              <w:right w:val="nil"/>
            </w:tcBorders>
            <w:shd w:val="clear" w:color="auto" w:fill="F2F2F2" w:themeFill="background1" w:themeFillShade="F2"/>
            <w:vAlign w:val="center"/>
            <w:hideMark/>
          </w:tcPr>
          <w:p w14:paraId="51F71FE7"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C24</w:t>
            </w:r>
          </w:p>
        </w:tc>
        <w:tc>
          <w:tcPr>
            <w:tcW w:w="883" w:type="dxa"/>
            <w:tcBorders>
              <w:top w:val="nil"/>
              <w:left w:val="nil"/>
              <w:right w:val="nil"/>
            </w:tcBorders>
            <w:shd w:val="clear" w:color="auto" w:fill="F2F2F2" w:themeFill="background1" w:themeFillShade="F2"/>
            <w:vAlign w:val="center"/>
            <w:hideMark/>
          </w:tcPr>
          <w:p w14:paraId="108FC001"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434.10</w:t>
            </w:r>
          </w:p>
        </w:tc>
        <w:tc>
          <w:tcPr>
            <w:tcW w:w="963" w:type="dxa"/>
            <w:tcBorders>
              <w:top w:val="nil"/>
              <w:left w:val="nil"/>
              <w:right w:val="nil"/>
            </w:tcBorders>
            <w:shd w:val="clear" w:color="auto" w:fill="F2F2F2" w:themeFill="background1" w:themeFillShade="F2"/>
            <w:vAlign w:val="center"/>
            <w:hideMark/>
          </w:tcPr>
          <w:p w14:paraId="75C5AD18"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0.012</w:t>
            </w:r>
          </w:p>
        </w:tc>
        <w:tc>
          <w:tcPr>
            <w:tcW w:w="806" w:type="dxa"/>
            <w:tcBorders>
              <w:top w:val="nil"/>
              <w:left w:val="nil"/>
              <w:right w:val="nil"/>
            </w:tcBorders>
            <w:shd w:val="clear" w:color="auto" w:fill="F2F2F2" w:themeFill="background1" w:themeFillShade="F2"/>
            <w:vAlign w:val="center"/>
            <w:hideMark/>
          </w:tcPr>
          <w:p w14:paraId="3B8E5D8B"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1.00</w:t>
            </w:r>
          </w:p>
        </w:tc>
        <w:tc>
          <w:tcPr>
            <w:tcW w:w="786" w:type="dxa"/>
            <w:tcBorders>
              <w:top w:val="nil"/>
              <w:left w:val="nil"/>
              <w:right w:val="nil"/>
            </w:tcBorders>
            <w:shd w:val="clear" w:color="auto" w:fill="F2F2F2" w:themeFill="background1" w:themeFillShade="F2"/>
            <w:vAlign w:val="center"/>
            <w:hideMark/>
          </w:tcPr>
          <w:p w14:paraId="5FA75FA8"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15.53</w:t>
            </w:r>
          </w:p>
        </w:tc>
        <w:tc>
          <w:tcPr>
            <w:tcW w:w="850" w:type="dxa"/>
            <w:tcBorders>
              <w:top w:val="nil"/>
              <w:left w:val="nil"/>
              <w:right w:val="nil"/>
            </w:tcBorders>
            <w:shd w:val="clear" w:color="auto" w:fill="F2F2F2" w:themeFill="background1" w:themeFillShade="F2"/>
            <w:vAlign w:val="center"/>
            <w:hideMark/>
          </w:tcPr>
          <w:p w14:paraId="330D98C8"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85.00</w:t>
            </w:r>
          </w:p>
        </w:tc>
        <w:tc>
          <w:tcPr>
            <w:tcW w:w="764" w:type="dxa"/>
            <w:tcBorders>
              <w:top w:val="nil"/>
              <w:left w:val="nil"/>
              <w:right w:val="nil"/>
            </w:tcBorders>
            <w:shd w:val="clear" w:color="auto" w:fill="F2F2F2" w:themeFill="background1" w:themeFillShade="F2"/>
            <w:vAlign w:val="center"/>
            <w:hideMark/>
          </w:tcPr>
          <w:p w14:paraId="2BAB07F3"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0.30</w:t>
            </w:r>
          </w:p>
        </w:tc>
        <w:tc>
          <w:tcPr>
            <w:tcW w:w="714" w:type="dxa"/>
            <w:tcBorders>
              <w:top w:val="nil"/>
              <w:left w:val="nil"/>
              <w:right w:val="nil"/>
            </w:tcBorders>
            <w:shd w:val="clear" w:color="auto" w:fill="F2F2F2" w:themeFill="background1" w:themeFillShade="F2"/>
            <w:vAlign w:val="center"/>
            <w:hideMark/>
          </w:tcPr>
          <w:p w14:paraId="5B5CC034"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1.00</w:t>
            </w:r>
          </w:p>
        </w:tc>
        <w:tc>
          <w:tcPr>
            <w:tcW w:w="844" w:type="dxa"/>
            <w:tcBorders>
              <w:top w:val="nil"/>
              <w:left w:val="nil"/>
              <w:right w:val="nil"/>
            </w:tcBorders>
            <w:shd w:val="clear" w:color="auto" w:fill="F2F2F2" w:themeFill="background1" w:themeFillShade="F2"/>
            <w:vAlign w:val="center"/>
            <w:hideMark/>
          </w:tcPr>
          <w:p w14:paraId="10467D4F"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14.70</w:t>
            </w:r>
          </w:p>
        </w:tc>
        <w:tc>
          <w:tcPr>
            <w:tcW w:w="813" w:type="dxa"/>
            <w:tcBorders>
              <w:top w:val="nil"/>
              <w:left w:val="nil"/>
              <w:right w:val="nil"/>
            </w:tcBorders>
            <w:shd w:val="clear" w:color="auto" w:fill="F2F2F2" w:themeFill="background1" w:themeFillShade="F2"/>
            <w:vAlign w:val="center"/>
            <w:hideMark/>
          </w:tcPr>
          <w:p w14:paraId="7B42012F"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84.20</w:t>
            </w:r>
          </w:p>
        </w:tc>
        <w:tc>
          <w:tcPr>
            <w:tcW w:w="714" w:type="dxa"/>
            <w:tcBorders>
              <w:top w:val="nil"/>
              <w:left w:val="nil"/>
              <w:right w:val="nil"/>
            </w:tcBorders>
            <w:shd w:val="clear" w:color="auto" w:fill="F2F2F2" w:themeFill="background1" w:themeFillShade="F2"/>
            <w:vAlign w:val="center"/>
            <w:hideMark/>
          </w:tcPr>
          <w:p w14:paraId="2E345ED6"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0.27</w:t>
            </w:r>
          </w:p>
        </w:tc>
      </w:tr>
      <w:tr w:rsidR="006B754F" w:rsidRPr="006B754F" w14:paraId="641BA4FA" w14:textId="77777777" w:rsidTr="006B754F">
        <w:trPr>
          <w:trHeight w:val="300"/>
        </w:trPr>
        <w:tc>
          <w:tcPr>
            <w:tcW w:w="851" w:type="dxa"/>
            <w:tcBorders>
              <w:top w:val="nil"/>
              <w:left w:val="nil"/>
              <w:bottom w:val="single" w:sz="6" w:space="0" w:color="auto"/>
              <w:right w:val="nil"/>
            </w:tcBorders>
            <w:shd w:val="clear" w:color="auto" w:fill="FFFFFF" w:themeFill="background1"/>
            <w:vAlign w:val="center"/>
            <w:hideMark/>
          </w:tcPr>
          <w:p w14:paraId="374A9945"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C25</w:t>
            </w:r>
          </w:p>
        </w:tc>
        <w:tc>
          <w:tcPr>
            <w:tcW w:w="883" w:type="dxa"/>
            <w:tcBorders>
              <w:top w:val="nil"/>
              <w:left w:val="nil"/>
              <w:bottom w:val="single" w:sz="6" w:space="0" w:color="auto"/>
              <w:right w:val="nil"/>
            </w:tcBorders>
            <w:shd w:val="clear" w:color="auto" w:fill="FFFFFF" w:themeFill="background1"/>
            <w:vAlign w:val="center"/>
            <w:hideMark/>
          </w:tcPr>
          <w:p w14:paraId="43E6AD54"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413.70</w:t>
            </w:r>
          </w:p>
        </w:tc>
        <w:tc>
          <w:tcPr>
            <w:tcW w:w="963" w:type="dxa"/>
            <w:tcBorders>
              <w:top w:val="nil"/>
              <w:left w:val="nil"/>
              <w:bottom w:val="single" w:sz="6" w:space="0" w:color="auto"/>
              <w:right w:val="nil"/>
            </w:tcBorders>
            <w:shd w:val="clear" w:color="auto" w:fill="FFFFFF" w:themeFill="background1"/>
            <w:vAlign w:val="center"/>
            <w:hideMark/>
          </w:tcPr>
          <w:p w14:paraId="03945160"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0.012</w:t>
            </w:r>
          </w:p>
        </w:tc>
        <w:tc>
          <w:tcPr>
            <w:tcW w:w="806" w:type="dxa"/>
            <w:tcBorders>
              <w:top w:val="nil"/>
              <w:left w:val="nil"/>
              <w:bottom w:val="single" w:sz="6" w:space="0" w:color="auto"/>
              <w:right w:val="nil"/>
            </w:tcBorders>
            <w:shd w:val="clear" w:color="auto" w:fill="FFFFFF" w:themeFill="background1"/>
            <w:vAlign w:val="center"/>
            <w:hideMark/>
          </w:tcPr>
          <w:p w14:paraId="6C028BE4"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1.00</w:t>
            </w:r>
          </w:p>
        </w:tc>
        <w:tc>
          <w:tcPr>
            <w:tcW w:w="786" w:type="dxa"/>
            <w:tcBorders>
              <w:top w:val="nil"/>
              <w:left w:val="nil"/>
              <w:bottom w:val="single" w:sz="6" w:space="0" w:color="auto"/>
              <w:right w:val="nil"/>
            </w:tcBorders>
            <w:shd w:val="clear" w:color="auto" w:fill="FFFFFF" w:themeFill="background1"/>
            <w:vAlign w:val="center"/>
            <w:hideMark/>
          </w:tcPr>
          <w:p w14:paraId="38BD96A0"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15.53</w:t>
            </w:r>
          </w:p>
        </w:tc>
        <w:tc>
          <w:tcPr>
            <w:tcW w:w="850" w:type="dxa"/>
            <w:tcBorders>
              <w:top w:val="nil"/>
              <w:left w:val="nil"/>
              <w:bottom w:val="single" w:sz="6" w:space="0" w:color="auto"/>
              <w:right w:val="nil"/>
            </w:tcBorders>
            <w:shd w:val="clear" w:color="auto" w:fill="FFFFFF" w:themeFill="background1"/>
            <w:vAlign w:val="center"/>
            <w:hideMark/>
          </w:tcPr>
          <w:p w14:paraId="5C484812"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85.00</w:t>
            </w:r>
          </w:p>
        </w:tc>
        <w:tc>
          <w:tcPr>
            <w:tcW w:w="764" w:type="dxa"/>
            <w:tcBorders>
              <w:top w:val="nil"/>
              <w:left w:val="nil"/>
              <w:bottom w:val="single" w:sz="6" w:space="0" w:color="auto"/>
              <w:right w:val="nil"/>
            </w:tcBorders>
            <w:shd w:val="clear" w:color="auto" w:fill="FFFFFF" w:themeFill="background1"/>
            <w:vAlign w:val="center"/>
            <w:hideMark/>
          </w:tcPr>
          <w:p w14:paraId="5C01D379"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0.30</w:t>
            </w:r>
          </w:p>
        </w:tc>
        <w:tc>
          <w:tcPr>
            <w:tcW w:w="714" w:type="dxa"/>
            <w:tcBorders>
              <w:top w:val="nil"/>
              <w:left w:val="nil"/>
              <w:bottom w:val="single" w:sz="6" w:space="0" w:color="auto"/>
              <w:right w:val="nil"/>
            </w:tcBorders>
            <w:shd w:val="clear" w:color="auto" w:fill="FFFFFF" w:themeFill="background1"/>
            <w:vAlign w:val="center"/>
            <w:hideMark/>
          </w:tcPr>
          <w:p w14:paraId="4D1AA93D"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1.00</w:t>
            </w:r>
          </w:p>
        </w:tc>
        <w:tc>
          <w:tcPr>
            <w:tcW w:w="844" w:type="dxa"/>
            <w:tcBorders>
              <w:top w:val="nil"/>
              <w:left w:val="nil"/>
              <w:bottom w:val="single" w:sz="6" w:space="0" w:color="auto"/>
              <w:right w:val="nil"/>
            </w:tcBorders>
            <w:shd w:val="clear" w:color="auto" w:fill="FFFFFF" w:themeFill="background1"/>
            <w:vAlign w:val="center"/>
            <w:hideMark/>
          </w:tcPr>
          <w:p w14:paraId="12DB72AA"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14.70</w:t>
            </w:r>
          </w:p>
        </w:tc>
        <w:tc>
          <w:tcPr>
            <w:tcW w:w="813" w:type="dxa"/>
            <w:tcBorders>
              <w:top w:val="nil"/>
              <w:left w:val="nil"/>
              <w:bottom w:val="single" w:sz="6" w:space="0" w:color="auto"/>
              <w:right w:val="nil"/>
            </w:tcBorders>
            <w:shd w:val="clear" w:color="auto" w:fill="FFFFFF" w:themeFill="background1"/>
            <w:vAlign w:val="center"/>
            <w:hideMark/>
          </w:tcPr>
          <w:p w14:paraId="07CA8DA6"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84.20</w:t>
            </w:r>
          </w:p>
        </w:tc>
        <w:tc>
          <w:tcPr>
            <w:tcW w:w="714" w:type="dxa"/>
            <w:tcBorders>
              <w:top w:val="nil"/>
              <w:left w:val="nil"/>
              <w:bottom w:val="single" w:sz="6" w:space="0" w:color="auto"/>
              <w:right w:val="nil"/>
            </w:tcBorders>
            <w:shd w:val="clear" w:color="auto" w:fill="FFFFFF" w:themeFill="background1"/>
            <w:vAlign w:val="center"/>
            <w:hideMark/>
          </w:tcPr>
          <w:p w14:paraId="00A8BB07"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0.27</w:t>
            </w:r>
          </w:p>
        </w:tc>
      </w:tr>
      <w:tr w:rsidR="006B754F" w:rsidRPr="006B754F" w14:paraId="3BBC9322" w14:textId="77777777" w:rsidTr="00975946">
        <w:trPr>
          <w:trHeight w:val="300"/>
        </w:trPr>
        <w:tc>
          <w:tcPr>
            <w:tcW w:w="2697" w:type="dxa"/>
            <w:gridSpan w:val="3"/>
            <w:tcBorders>
              <w:left w:val="nil"/>
              <w:bottom w:val="nil"/>
              <w:right w:val="nil"/>
            </w:tcBorders>
            <w:shd w:val="clear" w:color="auto" w:fill="FFFFFF" w:themeFill="background1"/>
            <w:noWrap/>
            <w:vAlign w:val="center"/>
            <w:hideMark/>
          </w:tcPr>
          <w:p w14:paraId="1394F5D2" w14:textId="08D51A38" w:rsidR="006B754F" w:rsidRPr="006B754F" w:rsidRDefault="006B754F" w:rsidP="006B754F">
            <w:pPr>
              <w:spacing w:after="0"/>
              <w:ind w:left="0" w:hanging="2"/>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Maximum</w:t>
            </w:r>
          </w:p>
        </w:tc>
        <w:tc>
          <w:tcPr>
            <w:tcW w:w="806" w:type="dxa"/>
            <w:tcBorders>
              <w:top w:val="nil"/>
              <w:left w:val="nil"/>
              <w:bottom w:val="nil"/>
              <w:right w:val="nil"/>
            </w:tcBorders>
            <w:shd w:val="clear" w:color="auto" w:fill="FFFFFF" w:themeFill="background1"/>
            <w:noWrap/>
            <w:vAlign w:val="center"/>
            <w:hideMark/>
          </w:tcPr>
          <w:p w14:paraId="54A746EA" w14:textId="3F2D1328"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1.00</w:t>
            </w:r>
          </w:p>
        </w:tc>
        <w:tc>
          <w:tcPr>
            <w:tcW w:w="786" w:type="dxa"/>
            <w:tcBorders>
              <w:top w:val="nil"/>
              <w:left w:val="nil"/>
              <w:bottom w:val="nil"/>
              <w:right w:val="nil"/>
            </w:tcBorders>
            <w:shd w:val="clear" w:color="auto" w:fill="FFFFFF" w:themeFill="background1"/>
            <w:noWrap/>
            <w:vAlign w:val="center"/>
            <w:hideMark/>
          </w:tcPr>
          <w:p w14:paraId="30585FBE" w14:textId="4AD3382B"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rPr>
              <w:t>23.25</w:t>
            </w:r>
          </w:p>
        </w:tc>
        <w:tc>
          <w:tcPr>
            <w:tcW w:w="850" w:type="dxa"/>
            <w:tcBorders>
              <w:top w:val="nil"/>
              <w:left w:val="nil"/>
              <w:bottom w:val="nil"/>
              <w:right w:val="nil"/>
            </w:tcBorders>
            <w:shd w:val="clear" w:color="auto" w:fill="FFFFFF" w:themeFill="background1"/>
            <w:noWrap/>
            <w:vAlign w:val="center"/>
            <w:hideMark/>
          </w:tcPr>
          <w:p w14:paraId="495DC29B" w14:textId="453B4582"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rPr>
              <w:t>147.50</w:t>
            </w:r>
          </w:p>
        </w:tc>
        <w:tc>
          <w:tcPr>
            <w:tcW w:w="764" w:type="dxa"/>
            <w:tcBorders>
              <w:top w:val="nil"/>
              <w:left w:val="nil"/>
              <w:bottom w:val="nil"/>
              <w:right w:val="nil"/>
            </w:tcBorders>
            <w:shd w:val="clear" w:color="auto" w:fill="FFFFFF" w:themeFill="background1"/>
            <w:noWrap/>
            <w:vAlign w:val="center"/>
            <w:hideMark/>
          </w:tcPr>
          <w:p w14:paraId="2CFF9232" w14:textId="588AC701"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rPr>
              <w:t>0.54</w:t>
            </w:r>
          </w:p>
        </w:tc>
        <w:tc>
          <w:tcPr>
            <w:tcW w:w="714" w:type="dxa"/>
            <w:tcBorders>
              <w:top w:val="nil"/>
              <w:left w:val="nil"/>
              <w:bottom w:val="nil"/>
              <w:right w:val="nil"/>
            </w:tcBorders>
            <w:shd w:val="clear" w:color="auto" w:fill="FFFFFF" w:themeFill="background1"/>
            <w:noWrap/>
            <w:vAlign w:val="center"/>
            <w:hideMark/>
          </w:tcPr>
          <w:p w14:paraId="6398527E" w14:textId="52D3B75A"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1.00</w:t>
            </w:r>
          </w:p>
        </w:tc>
        <w:tc>
          <w:tcPr>
            <w:tcW w:w="844" w:type="dxa"/>
            <w:tcBorders>
              <w:top w:val="nil"/>
              <w:left w:val="nil"/>
              <w:bottom w:val="nil"/>
              <w:right w:val="nil"/>
            </w:tcBorders>
            <w:shd w:val="clear" w:color="auto" w:fill="FFFFFF" w:themeFill="background1"/>
            <w:noWrap/>
            <w:vAlign w:val="center"/>
            <w:hideMark/>
          </w:tcPr>
          <w:p w14:paraId="65A18CCE" w14:textId="3B480C64"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rPr>
              <w:t>19.20</w:t>
            </w:r>
          </w:p>
        </w:tc>
        <w:tc>
          <w:tcPr>
            <w:tcW w:w="813" w:type="dxa"/>
            <w:tcBorders>
              <w:top w:val="nil"/>
              <w:left w:val="nil"/>
              <w:bottom w:val="nil"/>
              <w:right w:val="nil"/>
            </w:tcBorders>
            <w:shd w:val="clear" w:color="auto" w:fill="FFFFFF" w:themeFill="background1"/>
            <w:noWrap/>
            <w:vAlign w:val="center"/>
            <w:hideMark/>
          </w:tcPr>
          <w:p w14:paraId="01A39D4C" w14:textId="45F9F1F3"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rPr>
              <w:t>122.00</w:t>
            </w:r>
          </w:p>
        </w:tc>
        <w:tc>
          <w:tcPr>
            <w:tcW w:w="714" w:type="dxa"/>
            <w:tcBorders>
              <w:top w:val="nil"/>
              <w:left w:val="nil"/>
              <w:bottom w:val="nil"/>
              <w:right w:val="nil"/>
            </w:tcBorders>
            <w:shd w:val="clear" w:color="auto" w:fill="FFFFFF" w:themeFill="background1"/>
            <w:noWrap/>
            <w:vAlign w:val="center"/>
            <w:hideMark/>
          </w:tcPr>
          <w:p w14:paraId="7CD613A5" w14:textId="12658725"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rPr>
              <w:t>0.42</w:t>
            </w:r>
          </w:p>
        </w:tc>
      </w:tr>
      <w:tr w:rsidR="006B754F" w:rsidRPr="006B754F" w14:paraId="7AA67F13" w14:textId="77777777" w:rsidTr="00975946">
        <w:trPr>
          <w:trHeight w:val="300"/>
        </w:trPr>
        <w:tc>
          <w:tcPr>
            <w:tcW w:w="2697" w:type="dxa"/>
            <w:gridSpan w:val="3"/>
            <w:tcBorders>
              <w:left w:val="nil"/>
              <w:bottom w:val="single" w:sz="8" w:space="0" w:color="auto"/>
              <w:right w:val="nil"/>
            </w:tcBorders>
            <w:shd w:val="clear" w:color="auto" w:fill="F2F2F2" w:themeFill="background1" w:themeFillShade="F2"/>
            <w:noWrap/>
            <w:vAlign w:val="center"/>
            <w:hideMark/>
          </w:tcPr>
          <w:p w14:paraId="4C655DD6" w14:textId="450A922E" w:rsidR="006B754F" w:rsidRPr="006B754F" w:rsidRDefault="006B754F" w:rsidP="006B754F">
            <w:pPr>
              <w:spacing w:after="0"/>
              <w:ind w:left="0" w:hanging="2"/>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Minimum</w:t>
            </w:r>
          </w:p>
        </w:tc>
        <w:tc>
          <w:tcPr>
            <w:tcW w:w="806" w:type="dxa"/>
            <w:tcBorders>
              <w:top w:val="nil"/>
              <w:left w:val="nil"/>
              <w:bottom w:val="single" w:sz="8" w:space="0" w:color="auto"/>
              <w:right w:val="nil"/>
            </w:tcBorders>
            <w:shd w:val="clear" w:color="auto" w:fill="F2F2F2" w:themeFill="background1" w:themeFillShade="F2"/>
            <w:noWrap/>
            <w:vAlign w:val="center"/>
            <w:hideMark/>
          </w:tcPr>
          <w:p w14:paraId="67CDB674" w14:textId="530B3EB3"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1.00</w:t>
            </w:r>
          </w:p>
        </w:tc>
        <w:tc>
          <w:tcPr>
            <w:tcW w:w="786" w:type="dxa"/>
            <w:tcBorders>
              <w:top w:val="nil"/>
              <w:left w:val="nil"/>
              <w:bottom w:val="single" w:sz="8" w:space="0" w:color="auto"/>
              <w:right w:val="nil"/>
            </w:tcBorders>
            <w:shd w:val="clear" w:color="auto" w:fill="F2F2F2" w:themeFill="background1" w:themeFillShade="F2"/>
            <w:noWrap/>
            <w:vAlign w:val="center"/>
            <w:hideMark/>
          </w:tcPr>
          <w:p w14:paraId="59DD6691" w14:textId="22009A8F"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rPr>
              <w:t>15.53</w:t>
            </w:r>
          </w:p>
        </w:tc>
        <w:tc>
          <w:tcPr>
            <w:tcW w:w="850" w:type="dxa"/>
            <w:tcBorders>
              <w:top w:val="nil"/>
              <w:left w:val="nil"/>
              <w:bottom w:val="single" w:sz="8" w:space="0" w:color="auto"/>
              <w:right w:val="nil"/>
            </w:tcBorders>
            <w:shd w:val="clear" w:color="auto" w:fill="F2F2F2" w:themeFill="background1" w:themeFillShade="F2"/>
            <w:noWrap/>
            <w:vAlign w:val="center"/>
            <w:hideMark/>
          </w:tcPr>
          <w:p w14:paraId="1DB4AE22" w14:textId="152BE4E3"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rPr>
              <w:t>85.00</w:t>
            </w:r>
          </w:p>
        </w:tc>
        <w:tc>
          <w:tcPr>
            <w:tcW w:w="764" w:type="dxa"/>
            <w:tcBorders>
              <w:top w:val="nil"/>
              <w:left w:val="nil"/>
              <w:bottom w:val="single" w:sz="8" w:space="0" w:color="auto"/>
              <w:right w:val="nil"/>
            </w:tcBorders>
            <w:shd w:val="clear" w:color="auto" w:fill="F2F2F2" w:themeFill="background1" w:themeFillShade="F2"/>
            <w:noWrap/>
            <w:vAlign w:val="center"/>
            <w:hideMark/>
          </w:tcPr>
          <w:p w14:paraId="3788FF95" w14:textId="10A4059E"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rPr>
              <w:t>0.30</w:t>
            </w:r>
          </w:p>
        </w:tc>
        <w:tc>
          <w:tcPr>
            <w:tcW w:w="714" w:type="dxa"/>
            <w:tcBorders>
              <w:top w:val="nil"/>
              <w:left w:val="nil"/>
              <w:bottom w:val="single" w:sz="8" w:space="0" w:color="auto"/>
              <w:right w:val="nil"/>
            </w:tcBorders>
            <w:shd w:val="clear" w:color="auto" w:fill="F2F2F2" w:themeFill="background1" w:themeFillShade="F2"/>
            <w:noWrap/>
            <w:vAlign w:val="center"/>
            <w:hideMark/>
          </w:tcPr>
          <w:p w14:paraId="1DC1B792" w14:textId="42999EFA"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1.00</w:t>
            </w:r>
          </w:p>
        </w:tc>
        <w:tc>
          <w:tcPr>
            <w:tcW w:w="844" w:type="dxa"/>
            <w:tcBorders>
              <w:top w:val="nil"/>
              <w:left w:val="nil"/>
              <w:bottom w:val="single" w:sz="8" w:space="0" w:color="auto"/>
              <w:right w:val="nil"/>
            </w:tcBorders>
            <w:shd w:val="clear" w:color="auto" w:fill="F2F2F2" w:themeFill="background1" w:themeFillShade="F2"/>
            <w:noWrap/>
            <w:vAlign w:val="center"/>
            <w:hideMark/>
          </w:tcPr>
          <w:p w14:paraId="2BAC179C" w14:textId="097C4F7C"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rPr>
              <w:t>14.70</w:t>
            </w:r>
          </w:p>
        </w:tc>
        <w:tc>
          <w:tcPr>
            <w:tcW w:w="813" w:type="dxa"/>
            <w:tcBorders>
              <w:top w:val="nil"/>
              <w:left w:val="nil"/>
              <w:bottom w:val="single" w:sz="8" w:space="0" w:color="auto"/>
              <w:right w:val="nil"/>
            </w:tcBorders>
            <w:shd w:val="clear" w:color="auto" w:fill="F2F2F2" w:themeFill="background1" w:themeFillShade="F2"/>
            <w:noWrap/>
            <w:vAlign w:val="center"/>
            <w:hideMark/>
          </w:tcPr>
          <w:p w14:paraId="04127EA9" w14:textId="45D5C16F"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rPr>
              <w:t>84.00</w:t>
            </w:r>
          </w:p>
        </w:tc>
        <w:tc>
          <w:tcPr>
            <w:tcW w:w="714" w:type="dxa"/>
            <w:tcBorders>
              <w:top w:val="nil"/>
              <w:left w:val="nil"/>
              <w:bottom w:val="single" w:sz="8" w:space="0" w:color="auto"/>
              <w:right w:val="nil"/>
            </w:tcBorders>
            <w:shd w:val="clear" w:color="auto" w:fill="F2F2F2" w:themeFill="background1" w:themeFillShade="F2"/>
            <w:noWrap/>
            <w:vAlign w:val="center"/>
            <w:hideMark/>
          </w:tcPr>
          <w:p w14:paraId="5491DBB5" w14:textId="7B121FE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rPr>
              <w:t>0.27</w:t>
            </w:r>
          </w:p>
        </w:tc>
      </w:tr>
    </w:tbl>
    <w:tbl>
      <w:tblPr>
        <w:tblStyle w:val="TableGrid"/>
        <w:tblW w:w="11064" w:type="dxa"/>
        <w:tblInd w:w="-11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6"/>
        <w:gridCol w:w="2766"/>
        <w:gridCol w:w="2766"/>
        <w:gridCol w:w="2766"/>
      </w:tblGrid>
      <w:tr w:rsidR="006B754F" w14:paraId="37D0AE31" w14:textId="77777777" w:rsidTr="006B754F">
        <w:trPr>
          <w:trHeight w:val="3134"/>
        </w:trPr>
        <w:tc>
          <w:tcPr>
            <w:tcW w:w="2766" w:type="dxa"/>
          </w:tcPr>
          <w:p w14:paraId="349404F5" w14:textId="77777777" w:rsidR="006B754F" w:rsidRDefault="006B754F" w:rsidP="008D65A4">
            <w:pPr>
              <w:spacing w:before="240"/>
              <w:ind w:left="0" w:hanging="2"/>
              <w:rPr>
                <w:rFonts w:ascii="Cambria" w:eastAsia="Cambria" w:hAnsi="Cambria" w:cs="Cambria"/>
                <w:bCs/>
                <w:lang w:val="en-GB"/>
              </w:rPr>
            </w:pPr>
            <w:r>
              <w:rPr>
                <w:noProof/>
              </w:rPr>
              <w:lastRenderedPageBreak/>
              <w:drawing>
                <wp:inline distT="0" distB="0" distL="0" distR="0" wp14:anchorId="5BB76C22" wp14:editId="17542D64">
                  <wp:extent cx="1616400" cy="1890000"/>
                  <wp:effectExtent l="0" t="0" r="3175" b="15240"/>
                  <wp:docPr id="2025617138" name="Chart 1">
                    <a:extLst xmlns:a="http://schemas.openxmlformats.org/drawingml/2006/main">
                      <a:ext uri="{FF2B5EF4-FFF2-40B4-BE49-F238E27FC236}">
                        <a16:creationId xmlns:a16="http://schemas.microsoft.com/office/drawing/2014/main" id="{86180EDB-B466-438A-959C-39320EEF02B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14:paraId="2D8EE97F" w14:textId="77777777" w:rsidR="006B754F" w:rsidRPr="006B754F" w:rsidRDefault="006B754F" w:rsidP="006B754F">
            <w:pPr>
              <w:ind w:left="0" w:hanging="2"/>
              <w:jc w:val="center"/>
              <w:rPr>
                <w:rFonts w:ascii="Cambria" w:eastAsia="Cambria" w:hAnsi="Cambria" w:cs="Cambria"/>
                <w:bCs/>
                <w:sz w:val="16"/>
                <w:szCs w:val="16"/>
                <w:lang w:val="en-GB"/>
              </w:rPr>
            </w:pPr>
            <w:r w:rsidRPr="006B754F">
              <w:rPr>
                <w:rFonts w:ascii="Cambria" w:eastAsia="Cambria" w:hAnsi="Cambria" w:cs="Cambria"/>
                <w:bCs/>
                <w:sz w:val="16"/>
                <w:szCs w:val="16"/>
                <w:lang w:val="en-GB"/>
              </w:rPr>
              <w:t>(a)</w:t>
            </w:r>
          </w:p>
        </w:tc>
        <w:tc>
          <w:tcPr>
            <w:tcW w:w="2766" w:type="dxa"/>
          </w:tcPr>
          <w:p w14:paraId="5EA07358" w14:textId="77777777" w:rsidR="006B754F" w:rsidRDefault="006B754F" w:rsidP="00D82B8D">
            <w:pPr>
              <w:spacing w:before="240"/>
              <w:ind w:left="0" w:hanging="2"/>
              <w:rPr>
                <w:rFonts w:ascii="Cambria" w:eastAsia="Cambria" w:hAnsi="Cambria" w:cs="Cambria"/>
                <w:bCs/>
                <w:lang w:val="en-GB"/>
              </w:rPr>
            </w:pPr>
            <w:r>
              <w:rPr>
                <w:noProof/>
              </w:rPr>
              <w:drawing>
                <wp:inline distT="0" distB="0" distL="0" distR="0" wp14:anchorId="2035D215" wp14:editId="1486ED8E">
                  <wp:extent cx="1616400" cy="1890000"/>
                  <wp:effectExtent l="0" t="0" r="3175" b="15240"/>
                  <wp:docPr id="665119459" name="Chart 1">
                    <a:extLst xmlns:a="http://schemas.openxmlformats.org/drawingml/2006/main">
                      <a:ext uri="{FF2B5EF4-FFF2-40B4-BE49-F238E27FC236}">
                        <a16:creationId xmlns:a16="http://schemas.microsoft.com/office/drawing/2014/main" id="{C7C7ACC5-3223-4FDC-83F9-2D8A4351CEB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14:paraId="4C75D860" w14:textId="77777777" w:rsidR="006B754F" w:rsidRPr="006B754F" w:rsidRDefault="006B754F" w:rsidP="006B754F">
            <w:pPr>
              <w:ind w:left="0" w:hanging="2"/>
              <w:jc w:val="center"/>
              <w:rPr>
                <w:rFonts w:ascii="Cambria" w:eastAsia="Cambria" w:hAnsi="Cambria" w:cs="Cambria"/>
                <w:bCs/>
                <w:sz w:val="16"/>
                <w:szCs w:val="16"/>
                <w:lang w:val="en-GB"/>
              </w:rPr>
            </w:pPr>
            <w:r w:rsidRPr="006B754F">
              <w:rPr>
                <w:rFonts w:ascii="Cambria" w:eastAsia="Cambria" w:hAnsi="Cambria" w:cs="Cambria"/>
                <w:bCs/>
                <w:sz w:val="16"/>
                <w:szCs w:val="16"/>
                <w:lang w:val="en-GB"/>
              </w:rPr>
              <w:t>(b)</w:t>
            </w:r>
          </w:p>
        </w:tc>
        <w:tc>
          <w:tcPr>
            <w:tcW w:w="2766" w:type="dxa"/>
          </w:tcPr>
          <w:p w14:paraId="5FFAB9CF" w14:textId="77777777" w:rsidR="006B754F" w:rsidRDefault="006B754F" w:rsidP="00D82B8D">
            <w:pPr>
              <w:spacing w:before="240"/>
              <w:ind w:left="0" w:hanging="2"/>
              <w:rPr>
                <w:rFonts w:ascii="Cambria" w:eastAsia="Cambria" w:hAnsi="Cambria" w:cs="Cambria"/>
                <w:bCs/>
                <w:lang w:val="en-GB"/>
              </w:rPr>
            </w:pPr>
            <w:r>
              <w:rPr>
                <w:noProof/>
              </w:rPr>
              <w:drawing>
                <wp:inline distT="0" distB="0" distL="0" distR="0" wp14:anchorId="7FF561B9" wp14:editId="135E0FC6">
                  <wp:extent cx="1616400" cy="1890000"/>
                  <wp:effectExtent l="0" t="0" r="3175" b="15240"/>
                  <wp:docPr id="675875351" name="Chart 1">
                    <a:extLst xmlns:a="http://schemas.openxmlformats.org/drawingml/2006/main">
                      <a:ext uri="{FF2B5EF4-FFF2-40B4-BE49-F238E27FC236}">
                        <a16:creationId xmlns:a16="http://schemas.microsoft.com/office/drawing/2014/main" id="{2118A376-0258-4E73-BB55-6BC38EF4D6C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14:paraId="30B7195C" w14:textId="77777777" w:rsidR="006B754F" w:rsidRPr="006B754F" w:rsidRDefault="006B754F" w:rsidP="006B754F">
            <w:pPr>
              <w:ind w:left="0" w:hanging="2"/>
              <w:jc w:val="center"/>
              <w:rPr>
                <w:rFonts w:ascii="Cambria" w:eastAsia="Cambria" w:hAnsi="Cambria" w:cs="Cambria"/>
                <w:bCs/>
                <w:sz w:val="16"/>
                <w:szCs w:val="16"/>
                <w:lang w:val="en-GB"/>
              </w:rPr>
            </w:pPr>
            <w:r w:rsidRPr="006B754F">
              <w:rPr>
                <w:rFonts w:ascii="Cambria" w:eastAsia="Cambria" w:hAnsi="Cambria" w:cs="Cambria"/>
                <w:bCs/>
                <w:sz w:val="16"/>
                <w:szCs w:val="16"/>
                <w:lang w:val="en-GB"/>
              </w:rPr>
              <w:t>(c)</w:t>
            </w:r>
          </w:p>
        </w:tc>
        <w:tc>
          <w:tcPr>
            <w:tcW w:w="2766" w:type="dxa"/>
          </w:tcPr>
          <w:p w14:paraId="7B54AC1F" w14:textId="77777777" w:rsidR="006B754F" w:rsidRDefault="006B754F" w:rsidP="00D82B8D">
            <w:pPr>
              <w:spacing w:before="240"/>
              <w:ind w:left="0" w:hanging="2"/>
              <w:rPr>
                <w:rFonts w:ascii="Cambria" w:eastAsia="Cambria" w:hAnsi="Cambria" w:cs="Cambria"/>
                <w:bCs/>
                <w:lang w:val="en-GB"/>
              </w:rPr>
            </w:pPr>
            <w:r>
              <w:rPr>
                <w:noProof/>
              </w:rPr>
              <w:drawing>
                <wp:inline distT="0" distB="0" distL="0" distR="0" wp14:anchorId="060270AF" wp14:editId="1A8FEC7C">
                  <wp:extent cx="1616400" cy="1890000"/>
                  <wp:effectExtent l="0" t="0" r="3175" b="15240"/>
                  <wp:docPr id="477816890" name="Chart 1">
                    <a:extLst xmlns:a="http://schemas.openxmlformats.org/drawingml/2006/main">
                      <a:ext uri="{FF2B5EF4-FFF2-40B4-BE49-F238E27FC236}">
                        <a16:creationId xmlns:a16="http://schemas.microsoft.com/office/drawing/2014/main" id="{5554907C-9AE8-4B75-9FE1-28B258A875A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14:paraId="7A5C08F6" w14:textId="77777777" w:rsidR="006B754F" w:rsidRPr="006B754F" w:rsidRDefault="006B754F" w:rsidP="006B754F">
            <w:pPr>
              <w:keepNext/>
              <w:ind w:left="0" w:hanging="2"/>
              <w:jc w:val="center"/>
              <w:rPr>
                <w:rFonts w:ascii="Cambria" w:eastAsia="Cambria" w:hAnsi="Cambria" w:cs="Cambria"/>
                <w:bCs/>
                <w:sz w:val="16"/>
                <w:szCs w:val="16"/>
                <w:lang w:val="en-GB"/>
              </w:rPr>
            </w:pPr>
            <w:r w:rsidRPr="006B754F">
              <w:rPr>
                <w:rFonts w:ascii="Cambria" w:eastAsia="Cambria" w:hAnsi="Cambria" w:cs="Cambria"/>
                <w:bCs/>
                <w:sz w:val="16"/>
                <w:szCs w:val="16"/>
                <w:lang w:val="en-GB"/>
              </w:rPr>
              <w:t>(d)</w:t>
            </w:r>
          </w:p>
        </w:tc>
      </w:tr>
    </w:tbl>
    <w:p w14:paraId="4A677A7B" w14:textId="5D0E9688" w:rsidR="006B754F" w:rsidRDefault="006B754F" w:rsidP="00D82B8D">
      <w:pPr>
        <w:keepNext/>
        <w:pBdr>
          <w:top w:val="nil"/>
          <w:left w:val="nil"/>
          <w:bottom w:val="nil"/>
          <w:right w:val="nil"/>
          <w:between w:val="nil"/>
        </w:pBdr>
        <w:spacing w:line="240" w:lineRule="auto"/>
        <w:ind w:leftChars="0" w:left="0" w:firstLineChars="0" w:firstLine="0"/>
        <w:jc w:val="center"/>
        <w:rPr>
          <w:rFonts w:ascii="Arial" w:eastAsia="Arial" w:hAnsi="Arial" w:cs="Arial"/>
          <w:color w:val="000000"/>
          <w:sz w:val="20"/>
          <w:szCs w:val="20"/>
        </w:rPr>
      </w:pPr>
      <w:r>
        <w:rPr>
          <w:rFonts w:ascii="Arial" w:eastAsia="Arial" w:hAnsi="Arial" w:cs="Arial"/>
          <w:color w:val="000000"/>
          <w:sz w:val="20"/>
          <w:szCs w:val="20"/>
        </w:rPr>
        <w:t xml:space="preserve">Figure 8. </w:t>
      </w:r>
      <w:r w:rsidRPr="006B754F">
        <w:rPr>
          <w:rFonts w:ascii="Arial" w:eastAsia="Arial" w:hAnsi="Arial" w:cs="Arial"/>
          <w:color w:val="000000"/>
          <w:sz w:val="20"/>
          <w:szCs w:val="20"/>
        </w:rPr>
        <w:t>Pollution Control Simulations Results in Rainy Season for (a) DO, (b) BOD, (c) COD, and (d) Copper Parameter</w:t>
      </w:r>
    </w:p>
    <w:tbl>
      <w:tblPr>
        <w:tblStyle w:val="TableGrid"/>
        <w:tblW w:w="11064" w:type="dxa"/>
        <w:tblInd w:w="-11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6"/>
        <w:gridCol w:w="2766"/>
        <w:gridCol w:w="2766"/>
        <w:gridCol w:w="2766"/>
      </w:tblGrid>
      <w:tr w:rsidR="006B754F" w:rsidRPr="006B754F" w14:paraId="688DEE2D" w14:textId="77777777" w:rsidTr="00126FBD">
        <w:tc>
          <w:tcPr>
            <w:tcW w:w="2766" w:type="dxa"/>
          </w:tcPr>
          <w:p w14:paraId="6FE1B087" w14:textId="77777777" w:rsidR="006B754F" w:rsidRPr="006B754F" w:rsidRDefault="006B754F" w:rsidP="00126FBD">
            <w:pPr>
              <w:ind w:left="0" w:hanging="2"/>
              <w:rPr>
                <w:rFonts w:ascii="Arial" w:eastAsia="Cambria" w:hAnsi="Arial" w:cs="Arial"/>
                <w:bCs/>
                <w:sz w:val="10"/>
                <w:szCs w:val="10"/>
                <w:lang w:val="en-GB"/>
              </w:rPr>
            </w:pPr>
            <w:r w:rsidRPr="006B754F">
              <w:rPr>
                <w:rFonts w:ascii="Arial" w:hAnsi="Arial" w:cs="Arial"/>
                <w:noProof/>
              </w:rPr>
              <w:drawing>
                <wp:inline distT="0" distB="0" distL="0" distR="0" wp14:anchorId="27F7171B" wp14:editId="4D3E29B8">
                  <wp:extent cx="1616400" cy="1890000"/>
                  <wp:effectExtent l="0" t="0" r="3175" b="15240"/>
                  <wp:docPr id="2002128809" name="Chart 1">
                    <a:extLst xmlns:a="http://schemas.openxmlformats.org/drawingml/2006/main">
                      <a:ext uri="{FF2B5EF4-FFF2-40B4-BE49-F238E27FC236}">
                        <a16:creationId xmlns:a16="http://schemas.microsoft.com/office/drawing/2014/main" id="{B407E5DB-0AD1-4BDC-9BE5-63A309A32FE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14:paraId="403E2A32" w14:textId="77777777" w:rsidR="006B754F" w:rsidRPr="006B754F" w:rsidRDefault="006B754F" w:rsidP="00126FBD">
            <w:pPr>
              <w:ind w:left="0" w:hanging="2"/>
              <w:jc w:val="center"/>
              <w:rPr>
                <w:rFonts w:ascii="Arial" w:eastAsia="Cambria" w:hAnsi="Arial" w:cs="Arial"/>
                <w:bCs/>
                <w:sz w:val="18"/>
                <w:szCs w:val="18"/>
                <w:lang w:val="en-GB"/>
              </w:rPr>
            </w:pPr>
            <w:r w:rsidRPr="006B754F">
              <w:rPr>
                <w:rFonts w:ascii="Arial" w:eastAsia="Cambria" w:hAnsi="Arial" w:cs="Arial"/>
                <w:bCs/>
                <w:sz w:val="18"/>
                <w:szCs w:val="18"/>
                <w:lang w:val="en-GB"/>
              </w:rPr>
              <w:t>(a)</w:t>
            </w:r>
          </w:p>
        </w:tc>
        <w:tc>
          <w:tcPr>
            <w:tcW w:w="2766" w:type="dxa"/>
          </w:tcPr>
          <w:p w14:paraId="2BE5A372" w14:textId="77777777" w:rsidR="006B754F" w:rsidRPr="006B754F" w:rsidRDefault="006B754F" w:rsidP="00126FBD">
            <w:pPr>
              <w:ind w:left="0" w:hanging="2"/>
              <w:rPr>
                <w:rFonts w:ascii="Arial" w:eastAsia="Cambria" w:hAnsi="Arial" w:cs="Arial"/>
                <w:bCs/>
                <w:sz w:val="16"/>
                <w:szCs w:val="16"/>
                <w:lang w:val="en-GB"/>
              </w:rPr>
            </w:pPr>
            <w:r w:rsidRPr="006B754F">
              <w:rPr>
                <w:rFonts w:ascii="Arial" w:hAnsi="Arial" w:cs="Arial"/>
                <w:noProof/>
              </w:rPr>
              <w:drawing>
                <wp:inline distT="0" distB="0" distL="0" distR="0" wp14:anchorId="64D3598C" wp14:editId="1B1F4AAB">
                  <wp:extent cx="1616400" cy="1890000"/>
                  <wp:effectExtent l="0" t="0" r="3175" b="15240"/>
                  <wp:docPr id="1230625471" name="Chart 1">
                    <a:extLst xmlns:a="http://schemas.openxmlformats.org/drawingml/2006/main">
                      <a:ext uri="{FF2B5EF4-FFF2-40B4-BE49-F238E27FC236}">
                        <a16:creationId xmlns:a16="http://schemas.microsoft.com/office/drawing/2014/main" id="{71FA89E8-8E87-4DA4-A3AD-98815399A79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14:paraId="23BC19BE" w14:textId="77777777" w:rsidR="006B754F" w:rsidRPr="006B754F" w:rsidRDefault="006B754F" w:rsidP="006B754F">
            <w:pPr>
              <w:ind w:left="0" w:hanging="2"/>
              <w:jc w:val="center"/>
              <w:rPr>
                <w:rFonts w:ascii="Arial" w:eastAsia="Cambria" w:hAnsi="Arial" w:cs="Arial"/>
                <w:bCs/>
                <w:sz w:val="18"/>
                <w:szCs w:val="18"/>
                <w:lang w:val="en-GB"/>
              </w:rPr>
            </w:pPr>
            <w:r w:rsidRPr="006B754F">
              <w:rPr>
                <w:rFonts w:ascii="Arial" w:eastAsia="Cambria" w:hAnsi="Arial" w:cs="Arial"/>
                <w:bCs/>
                <w:sz w:val="18"/>
                <w:szCs w:val="18"/>
                <w:lang w:val="en-GB"/>
              </w:rPr>
              <w:t>(b)</w:t>
            </w:r>
          </w:p>
        </w:tc>
        <w:tc>
          <w:tcPr>
            <w:tcW w:w="2766" w:type="dxa"/>
          </w:tcPr>
          <w:p w14:paraId="023452E3" w14:textId="77777777" w:rsidR="006B754F" w:rsidRPr="006B754F" w:rsidRDefault="006B754F" w:rsidP="00126FBD">
            <w:pPr>
              <w:ind w:left="0" w:hanging="2"/>
              <w:rPr>
                <w:rFonts w:ascii="Arial" w:eastAsia="Cambria" w:hAnsi="Arial" w:cs="Arial"/>
                <w:bCs/>
                <w:sz w:val="16"/>
                <w:szCs w:val="16"/>
                <w:lang w:val="en-GB"/>
              </w:rPr>
            </w:pPr>
            <w:r w:rsidRPr="006B754F">
              <w:rPr>
                <w:rFonts w:ascii="Arial" w:hAnsi="Arial" w:cs="Arial"/>
                <w:noProof/>
              </w:rPr>
              <w:drawing>
                <wp:inline distT="0" distB="0" distL="0" distR="0" wp14:anchorId="1A8050CC" wp14:editId="47A8714F">
                  <wp:extent cx="1616400" cy="1890000"/>
                  <wp:effectExtent l="0" t="0" r="3175" b="15240"/>
                  <wp:docPr id="988528462" name="Chart 1">
                    <a:extLst xmlns:a="http://schemas.openxmlformats.org/drawingml/2006/main">
                      <a:ext uri="{FF2B5EF4-FFF2-40B4-BE49-F238E27FC236}">
                        <a16:creationId xmlns:a16="http://schemas.microsoft.com/office/drawing/2014/main" id="{F9C6F339-FD48-4035-A0FA-BB2360DAF3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14:paraId="2C5C7F2B" w14:textId="77777777" w:rsidR="006B754F" w:rsidRPr="006B754F" w:rsidRDefault="006B754F" w:rsidP="006B754F">
            <w:pPr>
              <w:ind w:left="0" w:hanging="2"/>
              <w:jc w:val="center"/>
              <w:rPr>
                <w:rFonts w:ascii="Arial" w:eastAsia="Cambria" w:hAnsi="Arial" w:cs="Arial"/>
                <w:bCs/>
                <w:sz w:val="18"/>
                <w:szCs w:val="18"/>
                <w:lang w:val="en-GB"/>
              </w:rPr>
            </w:pPr>
            <w:r w:rsidRPr="006B754F">
              <w:rPr>
                <w:rFonts w:ascii="Arial" w:eastAsia="Cambria" w:hAnsi="Arial" w:cs="Arial"/>
                <w:bCs/>
                <w:sz w:val="18"/>
                <w:szCs w:val="18"/>
                <w:lang w:val="en-GB"/>
              </w:rPr>
              <w:t>(c)</w:t>
            </w:r>
          </w:p>
        </w:tc>
        <w:tc>
          <w:tcPr>
            <w:tcW w:w="2766" w:type="dxa"/>
          </w:tcPr>
          <w:p w14:paraId="73877102" w14:textId="77777777" w:rsidR="006B754F" w:rsidRPr="006B754F" w:rsidRDefault="006B754F" w:rsidP="00126FBD">
            <w:pPr>
              <w:keepNext/>
              <w:ind w:left="0" w:hanging="2"/>
              <w:rPr>
                <w:rFonts w:ascii="Arial" w:eastAsia="Cambria" w:hAnsi="Arial" w:cs="Arial"/>
                <w:bCs/>
                <w:sz w:val="16"/>
                <w:szCs w:val="16"/>
                <w:lang w:val="en-GB"/>
              </w:rPr>
            </w:pPr>
            <w:r w:rsidRPr="006B754F">
              <w:rPr>
                <w:rFonts w:ascii="Arial" w:hAnsi="Arial" w:cs="Arial"/>
                <w:noProof/>
              </w:rPr>
              <w:drawing>
                <wp:inline distT="0" distB="0" distL="0" distR="0" wp14:anchorId="240FBD51" wp14:editId="0ADE8932">
                  <wp:extent cx="1616400" cy="1890000"/>
                  <wp:effectExtent l="0" t="0" r="3175" b="15240"/>
                  <wp:docPr id="124572167" name="Chart 1">
                    <a:extLst xmlns:a="http://schemas.openxmlformats.org/drawingml/2006/main">
                      <a:ext uri="{FF2B5EF4-FFF2-40B4-BE49-F238E27FC236}">
                        <a16:creationId xmlns:a16="http://schemas.microsoft.com/office/drawing/2014/main" id="{8F61BEBC-C86C-48D9-9802-B5BFEBE3210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14:paraId="2E074925" w14:textId="77777777" w:rsidR="006B754F" w:rsidRPr="006B754F" w:rsidRDefault="006B754F" w:rsidP="006B754F">
            <w:pPr>
              <w:keepNext/>
              <w:ind w:left="0" w:hanging="2"/>
              <w:jc w:val="center"/>
              <w:rPr>
                <w:rFonts w:ascii="Arial" w:eastAsia="Cambria" w:hAnsi="Arial" w:cs="Arial"/>
                <w:bCs/>
                <w:sz w:val="18"/>
                <w:szCs w:val="18"/>
                <w:lang w:val="en-GB"/>
              </w:rPr>
            </w:pPr>
            <w:r w:rsidRPr="006B754F">
              <w:rPr>
                <w:rFonts w:ascii="Arial" w:eastAsia="Cambria" w:hAnsi="Arial" w:cs="Arial"/>
                <w:bCs/>
                <w:sz w:val="18"/>
                <w:szCs w:val="18"/>
                <w:lang w:val="en-GB"/>
              </w:rPr>
              <w:t>(d)</w:t>
            </w:r>
          </w:p>
        </w:tc>
      </w:tr>
    </w:tbl>
    <w:p w14:paraId="1ED552D5" w14:textId="12F9A488" w:rsidR="006B754F" w:rsidRDefault="006B754F" w:rsidP="006B754F">
      <w:pPr>
        <w:keepNext/>
        <w:pBdr>
          <w:top w:val="nil"/>
          <w:left w:val="nil"/>
          <w:bottom w:val="nil"/>
          <w:right w:val="nil"/>
          <w:between w:val="nil"/>
        </w:pBdr>
        <w:spacing w:after="0" w:line="240" w:lineRule="auto"/>
        <w:ind w:leftChars="0" w:left="0" w:firstLineChars="0" w:firstLine="0"/>
        <w:jc w:val="center"/>
        <w:rPr>
          <w:rFonts w:ascii="Arial" w:eastAsia="Arial" w:hAnsi="Arial" w:cs="Arial"/>
          <w:color w:val="000000"/>
          <w:sz w:val="20"/>
          <w:szCs w:val="20"/>
        </w:rPr>
      </w:pPr>
      <w:r>
        <w:rPr>
          <w:rFonts w:ascii="Arial" w:eastAsia="Arial" w:hAnsi="Arial" w:cs="Arial"/>
          <w:color w:val="000000"/>
          <w:sz w:val="20"/>
          <w:szCs w:val="20"/>
        </w:rPr>
        <w:t xml:space="preserve">Figure 9. </w:t>
      </w:r>
      <w:r w:rsidRPr="006B754F">
        <w:rPr>
          <w:rFonts w:ascii="Arial" w:eastAsia="Arial" w:hAnsi="Arial" w:cs="Arial"/>
          <w:color w:val="000000"/>
          <w:sz w:val="20"/>
          <w:szCs w:val="20"/>
        </w:rPr>
        <w:t>Pollution Control Simulations Results in Dry Season for (a) DO, (b) BOD, (c) COD, and (d) Copper Parameter</w:t>
      </w:r>
    </w:p>
    <w:p w14:paraId="14023ABC" w14:textId="77777777" w:rsidR="006B754F" w:rsidRDefault="006B754F" w:rsidP="00FB3EFE">
      <w:pPr>
        <w:spacing w:after="0" w:line="240" w:lineRule="auto"/>
        <w:ind w:left="0" w:hanging="2"/>
        <w:jc w:val="both"/>
        <w:rPr>
          <w:rFonts w:ascii="Arial" w:eastAsia="Arial" w:hAnsi="Arial" w:cs="Arial"/>
          <w:sz w:val="20"/>
          <w:szCs w:val="20"/>
        </w:rPr>
      </w:pPr>
    </w:p>
    <w:p w14:paraId="173BD7E7" w14:textId="77777777" w:rsidR="006B754F" w:rsidRDefault="006B754F" w:rsidP="006B754F">
      <w:pPr>
        <w:spacing w:after="0" w:line="240" w:lineRule="auto"/>
        <w:ind w:leftChars="0" w:left="0" w:firstLineChars="0" w:firstLine="0"/>
        <w:jc w:val="both"/>
        <w:rPr>
          <w:rFonts w:ascii="Arial" w:eastAsia="Arial" w:hAnsi="Arial" w:cs="Arial"/>
          <w:sz w:val="20"/>
          <w:szCs w:val="20"/>
        </w:rPr>
        <w:sectPr w:rsidR="006B754F" w:rsidSect="006B754F">
          <w:type w:val="continuous"/>
          <w:pgSz w:w="11907" w:h="16840"/>
          <w:pgMar w:top="1701" w:right="1134" w:bottom="1701" w:left="1701" w:header="680" w:footer="680" w:gutter="0"/>
          <w:cols w:space="284"/>
          <w:titlePg/>
        </w:sectPr>
      </w:pPr>
    </w:p>
    <w:p w14:paraId="061C6D01" w14:textId="7A27DF1E" w:rsidR="006B754F" w:rsidRDefault="006B754F" w:rsidP="00D82B8D">
      <w:pPr>
        <w:keepNext/>
        <w:pBdr>
          <w:top w:val="nil"/>
          <w:left w:val="nil"/>
          <w:bottom w:val="nil"/>
          <w:right w:val="nil"/>
          <w:between w:val="nil"/>
        </w:pBdr>
        <w:spacing w:after="0" w:line="240" w:lineRule="auto"/>
        <w:ind w:leftChars="0" w:left="0" w:firstLineChars="0" w:firstLine="0"/>
        <w:jc w:val="center"/>
        <w:rPr>
          <w:rFonts w:ascii="Arial" w:eastAsia="Arial" w:hAnsi="Arial" w:cs="Arial"/>
          <w:sz w:val="20"/>
          <w:szCs w:val="20"/>
        </w:rPr>
      </w:pPr>
      <w:r>
        <w:rPr>
          <w:rFonts w:ascii="Arial" w:eastAsia="Arial" w:hAnsi="Arial" w:cs="Arial"/>
          <w:color w:val="000000"/>
          <w:sz w:val="20"/>
          <w:szCs w:val="20"/>
        </w:rPr>
        <w:t xml:space="preserve">Table 11. </w:t>
      </w:r>
      <w:r w:rsidRPr="006B754F">
        <w:rPr>
          <w:rFonts w:ascii="Arial" w:hAnsi="Arial" w:cs="Arial"/>
          <w:sz w:val="20"/>
          <w:szCs w:val="20"/>
        </w:rPr>
        <w:t xml:space="preserve">Pollutant Carrying Capacity of the </w:t>
      </w:r>
      <w:proofErr w:type="spellStart"/>
      <w:r w:rsidRPr="006B754F">
        <w:rPr>
          <w:rFonts w:ascii="Arial" w:hAnsi="Arial" w:cs="Arial"/>
          <w:sz w:val="20"/>
          <w:szCs w:val="20"/>
        </w:rPr>
        <w:t>Cikakembang</w:t>
      </w:r>
      <w:proofErr w:type="spellEnd"/>
      <w:r w:rsidRPr="006B754F">
        <w:rPr>
          <w:rFonts w:ascii="Arial" w:hAnsi="Arial" w:cs="Arial"/>
          <w:sz w:val="20"/>
          <w:szCs w:val="20"/>
        </w:rPr>
        <w:t xml:space="preserve"> River</w:t>
      </w:r>
    </w:p>
    <w:tbl>
      <w:tblPr>
        <w:tblW w:w="4281" w:type="dxa"/>
        <w:tblLook w:val="04A0" w:firstRow="1" w:lastRow="0" w:firstColumn="1" w:lastColumn="0" w:noHBand="0" w:noVBand="1"/>
      </w:tblPr>
      <w:tblGrid>
        <w:gridCol w:w="1134"/>
        <w:gridCol w:w="1167"/>
        <w:gridCol w:w="1134"/>
        <w:gridCol w:w="846"/>
      </w:tblGrid>
      <w:tr w:rsidR="006B754F" w:rsidRPr="006B754F" w14:paraId="074D948F" w14:textId="77777777" w:rsidTr="00126FBD">
        <w:trPr>
          <w:trHeight w:val="300"/>
        </w:trPr>
        <w:tc>
          <w:tcPr>
            <w:tcW w:w="1134" w:type="dxa"/>
            <w:vMerge w:val="restart"/>
            <w:tcBorders>
              <w:top w:val="single" w:sz="8" w:space="0" w:color="auto"/>
              <w:left w:val="nil"/>
              <w:bottom w:val="single" w:sz="8" w:space="0" w:color="000000"/>
              <w:right w:val="nil"/>
            </w:tcBorders>
            <w:shd w:val="clear" w:color="auto" w:fill="auto"/>
            <w:vAlign w:val="center"/>
            <w:hideMark/>
          </w:tcPr>
          <w:p w14:paraId="79BBD20B" w14:textId="77777777" w:rsidR="006B754F" w:rsidRPr="006B754F" w:rsidRDefault="006B754F" w:rsidP="006B754F">
            <w:pPr>
              <w:spacing w:after="0"/>
              <w:ind w:left="0" w:hanging="2"/>
              <w:jc w:val="center"/>
              <w:rPr>
                <w:rFonts w:ascii="Arial" w:eastAsia="Times New Roman" w:hAnsi="Arial" w:cs="Arial"/>
                <w:b/>
                <w:bCs/>
                <w:color w:val="000000"/>
                <w:sz w:val="16"/>
                <w:szCs w:val="16"/>
                <w:lang w:val="en-GB"/>
              </w:rPr>
            </w:pPr>
            <w:r w:rsidRPr="006B754F">
              <w:rPr>
                <w:rFonts w:ascii="Arial" w:eastAsia="Times New Roman" w:hAnsi="Arial" w:cs="Arial"/>
                <w:b/>
                <w:bCs/>
                <w:color w:val="000000"/>
                <w:sz w:val="16"/>
                <w:szCs w:val="16"/>
                <w:lang w:val="en-GB"/>
              </w:rPr>
              <w:t>Season</w:t>
            </w:r>
          </w:p>
        </w:tc>
        <w:tc>
          <w:tcPr>
            <w:tcW w:w="3147" w:type="dxa"/>
            <w:gridSpan w:val="3"/>
            <w:tcBorders>
              <w:top w:val="single" w:sz="8" w:space="0" w:color="auto"/>
              <w:left w:val="nil"/>
              <w:bottom w:val="single" w:sz="8" w:space="0" w:color="auto"/>
              <w:right w:val="nil"/>
            </w:tcBorders>
            <w:shd w:val="clear" w:color="auto" w:fill="auto"/>
            <w:vAlign w:val="center"/>
            <w:hideMark/>
          </w:tcPr>
          <w:p w14:paraId="3575E7E2" w14:textId="77777777" w:rsidR="006B754F" w:rsidRPr="006B754F" w:rsidRDefault="006B754F" w:rsidP="006B754F">
            <w:pPr>
              <w:spacing w:after="0"/>
              <w:ind w:left="0" w:hanging="2"/>
              <w:jc w:val="center"/>
              <w:rPr>
                <w:rFonts w:ascii="Arial" w:eastAsia="Times New Roman" w:hAnsi="Arial" w:cs="Arial"/>
                <w:b/>
                <w:bCs/>
                <w:color w:val="000000"/>
                <w:sz w:val="16"/>
                <w:szCs w:val="16"/>
                <w:lang w:val="en-GB"/>
              </w:rPr>
            </w:pPr>
            <w:r w:rsidRPr="006B754F">
              <w:rPr>
                <w:rFonts w:ascii="Arial" w:eastAsia="Times New Roman" w:hAnsi="Arial" w:cs="Arial"/>
                <w:b/>
                <w:bCs/>
                <w:color w:val="000000"/>
                <w:sz w:val="16"/>
                <w:szCs w:val="16"/>
                <w:lang w:val="en-GB"/>
              </w:rPr>
              <w:t>PCC (kg/day)</w:t>
            </w:r>
          </w:p>
        </w:tc>
      </w:tr>
      <w:tr w:rsidR="006B754F" w:rsidRPr="006B754F" w14:paraId="48009C15" w14:textId="77777777" w:rsidTr="00126FBD">
        <w:trPr>
          <w:trHeight w:val="300"/>
        </w:trPr>
        <w:tc>
          <w:tcPr>
            <w:tcW w:w="1134" w:type="dxa"/>
            <w:vMerge/>
            <w:tcBorders>
              <w:top w:val="single" w:sz="8" w:space="0" w:color="auto"/>
              <w:left w:val="nil"/>
              <w:bottom w:val="single" w:sz="8" w:space="0" w:color="000000"/>
              <w:right w:val="nil"/>
            </w:tcBorders>
            <w:vAlign w:val="center"/>
            <w:hideMark/>
          </w:tcPr>
          <w:p w14:paraId="4648E20E" w14:textId="77777777" w:rsidR="006B754F" w:rsidRPr="006B754F" w:rsidRDefault="006B754F" w:rsidP="006B754F">
            <w:pPr>
              <w:spacing w:after="0"/>
              <w:ind w:left="0" w:hanging="2"/>
              <w:rPr>
                <w:rFonts w:ascii="Arial" w:eastAsia="Times New Roman" w:hAnsi="Arial" w:cs="Arial"/>
                <w:b/>
                <w:bCs/>
                <w:color w:val="000000"/>
                <w:sz w:val="16"/>
                <w:szCs w:val="16"/>
                <w:lang w:val="en-GB"/>
              </w:rPr>
            </w:pPr>
          </w:p>
        </w:tc>
        <w:tc>
          <w:tcPr>
            <w:tcW w:w="1167" w:type="dxa"/>
            <w:tcBorders>
              <w:top w:val="nil"/>
              <w:left w:val="nil"/>
              <w:bottom w:val="single" w:sz="8" w:space="0" w:color="auto"/>
              <w:right w:val="nil"/>
            </w:tcBorders>
            <w:shd w:val="clear" w:color="auto" w:fill="auto"/>
            <w:vAlign w:val="center"/>
            <w:hideMark/>
          </w:tcPr>
          <w:p w14:paraId="7514FE16" w14:textId="77777777" w:rsidR="006B754F" w:rsidRPr="006B754F" w:rsidRDefault="006B754F" w:rsidP="006B754F">
            <w:pPr>
              <w:spacing w:after="0"/>
              <w:ind w:left="0" w:hanging="2"/>
              <w:jc w:val="center"/>
              <w:rPr>
                <w:rFonts w:ascii="Arial" w:eastAsia="Times New Roman" w:hAnsi="Arial" w:cs="Arial"/>
                <w:b/>
                <w:bCs/>
                <w:color w:val="000000"/>
                <w:sz w:val="16"/>
                <w:szCs w:val="16"/>
                <w:lang w:val="en-GB"/>
              </w:rPr>
            </w:pPr>
            <w:r w:rsidRPr="006B754F">
              <w:rPr>
                <w:rFonts w:ascii="Arial" w:eastAsia="Times New Roman" w:hAnsi="Arial" w:cs="Arial"/>
                <w:b/>
                <w:bCs/>
                <w:color w:val="000000"/>
                <w:sz w:val="16"/>
                <w:szCs w:val="16"/>
                <w:lang w:val="en-GB"/>
              </w:rPr>
              <w:t>BOD</w:t>
            </w:r>
          </w:p>
        </w:tc>
        <w:tc>
          <w:tcPr>
            <w:tcW w:w="1134" w:type="dxa"/>
            <w:tcBorders>
              <w:top w:val="nil"/>
              <w:left w:val="nil"/>
              <w:bottom w:val="single" w:sz="8" w:space="0" w:color="auto"/>
              <w:right w:val="nil"/>
            </w:tcBorders>
            <w:shd w:val="clear" w:color="auto" w:fill="auto"/>
            <w:vAlign w:val="center"/>
            <w:hideMark/>
          </w:tcPr>
          <w:p w14:paraId="41648B60" w14:textId="77777777" w:rsidR="006B754F" w:rsidRPr="006B754F" w:rsidRDefault="006B754F" w:rsidP="006B754F">
            <w:pPr>
              <w:spacing w:after="0"/>
              <w:ind w:left="0" w:hanging="2"/>
              <w:jc w:val="center"/>
              <w:rPr>
                <w:rFonts w:ascii="Arial" w:eastAsia="Times New Roman" w:hAnsi="Arial" w:cs="Arial"/>
                <w:b/>
                <w:bCs/>
                <w:color w:val="000000"/>
                <w:sz w:val="16"/>
                <w:szCs w:val="16"/>
                <w:lang w:val="en-GB"/>
              </w:rPr>
            </w:pPr>
            <w:r w:rsidRPr="006B754F">
              <w:rPr>
                <w:rFonts w:ascii="Arial" w:eastAsia="Times New Roman" w:hAnsi="Arial" w:cs="Arial"/>
                <w:b/>
                <w:bCs/>
                <w:color w:val="000000"/>
                <w:sz w:val="16"/>
                <w:szCs w:val="16"/>
                <w:lang w:val="en-GB"/>
              </w:rPr>
              <w:t>COD</w:t>
            </w:r>
          </w:p>
        </w:tc>
        <w:tc>
          <w:tcPr>
            <w:tcW w:w="846" w:type="dxa"/>
            <w:tcBorders>
              <w:top w:val="nil"/>
              <w:left w:val="nil"/>
              <w:bottom w:val="single" w:sz="8" w:space="0" w:color="auto"/>
              <w:right w:val="nil"/>
            </w:tcBorders>
            <w:shd w:val="clear" w:color="auto" w:fill="auto"/>
            <w:vAlign w:val="center"/>
            <w:hideMark/>
          </w:tcPr>
          <w:p w14:paraId="4943C59B" w14:textId="77777777" w:rsidR="006B754F" w:rsidRPr="006B754F" w:rsidRDefault="006B754F" w:rsidP="006B754F">
            <w:pPr>
              <w:spacing w:after="0"/>
              <w:ind w:left="0" w:hanging="2"/>
              <w:jc w:val="center"/>
              <w:rPr>
                <w:rFonts w:ascii="Arial" w:eastAsia="Times New Roman" w:hAnsi="Arial" w:cs="Arial"/>
                <w:b/>
                <w:bCs/>
                <w:color w:val="000000"/>
                <w:sz w:val="16"/>
                <w:szCs w:val="16"/>
                <w:lang w:val="en-GB"/>
              </w:rPr>
            </w:pPr>
            <w:r w:rsidRPr="006B754F">
              <w:rPr>
                <w:rFonts w:ascii="Arial" w:eastAsia="Times New Roman" w:hAnsi="Arial" w:cs="Arial"/>
                <w:b/>
                <w:bCs/>
                <w:color w:val="000000"/>
                <w:sz w:val="16"/>
                <w:szCs w:val="16"/>
                <w:lang w:val="en-GB"/>
              </w:rPr>
              <w:t>Cu</w:t>
            </w:r>
          </w:p>
        </w:tc>
      </w:tr>
      <w:tr w:rsidR="006B754F" w:rsidRPr="006B754F" w14:paraId="2CBB2182" w14:textId="77777777" w:rsidTr="00126FBD">
        <w:trPr>
          <w:trHeight w:val="290"/>
        </w:trPr>
        <w:tc>
          <w:tcPr>
            <w:tcW w:w="1134" w:type="dxa"/>
            <w:tcBorders>
              <w:top w:val="nil"/>
              <w:left w:val="nil"/>
              <w:bottom w:val="nil"/>
              <w:right w:val="nil"/>
            </w:tcBorders>
            <w:shd w:val="clear" w:color="auto" w:fill="auto"/>
            <w:vAlign w:val="center"/>
            <w:hideMark/>
          </w:tcPr>
          <w:p w14:paraId="5A70A420"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Rainy</w:t>
            </w:r>
          </w:p>
        </w:tc>
        <w:tc>
          <w:tcPr>
            <w:tcW w:w="1167" w:type="dxa"/>
            <w:tcBorders>
              <w:top w:val="nil"/>
              <w:left w:val="nil"/>
              <w:bottom w:val="nil"/>
              <w:right w:val="nil"/>
            </w:tcBorders>
            <w:shd w:val="clear" w:color="auto" w:fill="auto"/>
            <w:vAlign w:val="center"/>
            <w:hideMark/>
          </w:tcPr>
          <w:p w14:paraId="2E5538F1"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rPr>
              <w:t>221.68</w:t>
            </w:r>
          </w:p>
        </w:tc>
        <w:tc>
          <w:tcPr>
            <w:tcW w:w="1134" w:type="dxa"/>
            <w:tcBorders>
              <w:top w:val="nil"/>
              <w:left w:val="nil"/>
              <w:bottom w:val="nil"/>
              <w:right w:val="nil"/>
            </w:tcBorders>
            <w:shd w:val="clear" w:color="auto" w:fill="auto"/>
            <w:vAlign w:val="center"/>
            <w:hideMark/>
          </w:tcPr>
          <w:p w14:paraId="16763CCF"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rPr>
              <w:t>1171.75</w:t>
            </w:r>
          </w:p>
        </w:tc>
        <w:tc>
          <w:tcPr>
            <w:tcW w:w="846" w:type="dxa"/>
            <w:tcBorders>
              <w:top w:val="nil"/>
              <w:left w:val="nil"/>
              <w:bottom w:val="nil"/>
              <w:right w:val="nil"/>
            </w:tcBorders>
            <w:shd w:val="clear" w:color="auto" w:fill="auto"/>
            <w:vAlign w:val="center"/>
            <w:hideMark/>
          </w:tcPr>
          <w:p w14:paraId="5107A112"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rPr>
              <w:t>4.61</w:t>
            </w:r>
          </w:p>
        </w:tc>
      </w:tr>
      <w:tr w:rsidR="006B754F" w:rsidRPr="006B754F" w14:paraId="32F507AE" w14:textId="77777777" w:rsidTr="00126FBD">
        <w:trPr>
          <w:trHeight w:val="300"/>
        </w:trPr>
        <w:tc>
          <w:tcPr>
            <w:tcW w:w="1134" w:type="dxa"/>
            <w:tcBorders>
              <w:top w:val="nil"/>
              <w:left w:val="nil"/>
              <w:bottom w:val="single" w:sz="8" w:space="0" w:color="auto"/>
              <w:right w:val="nil"/>
            </w:tcBorders>
            <w:shd w:val="clear" w:color="auto" w:fill="auto"/>
            <w:vAlign w:val="center"/>
            <w:hideMark/>
          </w:tcPr>
          <w:p w14:paraId="22013645"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lang w:val="en-GB"/>
              </w:rPr>
              <w:t>Dry</w:t>
            </w:r>
          </w:p>
        </w:tc>
        <w:tc>
          <w:tcPr>
            <w:tcW w:w="1167" w:type="dxa"/>
            <w:tcBorders>
              <w:top w:val="nil"/>
              <w:left w:val="nil"/>
              <w:bottom w:val="single" w:sz="8" w:space="0" w:color="auto"/>
              <w:right w:val="nil"/>
            </w:tcBorders>
            <w:shd w:val="clear" w:color="auto" w:fill="auto"/>
            <w:vAlign w:val="center"/>
            <w:hideMark/>
          </w:tcPr>
          <w:p w14:paraId="238BB7D4"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rPr>
              <w:t>199.43</w:t>
            </w:r>
          </w:p>
        </w:tc>
        <w:tc>
          <w:tcPr>
            <w:tcW w:w="1134" w:type="dxa"/>
            <w:tcBorders>
              <w:top w:val="nil"/>
              <w:left w:val="nil"/>
              <w:bottom w:val="single" w:sz="8" w:space="0" w:color="auto"/>
              <w:right w:val="nil"/>
            </w:tcBorders>
            <w:shd w:val="clear" w:color="auto" w:fill="auto"/>
            <w:vAlign w:val="center"/>
            <w:hideMark/>
          </w:tcPr>
          <w:p w14:paraId="421813C9"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rPr>
              <w:t>1103.80</w:t>
            </w:r>
          </w:p>
        </w:tc>
        <w:tc>
          <w:tcPr>
            <w:tcW w:w="846" w:type="dxa"/>
            <w:tcBorders>
              <w:top w:val="nil"/>
              <w:left w:val="nil"/>
              <w:bottom w:val="single" w:sz="8" w:space="0" w:color="auto"/>
              <w:right w:val="nil"/>
            </w:tcBorders>
            <w:shd w:val="clear" w:color="auto" w:fill="auto"/>
            <w:vAlign w:val="center"/>
            <w:hideMark/>
          </w:tcPr>
          <w:p w14:paraId="30BBE2B5" w14:textId="77777777" w:rsidR="006B754F" w:rsidRPr="006B754F" w:rsidRDefault="006B754F" w:rsidP="006B754F">
            <w:pPr>
              <w:spacing w:after="0"/>
              <w:ind w:left="0" w:hanging="2"/>
              <w:jc w:val="center"/>
              <w:rPr>
                <w:rFonts w:ascii="Arial" w:eastAsia="Times New Roman" w:hAnsi="Arial" w:cs="Arial"/>
                <w:color w:val="000000"/>
                <w:sz w:val="16"/>
                <w:szCs w:val="16"/>
                <w:lang w:val="en-GB"/>
              </w:rPr>
            </w:pPr>
            <w:r w:rsidRPr="006B754F">
              <w:rPr>
                <w:rFonts w:ascii="Arial" w:eastAsia="Times New Roman" w:hAnsi="Arial" w:cs="Arial"/>
                <w:color w:val="000000"/>
                <w:sz w:val="16"/>
                <w:szCs w:val="16"/>
              </w:rPr>
              <w:t>4.06</w:t>
            </w:r>
          </w:p>
        </w:tc>
      </w:tr>
    </w:tbl>
    <w:p w14:paraId="6E84FCF9" w14:textId="03525531" w:rsidR="006B754F" w:rsidRDefault="006B754F" w:rsidP="006B754F">
      <w:pPr>
        <w:spacing w:before="240" w:after="0" w:line="240" w:lineRule="auto"/>
        <w:ind w:left="0" w:hanging="2"/>
        <w:jc w:val="both"/>
        <w:rPr>
          <w:rFonts w:ascii="Arial" w:eastAsia="Arial" w:hAnsi="Arial" w:cs="Arial"/>
          <w:b/>
          <w:color w:val="1F4E79"/>
          <w:sz w:val="20"/>
          <w:szCs w:val="20"/>
        </w:rPr>
      </w:pPr>
      <w:r>
        <w:rPr>
          <w:rFonts w:ascii="Arial" w:eastAsia="Arial" w:hAnsi="Arial" w:cs="Arial"/>
          <w:b/>
          <w:color w:val="1F4E79"/>
          <w:sz w:val="20"/>
          <w:szCs w:val="20"/>
        </w:rPr>
        <w:t>Discussion</w:t>
      </w:r>
    </w:p>
    <w:p w14:paraId="6F16453E" w14:textId="77777777" w:rsidR="006B754F" w:rsidRPr="006B754F" w:rsidRDefault="006B754F" w:rsidP="00363742">
      <w:pPr>
        <w:spacing w:after="0" w:line="240" w:lineRule="auto"/>
        <w:ind w:left="-2" w:firstLineChars="0" w:firstLine="722"/>
        <w:jc w:val="both"/>
        <w:rPr>
          <w:rFonts w:ascii="Arial" w:eastAsia="Arial" w:hAnsi="Arial" w:cs="Arial"/>
          <w:sz w:val="20"/>
          <w:szCs w:val="20"/>
        </w:rPr>
      </w:pPr>
      <w:r w:rsidRPr="006B754F">
        <w:rPr>
          <w:rFonts w:ascii="Arial" w:eastAsia="Arial" w:hAnsi="Arial" w:cs="Arial"/>
          <w:sz w:val="20"/>
          <w:szCs w:val="20"/>
        </w:rPr>
        <w:t xml:space="preserve">This study has carried out water quality modelling for copper parameters in the </w:t>
      </w:r>
      <w:proofErr w:type="spellStart"/>
      <w:r w:rsidRPr="006B754F">
        <w:rPr>
          <w:rFonts w:ascii="Arial" w:eastAsia="Arial" w:hAnsi="Arial" w:cs="Arial"/>
          <w:sz w:val="20"/>
          <w:szCs w:val="20"/>
        </w:rPr>
        <w:t>Cikakembang</w:t>
      </w:r>
      <w:proofErr w:type="spellEnd"/>
      <w:r w:rsidRPr="006B754F">
        <w:rPr>
          <w:rFonts w:ascii="Arial" w:eastAsia="Arial" w:hAnsi="Arial" w:cs="Arial"/>
          <w:sz w:val="20"/>
          <w:szCs w:val="20"/>
        </w:rPr>
        <w:t xml:space="preserve"> River. Modelling consists of calibration and verification processes, where all simulation results are evaluated using the RRMSE objective function. The second verification process produced the highest RRMSE value at 9.97%. This value is very close to the error threshold of 10%, which can declare the model acceptable. Nevertheless, all simulation results have RRMSE values below this threshold, so the model is declared accurate.</w:t>
      </w:r>
    </w:p>
    <w:p w14:paraId="446B4792" w14:textId="77777777" w:rsidR="006B754F" w:rsidRPr="006B754F" w:rsidRDefault="006B754F" w:rsidP="00363742">
      <w:pPr>
        <w:spacing w:after="0" w:line="240" w:lineRule="auto"/>
        <w:ind w:left="-2" w:firstLineChars="0" w:firstLine="722"/>
        <w:jc w:val="both"/>
        <w:rPr>
          <w:rFonts w:ascii="Arial" w:eastAsia="Arial" w:hAnsi="Arial" w:cs="Arial"/>
          <w:sz w:val="20"/>
          <w:szCs w:val="20"/>
        </w:rPr>
      </w:pPr>
      <w:proofErr w:type="spellStart"/>
      <w:r w:rsidRPr="006B754F">
        <w:rPr>
          <w:rFonts w:ascii="Arial" w:eastAsia="Arial" w:hAnsi="Arial" w:cs="Arial"/>
          <w:sz w:val="20"/>
          <w:szCs w:val="20"/>
        </w:rPr>
        <w:t>Cikakembang</w:t>
      </w:r>
      <w:proofErr w:type="spellEnd"/>
      <w:r w:rsidRPr="006B754F">
        <w:rPr>
          <w:rFonts w:ascii="Arial" w:eastAsia="Arial" w:hAnsi="Arial" w:cs="Arial"/>
          <w:sz w:val="20"/>
          <w:szCs w:val="20"/>
        </w:rPr>
        <w:t xml:space="preserve"> River water quality modelling for heavy metals parameters was carried out using the assumption that there was no erosion in the channel. The model developed cannot model the parameters of heavy metals from the precipitated phase back to the particulate phase. Further research is needed to develop a hydraulic model so that erosion locations and changes in hydraulic parameters in the channel can be detected.</w:t>
      </w:r>
    </w:p>
    <w:p w14:paraId="62A5832E" w14:textId="77777777" w:rsidR="006B754F" w:rsidRPr="006B754F" w:rsidRDefault="006B754F" w:rsidP="00363742">
      <w:pPr>
        <w:spacing w:after="0" w:line="240" w:lineRule="auto"/>
        <w:ind w:left="-2" w:firstLineChars="0" w:firstLine="722"/>
        <w:jc w:val="both"/>
        <w:rPr>
          <w:rFonts w:ascii="Arial" w:eastAsia="Arial" w:hAnsi="Arial" w:cs="Arial"/>
          <w:sz w:val="20"/>
          <w:szCs w:val="20"/>
        </w:rPr>
      </w:pPr>
      <w:r w:rsidRPr="006B754F">
        <w:rPr>
          <w:rFonts w:ascii="Arial" w:eastAsia="Arial" w:hAnsi="Arial" w:cs="Arial"/>
          <w:sz w:val="20"/>
          <w:szCs w:val="20"/>
        </w:rPr>
        <w:t>Pollution control simulation was conducted on DO, BOD, COD and copper parameters. There are changes in hydraulic parameters in the pollution control simulation due to changes in industrial wastewater discharge values at each PSP. Changes in water quality coefficient values in pollution control simulations differ greatly from existing modelling conditions.</w:t>
      </w:r>
    </w:p>
    <w:p w14:paraId="02A65F12" w14:textId="77777777" w:rsidR="006B754F" w:rsidRPr="006B754F" w:rsidRDefault="006B754F" w:rsidP="00363742">
      <w:pPr>
        <w:spacing w:after="0" w:line="240" w:lineRule="auto"/>
        <w:ind w:left="-2" w:firstLineChars="0" w:firstLine="722"/>
        <w:jc w:val="both"/>
        <w:rPr>
          <w:rFonts w:ascii="Arial" w:eastAsia="Arial" w:hAnsi="Arial" w:cs="Arial"/>
          <w:sz w:val="20"/>
          <w:szCs w:val="20"/>
        </w:rPr>
      </w:pPr>
      <w:r w:rsidRPr="006B754F">
        <w:rPr>
          <w:rFonts w:ascii="Arial" w:eastAsia="Arial" w:hAnsi="Arial" w:cs="Arial"/>
          <w:sz w:val="20"/>
          <w:szCs w:val="20"/>
        </w:rPr>
        <w:t xml:space="preserve">The textile industry wastewater quality standards do not contain a DO value limit, so the DO concentration in the textile industry effluent is allowed to be 1 mg/L. Even though the simulation results show DO levels are between class three </w:t>
      </w:r>
      <w:r w:rsidRPr="006B754F">
        <w:rPr>
          <w:rFonts w:ascii="Arial" w:eastAsia="Arial" w:hAnsi="Arial" w:cs="Arial"/>
          <w:sz w:val="20"/>
          <w:szCs w:val="20"/>
        </w:rPr>
        <w:lastRenderedPageBreak/>
        <w:t>and class four river water quality standards, stakeholders must propose effluent concentration limits for DO parameters before being discharged into the river. This can be important in overcoming pollution due to BOD and COD parameters in textile industry waste.</w:t>
      </w:r>
    </w:p>
    <w:p w14:paraId="38FA69DB" w14:textId="4399E378" w:rsidR="006B754F" w:rsidRDefault="006B754F" w:rsidP="00363742">
      <w:pPr>
        <w:spacing w:after="0" w:line="240" w:lineRule="auto"/>
        <w:ind w:left="-2" w:firstLineChars="0" w:firstLine="722"/>
        <w:jc w:val="both"/>
        <w:rPr>
          <w:rFonts w:ascii="Arial" w:eastAsia="Arial" w:hAnsi="Arial" w:cs="Arial"/>
          <w:sz w:val="20"/>
          <w:szCs w:val="20"/>
        </w:rPr>
      </w:pPr>
      <w:r w:rsidRPr="006B754F">
        <w:rPr>
          <w:rFonts w:ascii="Arial" w:eastAsia="Arial" w:hAnsi="Arial" w:cs="Arial"/>
          <w:sz w:val="20"/>
          <w:szCs w:val="20"/>
        </w:rPr>
        <w:t xml:space="preserve">As written in Table 11, the PCC of the </w:t>
      </w:r>
      <w:proofErr w:type="spellStart"/>
      <w:r w:rsidRPr="006B754F">
        <w:rPr>
          <w:rFonts w:ascii="Arial" w:eastAsia="Arial" w:hAnsi="Arial" w:cs="Arial"/>
          <w:sz w:val="20"/>
          <w:szCs w:val="20"/>
        </w:rPr>
        <w:t>Cikakembang</w:t>
      </w:r>
      <w:proofErr w:type="spellEnd"/>
      <w:r w:rsidRPr="006B754F">
        <w:rPr>
          <w:rFonts w:ascii="Arial" w:eastAsia="Arial" w:hAnsi="Arial" w:cs="Arial"/>
          <w:sz w:val="20"/>
          <w:szCs w:val="20"/>
        </w:rPr>
        <w:t xml:space="preserve"> River is greater in the rainy season than in the dry season. Rivers can better accommodate wastewater during the rainy season because the river's ability to regenerate is better during the rainy season. Establishing a pollution control policy requires a single value that can be used in both seasons. So, the industrial effluent concentration values recommended for use result from dry season pollution control simulations.</w:t>
      </w:r>
    </w:p>
    <w:p w14:paraId="1855F01C" w14:textId="77777777" w:rsidR="006B754F" w:rsidRDefault="006B754F" w:rsidP="006B754F">
      <w:pPr>
        <w:spacing w:after="0" w:line="240" w:lineRule="auto"/>
        <w:ind w:left="-2" w:firstLineChars="0" w:firstLine="0"/>
        <w:jc w:val="both"/>
        <w:rPr>
          <w:rFonts w:ascii="Arial" w:eastAsia="Arial" w:hAnsi="Arial" w:cs="Arial"/>
          <w:sz w:val="20"/>
          <w:szCs w:val="20"/>
        </w:rPr>
      </w:pPr>
    </w:p>
    <w:p w14:paraId="2F95C0EC" w14:textId="469E767E" w:rsidR="006B754F" w:rsidRDefault="006B754F" w:rsidP="006B754F">
      <w:pPr>
        <w:spacing w:after="0" w:line="240" w:lineRule="auto"/>
        <w:ind w:left="0" w:hanging="2"/>
        <w:jc w:val="both"/>
        <w:rPr>
          <w:rFonts w:ascii="Arial" w:eastAsia="Arial" w:hAnsi="Arial" w:cs="Arial"/>
          <w:color w:val="1F4E79"/>
          <w:sz w:val="20"/>
          <w:szCs w:val="20"/>
        </w:rPr>
      </w:pPr>
      <w:r>
        <w:rPr>
          <w:rFonts w:ascii="Arial" w:eastAsia="Arial" w:hAnsi="Arial" w:cs="Arial"/>
          <w:b/>
          <w:color w:val="1F4E79"/>
          <w:sz w:val="20"/>
          <w:szCs w:val="20"/>
        </w:rPr>
        <w:t>CONCLUSIONS</w:t>
      </w:r>
    </w:p>
    <w:p w14:paraId="3F6606E5" w14:textId="77777777" w:rsidR="006B754F" w:rsidRPr="006B754F" w:rsidRDefault="006B754F" w:rsidP="00363742">
      <w:pPr>
        <w:spacing w:after="0" w:line="240" w:lineRule="auto"/>
        <w:ind w:left="-2" w:firstLineChars="0" w:firstLine="722"/>
        <w:jc w:val="both"/>
        <w:rPr>
          <w:rFonts w:ascii="Arial" w:eastAsia="Arial" w:hAnsi="Arial" w:cs="Arial"/>
          <w:sz w:val="20"/>
          <w:szCs w:val="20"/>
        </w:rPr>
      </w:pPr>
      <w:r w:rsidRPr="006B754F">
        <w:rPr>
          <w:rFonts w:ascii="Arial" w:eastAsia="Arial" w:hAnsi="Arial" w:cs="Arial"/>
          <w:sz w:val="20"/>
          <w:szCs w:val="20"/>
        </w:rPr>
        <w:t xml:space="preserve">A water quality model for heavy metal parameters, especially copper, in the </w:t>
      </w:r>
      <w:proofErr w:type="spellStart"/>
      <w:r w:rsidRPr="006B754F">
        <w:rPr>
          <w:rFonts w:ascii="Arial" w:eastAsia="Arial" w:hAnsi="Arial" w:cs="Arial"/>
          <w:sz w:val="20"/>
          <w:szCs w:val="20"/>
        </w:rPr>
        <w:t>Cikakembang</w:t>
      </w:r>
      <w:proofErr w:type="spellEnd"/>
      <w:r w:rsidRPr="006B754F">
        <w:rPr>
          <w:rFonts w:ascii="Arial" w:eastAsia="Arial" w:hAnsi="Arial" w:cs="Arial"/>
          <w:sz w:val="20"/>
          <w:szCs w:val="20"/>
        </w:rPr>
        <w:t xml:space="preserve"> River has been successfully developed. The developed model can describe the number of copper particles in the particulate phase, which will settle at the bottom of the channel. The heavy metal modelling results were evaluated using the RRMSE objective function, with a maximum value of 9.97%. Based on the threshold error value, namely 10%, the modelling can be said to have good accuracy.</w:t>
      </w:r>
    </w:p>
    <w:p w14:paraId="48235A3B" w14:textId="77777777" w:rsidR="006B754F" w:rsidRPr="006B754F" w:rsidRDefault="006B754F" w:rsidP="00363742">
      <w:pPr>
        <w:spacing w:after="0" w:line="240" w:lineRule="auto"/>
        <w:ind w:left="-2" w:firstLineChars="0" w:firstLine="722"/>
        <w:jc w:val="both"/>
        <w:rPr>
          <w:rFonts w:ascii="Arial" w:eastAsia="Arial" w:hAnsi="Arial" w:cs="Arial"/>
          <w:sz w:val="20"/>
          <w:szCs w:val="20"/>
        </w:rPr>
      </w:pPr>
      <w:r w:rsidRPr="006B754F">
        <w:rPr>
          <w:rFonts w:ascii="Arial" w:eastAsia="Arial" w:hAnsi="Arial" w:cs="Arial"/>
          <w:sz w:val="20"/>
          <w:szCs w:val="20"/>
        </w:rPr>
        <w:t xml:space="preserve">Combining the heavy metal and organic parameters models, pollution control simulations were carried out to estimate the pollutant carrying capacity (PCC) of the </w:t>
      </w:r>
      <w:proofErr w:type="spellStart"/>
      <w:r w:rsidRPr="006B754F">
        <w:rPr>
          <w:rFonts w:ascii="Arial" w:eastAsia="Arial" w:hAnsi="Arial" w:cs="Arial"/>
          <w:sz w:val="20"/>
          <w:szCs w:val="20"/>
        </w:rPr>
        <w:t>Cikakembang</w:t>
      </w:r>
      <w:proofErr w:type="spellEnd"/>
      <w:r w:rsidRPr="006B754F">
        <w:rPr>
          <w:rFonts w:ascii="Arial" w:eastAsia="Arial" w:hAnsi="Arial" w:cs="Arial"/>
          <w:sz w:val="20"/>
          <w:szCs w:val="20"/>
        </w:rPr>
        <w:t xml:space="preserve"> River. The main objective of pollution control is to restore the </w:t>
      </w:r>
      <w:proofErr w:type="spellStart"/>
      <w:r w:rsidRPr="006B754F">
        <w:rPr>
          <w:rFonts w:ascii="Arial" w:eastAsia="Arial" w:hAnsi="Arial" w:cs="Arial"/>
          <w:sz w:val="20"/>
          <w:szCs w:val="20"/>
        </w:rPr>
        <w:t>Cikakembang</w:t>
      </w:r>
      <w:proofErr w:type="spellEnd"/>
      <w:r w:rsidRPr="006B754F">
        <w:rPr>
          <w:rFonts w:ascii="Arial" w:eastAsia="Arial" w:hAnsi="Arial" w:cs="Arial"/>
          <w:sz w:val="20"/>
          <w:szCs w:val="20"/>
        </w:rPr>
        <w:t xml:space="preserve"> River water to be used for irrigation. If the two PCCs are compared, the simulation results in the dry season are smaller than those in the rainy season. The PCC for BOD, COD and copper parameters is 199.43 kg/day, 1103.80 kg/day and 4.06 kg/day, respectively. Any parameter that exceeds the PCC value will cause the </w:t>
      </w:r>
      <w:proofErr w:type="spellStart"/>
      <w:r w:rsidRPr="006B754F">
        <w:rPr>
          <w:rFonts w:ascii="Arial" w:eastAsia="Arial" w:hAnsi="Arial" w:cs="Arial"/>
          <w:sz w:val="20"/>
          <w:szCs w:val="20"/>
        </w:rPr>
        <w:t>Cikakembang</w:t>
      </w:r>
      <w:proofErr w:type="spellEnd"/>
      <w:r w:rsidRPr="006B754F">
        <w:rPr>
          <w:rFonts w:ascii="Arial" w:eastAsia="Arial" w:hAnsi="Arial" w:cs="Arial"/>
          <w:sz w:val="20"/>
          <w:szCs w:val="20"/>
        </w:rPr>
        <w:t xml:space="preserve"> River water condition to exceed class four river water quality standards.</w:t>
      </w:r>
    </w:p>
    <w:p w14:paraId="52C93C00" w14:textId="77777777" w:rsidR="006B754F" w:rsidRDefault="006B754F" w:rsidP="00363742">
      <w:pPr>
        <w:spacing w:after="0" w:line="240" w:lineRule="auto"/>
        <w:ind w:left="-2" w:firstLineChars="0" w:firstLine="722"/>
        <w:jc w:val="both"/>
        <w:rPr>
          <w:rFonts w:ascii="Arial" w:eastAsia="Arial" w:hAnsi="Arial" w:cs="Arial"/>
          <w:sz w:val="20"/>
          <w:szCs w:val="20"/>
        </w:rPr>
      </w:pPr>
      <w:r w:rsidRPr="006B754F">
        <w:rPr>
          <w:rFonts w:ascii="Arial" w:eastAsia="Arial" w:hAnsi="Arial" w:cs="Arial"/>
          <w:sz w:val="20"/>
          <w:szCs w:val="20"/>
        </w:rPr>
        <w:t xml:space="preserve">Limiting the </w:t>
      </w:r>
      <w:proofErr w:type="spellStart"/>
      <w:r w:rsidRPr="006B754F">
        <w:rPr>
          <w:rFonts w:ascii="Arial" w:eastAsia="Arial" w:hAnsi="Arial" w:cs="Arial"/>
          <w:sz w:val="20"/>
          <w:szCs w:val="20"/>
        </w:rPr>
        <w:t>Cikakembang</w:t>
      </w:r>
      <w:proofErr w:type="spellEnd"/>
      <w:r w:rsidRPr="006B754F">
        <w:rPr>
          <w:rFonts w:ascii="Arial" w:eastAsia="Arial" w:hAnsi="Arial" w:cs="Arial"/>
          <w:sz w:val="20"/>
          <w:szCs w:val="20"/>
        </w:rPr>
        <w:t xml:space="preserve"> River's water quality to at least class four river water quality standards can regenerate the </w:t>
      </w:r>
      <w:proofErr w:type="spellStart"/>
      <w:r w:rsidRPr="006B754F">
        <w:rPr>
          <w:rFonts w:ascii="Arial" w:eastAsia="Arial" w:hAnsi="Arial" w:cs="Arial"/>
          <w:sz w:val="20"/>
          <w:szCs w:val="20"/>
        </w:rPr>
        <w:t>Citarum</w:t>
      </w:r>
      <w:proofErr w:type="spellEnd"/>
      <w:r w:rsidRPr="006B754F">
        <w:rPr>
          <w:rFonts w:ascii="Arial" w:eastAsia="Arial" w:hAnsi="Arial" w:cs="Arial"/>
          <w:sz w:val="20"/>
          <w:szCs w:val="20"/>
        </w:rPr>
        <w:t xml:space="preserve"> River, which is the main river, even better. Future research could focus more on investigating other areas that have the potential to pollute the </w:t>
      </w:r>
      <w:proofErr w:type="spellStart"/>
      <w:r w:rsidRPr="006B754F">
        <w:rPr>
          <w:rFonts w:ascii="Arial" w:eastAsia="Arial" w:hAnsi="Arial" w:cs="Arial"/>
          <w:sz w:val="20"/>
          <w:szCs w:val="20"/>
        </w:rPr>
        <w:t>Citarum</w:t>
      </w:r>
      <w:proofErr w:type="spellEnd"/>
      <w:r w:rsidRPr="006B754F">
        <w:rPr>
          <w:rFonts w:ascii="Arial" w:eastAsia="Arial" w:hAnsi="Arial" w:cs="Arial"/>
          <w:sz w:val="20"/>
          <w:szCs w:val="20"/>
        </w:rPr>
        <w:t xml:space="preserve"> River from its upstream. Apart from that, in the </w:t>
      </w:r>
      <w:proofErr w:type="spellStart"/>
      <w:r w:rsidRPr="006B754F">
        <w:rPr>
          <w:rFonts w:ascii="Arial" w:eastAsia="Arial" w:hAnsi="Arial" w:cs="Arial"/>
          <w:sz w:val="20"/>
          <w:szCs w:val="20"/>
        </w:rPr>
        <w:t>Majalaya</w:t>
      </w:r>
      <w:proofErr w:type="spellEnd"/>
      <w:r w:rsidRPr="006B754F">
        <w:rPr>
          <w:rFonts w:ascii="Arial" w:eastAsia="Arial" w:hAnsi="Arial" w:cs="Arial"/>
          <w:sz w:val="20"/>
          <w:szCs w:val="20"/>
        </w:rPr>
        <w:t xml:space="preserve"> District area, other pollutant parameters, both organic and inorganic, from different industries can be investigated. </w:t>
      </w:r>
    </w:p>
    <w:p w14:paraId="2D4B6FEA" w14:textId="77777777" w:rsidR="006B754F" w:rsidRDefault="006B754F" w:rsidP="006B754F">
      <w:pPr>
        <w:spacing w:after="0" w:line="240" w:lineRule="auto"/>
        <w:ind w:left="-2" w:firstLineChars="0" w:firstLine="0"/>
        <w:jc w:val="both"/>
        <w:rPr>
          <w:rFonts w:ascii="Arial" w:eastAsia="Arial" w:hAnsi="Arial" w:cs="Arial"/>
          <w:sz w:val="20"/>
          <w:szCs w:val="20"/>
        </w:rPr>
      </w:pPr>
    </w:p>
    <w:p w14:paraId="5781841C" w14:textId="77777777" w:rsidR="008F2B26" w:rsidRDefault="008F2B26" w:rsidP="006B754F">
      <w:pPr>
        <w:spacing w:after="0" w:line="240" w:lineRule="auto"/>
        <w:ind w:left="0" w:hanging="2"/>
        <w:jc w:val="both"/>
        <w:rPr>
          <w:rFonts w:ascii="Arial" w:eastAsia="Arial" w:hAnsi="Arial" w:cs="Arial"/>
          <w:b/>
          <w:color w:val="1F4E79"/>
          <w:sz w:val="20"/>
          <w:szCs w:val="20"/>
        </w:rPr>
      </w:pPr>
    </w:p>
    <w:p w14:paraId="47DD7CBE" w14:textId="77777777" w:rsidR="008F2B26" w:rsidRDefault="008F2B26" w:rsidP="006B754F">
      <w:pPr>
        <w:spacing w:after="0" w:line="240" w:lineRule="auto"/>
        <w:ind w:left="0" w:hanging="2"/>
        <w:jc w:val="both"/>
        <w:rPr>
          <w:rFonts w:ascii="Arial" w:eastAsia="Arial" w:hAnsi="Arial" w:cs="Arial"/>
          <w:b/>
          <w:color w:val="1F4E79"/>
          <w:sz w:val="20"/>
          <w:szCs w:val="20"/>
        </w:rPr>
      </w:pPr>
    </w:p>
    <w:p w14:paraId="0809F6A7" w14:textId="1EB604A9" w:rsidR="006B754F" w:rsidRDefault="006B754F" w:rsidP="006B754F">
      <w:pPr>
        <w:spacing w:after="0" w:line="240" w:lineRule="auto"/>
        <w:ind w:left="0" w:hanging="2"/>
        <w:jc w:val="both"/>
        <w:rPr>
          <w:rFonts w:ascii="Arial" w:eastAsia="Arial" w:hAnsi="Arial" w:cs="Arial"/>
          <w:b/>
          <w:color w:val="1F4E79"/>
          <w:sz w:val="20"/>
          <w:szCs w:val="20"/>
        </w:rPr>
      </w:pPr>
      <w:r>
        <w:rPr>
          <w:rFonts w:ascii="Arial" w:eastAsia="Arial" w:hAnsi="Arial" w:cs="Arial"/>
          <w:b/>
          <w:color w:val="1F4E79"/>
          <w:sz w:val="20"/>
          <w:szCs w:val="20"/>
        </w:rPr>
        <w:t>REFERENCES</w:t>
      </w:r>
    </w:p>
    <w:p w14:paraId="2EE01EDE" w14:textId="77777777" w:rsidR="006B754F" w:rsidRDefault="006B754F" w:rsidP="006B754F">
      <w:pPr>
        <w:spacing w:after="0" w:line="240" w:lineRule="auto"/>
        <w:ind w:left="0" w:hanging="2"/>
        <w:jc w:val="both"/>
        <w:rPr>
          <w:rFonts w:ascii="Arial" w:eastAsia="Arial" w:hAnsi="Arial" w:cs="Arial"/>
          <w:color w:val="1F4E79"/>
          <w:sz w:val="20"/>
          <w:szCs w:val="20"/>
        </w:rPr>
      </w:pPr>
    </w:p>
    <w:sdt>
      <w:sdtPr>
        <w:rPr>
          <w:rFonts w:ascii="Arial" w:eastAsia="Arial" w:hAnsi="Arial" w:cs="Arial"/>
          <w:color w:val="000000"/>
          <w:sz w:val="20"/>
          <w:szCs w:val="20"/>
        </w:rPr>
        <w:tag w:val="MENDELEY_BIBLIOGRAPHY"/>
        <w:id w:val="-955172762"/>
        <w:placeholder>
          <w:docPart w:val="DefaultPlaceholder_-1854013440"/>
        </w:placeholder>
      </w:sdtPr>
      <w:sdtEndPr>
        <w:rPr>
          <w:rFonts w:eastAsia="Times New Roman"/>
          <w:color w:val="auto"/>
        </w:rPr>
      </w:sdtEndPr>
      <w:sdtContent>
        <w:p w14:paraId="5487955B" w14:textId="77777777" w:rsidR="008743B1" w:rsidRPr="008743B1" w:rsidRDefault="008743B1" w:rsidP="00DB4A87">
          <w:pPr>
            <w:autoSpaceDE w:val="0"/>
            <w:autoSpaceDN w:val="0"/>
            <w:spacing w:after="0"/>
            <w:ind w:leftChars="-836" w:left="-1417" w:hangingChars="211" w:hanging="422"/>
            <w:jc w:val="both"/>
            <w:divId w:val="2091195974"/>
            <w:rPr>
              <w:rFonts w:ascii="Arial" w:eastAsia="Times New Roman" w:hAnsi="Arial" w:cs="Arial"/>
              <w:sz w:val="20"/>
              <w:szCs w:val="20"/>
            </w:rPr>
          </w:pPr>
          <w:r w:rsidRPr="008743B1">
            <w:rPr>
              <w:rFonts w:ascii="Arial" w:eastAsia="Times New Roman" w:hAnsi="Arial" w:cs="Arial"/>
              <w:sz w:val="20"/>
              <w:szCs w:val="20"/>
            </w:rPr>
            <w:t>[1]</w:t>
          </w:r>
          <w:r w:rsidRPr="008743B1">
            <w:rPr>
              <w:rFonts w:ascii="Arial" w:eastAsia="Times New Roman" w:hAnsi="Arial" w:cs="Arial"/>
              <w:sz w:val="20"/>
              <w:szCs w:val="20"/>
            </w:rPr>
            <w:tab/>
            <w:t xml:space="preserve">F. F. Fitriana, D. </w:t>
          </w:r>
          <w:proofErr w:type="spellStart"/>
          <w:r w:rsidRPr="008743B1">
            <w:rPr>
              <w:rFonts w:ascii="Arial" w:eastAsia="Times New Roman" w:hAnsi="Arial" w:cs="Arial"/>
              <w:sz w:val="20"/>
              <w:szCs w:val="20"/>
            </w:rPr>
            <w:t>Yudianto</w:t>
          </w:r>
          <w:proofErr w:type="spellEnd"/>
          <w:r w:rsidRPr="008743B1">
            <w:rPr>
              <w:rFonts w:ascii="Arial" w:eastAsia="Times New Roman" w:hAnsi="Arial" w:cs="Arial"/>
              <w:sz w:val="20"/>
              <w:szCs w:val="20"/>
            </w:rPr>
            <w:t xml:space="preserve">, S. Sanjaya, A. F. V Roy, and Y. C. Seo, “The Assessment of </w:t>
          </w:r>
          <w:proofErr w:type="spellStart"/>
          <w:r w:rsidRPr="008743B1">
            <w:rPr>
              <w:rFonts w:ascii="Arial" w:eastAsia="Times New Roman" w:hAnsi="Arial" w:cs="Arial"/>
              <w:sz w:val="20"/>
              <w:szCs w:val="20"/>
            </w:rPr>
            <w:t>Citarum</w:t>
          </w:r>
          <w:proofErr w:type="spellEnd"/>
          <w:r w:rsidRPr="008743B1">
            <w:rPr>
              <w:rFonts w:ascii="Arial" w:eastAsia="Times New Roman" w:hAnsi="Arial" w:cs="Arial"/>
              <w:sz w:val="20"/>
              <w:szCs w:val="20"/>
            </w:rPr>
            <w:t xml:space="preserve"> River Water Quality in </w:t>
          </w:r>
          <w:proofErr w:type="spellStart"/>
          <w:r w:rsidRPr="008743B1">
            <w:rPr>
              <w:rFonts w:ascii="Arial" w:eastAsia="Times New Roman" w:hAnsi="Arial" w:cs="Arial"/>
              <w:sz w:val="20"/>
              <w:szCs w:val="20"/>
            </w:rPr>
            <w:t>Majalaya</w:t>
          </w:r>
          <w:proofErr w:type="spellEnd"/>
          <w:r w:rsidRPr="008743B1">
            <w:rPr>
              <w:rFonts w:ascii="Arial" w:eastAsia="Times New Roman" w:hAnsi="Arial" w:cs="Arial"/>
              <w:sz w:val="20"/>
              <w:szCs w:val="20"/>
            </w:rPr>
            <w:t xml:space="preserve"> District, Bandung Regency,” </w:t>
          </w:r>
          <w:proofErr w:type="spellStart"/>
          <w:r w:rsidRPr="008743B1">
            <w:rPr>
              <w:rFonts w:ascii="Arial" w:eastAsia="Times New Roman" w:hAnsi="Arial" w:cs="Arial"/>
              <w:i/>
              <w:iCs/>
              <w:sz w:val="20"/>
              <w:szCs w:val="20"/>
            </w:rPr>
            <w:t>Rekayasa</w:t>
          </w:r>
          <w:proofErr w:type="spellEnd"/>
          <w:r w:rsidRPr="008743B1">
            <w:rPr>
              <w:rFonts w:ascii="Arial" w:eastAsia="Times New Roman" w:hAnsi="Arial" w:cs="Arial"/>
              <w:i/>
              <w:iCs/>
              <w:sz w:val="20"/>
              <w:szCs w:val="20"/>
            </w:rPr>
            <w:t xml:space="preserve"> </w:t>
          </w:r>
          <w:proofErr w:type="spellStart"/>
          <w:r w:rsidRPr="008743B1">
            <w:rPr>
              <w:rFonts w:ascii="Arial" w:eastAsia="Times New Roman" w:hAnsi="Arial" w:cs="Arial"/>
              <w:i/>
              <w:iCs/>
              <w:sz w:val="20"/>
              <w:szCs w:val="20"/>
            </w:rPr>
            <w:t>Sipil</w:t>
          </w:r>
          <w:proofErr w:type="spellEnd"/>
          <w:r w:rsidRPr="008743B1">
            <w:rPr>
              <w:rFonts w:ascii="Arial" w:eastAsia="Times New Roman" w:hAnsi="Arial" w:cs="Arial"/>
              <w:sz w:val="20"/>
              <w:szCs w:val="20"/>
            </w:rPr>
            <w:t xml:space="preserve">, vol. 17, no. 1, pp. 37–46, Jan. 2023, </w:t>
          </w:r>
          <w:proofErr w:type="spellStart"/>
          <w:r w:rsidRPr="008743B1">
            <w:rPr>
              <w:rFonts w:ascii="Arial" w:eastAsia="Times New Roman" w:hAnsi="Arial" w:cs="Arial"/>
              <w:sz w:val="20"/>
              <w:szCs w:val="20"/>
            </w:rPr>
            <w:t>doi</w:t>
          </w:r>
          <w:proofErr w:type="spellEnd"/>
          <w:r w:rsidRPr="008743B1">
            <w:rPr>
              <w:rFonts w:ascii="Arial" w:eastAsia="Times New Roman" w:hAnsi="Arial" w:cs="Arial"/>
              <w:sz w:val="20"/>
              <w:szCs w:val="20"/>
            </w:rPr>
            <w:t>: 10.21776/ub.rekayasasipil.2023.017.01.6.</w:t>
          </w:r>
        </w:p>
        <w:p w14:paraId="70799CB2" w14:textId="77777777" w:rsidR="008743B1" w:rsidRPr="008743B1" w:rsidRDefault="008743B1" w:rsidP="00DB4A87">
          <w:pPr>
            <w:autoSpaceDE w:val="0"/>
            <w:autoSpaceDN w:val="0"/>
            <w:spacing w:after="0"/>
            <w:ind w:leftChars="-836" w:left="-1417" w:hangingChars="211" w:hanging="422"/>
            <w:jc w:val="both"/>
            <w:divId w:val="438796210"/>
            <w:rPr>
              <w:rFonts w:ascii="Arial" w:eastAsia="Times New Roman" w:hAnsi="Arial" w:cs="Arial"/>
              <w:sz w:val="20"/>
              <w:szCs w:val="20"/>
            </w:rPr>
          </w:pPr>
          <w:r w:rsidRPr="008743B1">
            <w:rPr>
              <w:rFonts w:ascii="Arial" w:eastAsia="Times New Roman" w:hAnsi="Arial" w:cs="Arial"/>
              <w:sz w:val="20"/>
              <w:szCs w:val="20"/>
            </w:rPr>
            <w:t>[2]</w:t>
          </w:r>
          <w:r w:rsidRPr="008743B1">
            <w:rPr>
              <w:rFonts w:ascii="Arial" w:eastAsia="Times New Roman" w:hAnsi="Arial" w:cs="Arial"/>
              <w:sz w:val="20"/>
              <w:szCs w:val="20"/>
            </w:rPr>
            <w:tab/>
            <w:t xml:space="preserve">E. G. A. Sapan, S. A. R. </w:t>
          </w:r>
          <w:proofErr w:type="spellStart"/>
          <w:r w:rsidRPr="008743B1">
            <w:rPr>
              <w:rFonts w:ascii="Arial" w:eastAsia="Times New Roman" w:hAnsi="Arial" w:cs="Arial"/>
              <w:sz w:val="20"/>
              <w:szCs w:val="20"/>
            </w:rPr>
            <w:t>Riandasenya</w:t>
          </w:r>
          <w:proofErr w:type="spellEnd"/>
          <w:r w:rsidRPr="008743B1">
            <w:rPr>
              <w:rFonts w:ascii="Arial" w:eastAsia="Times New Roman" w:hAnsi="Arial" w:cs="Arial"/>
              <w:sz w:val="20"/>
              <w:szCs w:val="20"/>
            </w:rPr>
            <w:t xml:space="preserve">, </w:t>
          </w:r>
          <w:proofErr w:type="spellStart"/>
          <w:r w:rsidRPr="008743B1">
            <w:rPr>
              <w:rFonts w:ascii="Arial" w:eastAsia="Times New Roman" w:hAnsi="Arial" w:cs="Arial"/>
              <w:sz w:val="20"/>
              <w:szCs w:val="20"/>
            </w:rPr>
            <w:t>Yulianingsani</w:t>
          </w:r>
          <w:proofErr w:type="spellEnd"/>
          <w:r w:rsidRPr="008743B1">
            <w:rPr>
              <w:rFonts w:ascii="Arial" w:eastAsia="Times New Roman" w:hAnsi="Arial" w:cs="Arial"/>
              <w:sz w:val="20"/>
              <w:szCs w:val="20"/>
            </w:rPr>
            <w:t xml:space="preserve">, Anisah, M. K. Ilmi, and M. I. Habibie, “Health assessment of the Upper </w:t>
          </w:r>
          <w:proofErr w:type="spellStart"/>
          <w:r w:rsidRPr="008743B1">
            <w:rPr>
              <w:rFonts w:ascii="Arial" w:eastAsia="Times New Roman" w:hAnsi="Arial" w:cs="Arial"/>
              <w:sz w:val="20"/>
              <w:szCs w:val="20"/>
            </w:rPr>
            <w:t>Citarum</w:t>
          </w:r>
          <w:proofErr w:type="spellEnd"/>
          <w:r w:rsidRPr="008743B1">
            <w:rPr>
              <w:rFonts w:ascii="Arial" w:eastAsia="Times New Roman" w:hAnsi="Arial" w:cs="Arial"/>
              <w:sz w:val="20"/>
              <w:szCs w:val="20"/>
            </w:rPr>
            <w:t xml:space="preserve"> Watershed, West Java, Indonesia,” in </w:t>
          </w:r>
          <w:r w:rsidRPr="008743B1">
            <w:rPr>
              <w:rFonts w:ascii="Arial" w:eastAsia="Times New Roman" w:hAnsi="Arial" w:cs="Arial"/>
              <w:i/>
              <w:iCs/>
              <w:sz w:val="20"/>
              <w:szCs w:val="20"/>
            </w:rPr>
            <w:t>IOP Conference Series: Earth and Environmental Science</w:t>
          </w:r>
          <w:r w:rsidRPr="008743B1">
            <w:rPr>
              <w:rFonts w:ascii="Arial" w:eastAsia="Times New Roman" w:hAnsi="Arial" w:cs="Arial"/>
              <w:sz w:val="20"/>
              <w:szCs w:val="20"/>
            </w:rPr>
            <w:t xml:space="preserve">, Institute of Physics, 2022. </w:t>
          </w:r>
          <w:proofErr w:type="spellStart"/>
          <w:r w:rsidRPr="008743B1">
            <w:rPr>
              <w:rFonts w:ascii="Arial" w:eastAsia="Times New Roman" w:hAnsi="Arial" w:cs="Arial"/>
              <w:sz w:val="20"/>
              <w:szCs w:val="20"/>
            </w:rPr>
            <w:t>doi</w:t>
          </w:r>
          <w:proofErr w:type="spellEnd"/>
          <w:r w:rsidRPr="008743B1">
            <w:rPr>
              <w:rFonts w:ascii="Arial" w:eastAsia="Times New Roman" w:hAnsi="Arial" w:cs="Arial"/>
              <w:sz w:val="20"/>
              <w:szCs w:val="20"/>
            </w:rPr>
            <w:t>: 10.1088/1755-1315/1109/1/012082.</w:t>
          </w:r>
        </w:p>
        <w:p w14:paraId="047D544D" w14:textId="77777777" w:rsidR="008743B1" w:rsidRPr="008743B1" w:rsidRDefault="008743B1" w:rsidP="00DB4A87">
          <w:pPr>
            <w:autoSpaceDE w:val="0"/>
            <w:autoSpaceDN w:val="0"/>
            <w:spacing w:after="0"/>
            <w:ind w:leftChars="-836" w:left="-1417" w:hangingChars="211" w:hanging="422"/>
            <w:jc w:val="both"/>
            <w:divId w:val="2135444914"/>
            <w:rPr>
              <w:rFonts w:ascii="Arial" w:eastAsia="Times New Roman" w:hAnsi="Arial" w:cs="Arial"/>
              <w:sz w:val="20"/>
              <w:szCs w:val="20"/>
            </w:rPr>
          </w:pPr>
          <w:r w:rsidRPr="008743B1">
            <w:rPr>
              <w:rFonts w:ascii="Arial" w:eastAsia="Times New Roman" w:hAnsi="Arial" w:cs="Arial"/>
              <w:sz w:val="20"/>
              <w:szCs w:val="20"/>
            </w:rPr>
            <w:t>[3]</w:t>
          </w:r>
          <w:r w:rsidRPr="008743B1">
            <w:rPr>
              <w:rFonts w:ascii="Arial" w:eastAsia="Times New Roman" w:hAnsi="Arial" w:cs="Arial"/>
              <w:sz w:val="20"/>
              <w:szCs w:val="20"/>
            </w:rPr>
            <w:tab/>
            <w:t xml:space="preserve">H. Jeong </w:t>
          </w:r>
          <w:r w:rsidRPr="008743B1">
            <w:rPr>
              <w:rFonts w:ascii="Arial" w:eastAsia="Times New Roman" w:hAnsi="Arial" w:cs="Arial"/>
              <w:i/>
              <w:iCs/>
              <w:sz w:val="20"/>
              <w:szCs w:val="20"/>
            </w:rPr>
            <w:t>et al.</w:t>
          </w:r>
          <w:r w:rsidRPr="008743B1">
            <w:rPr>
              <w:rFonts w:ascii="Arial" w:eastAsia="Times New Roman" w:hAnsi="Arial" w:cs="Arial"/>
              <w:sz w:val="20"/>
              <w:szCs w:val="20"/>
            </w:rPr>
            <w:t xml:space="preserve">, “The distributions of microplastics (MPs) in the </w:t>
          </w:r>
          <w:proofErr w:type="spellStart"/>
          <w:r w:rsidRPr="008743B1">
            <w:rPr>
              <w:rFonts w:ascii="Arial" w:eastAsia="Times New Roman" w:hAnsi="Arial" w:cs="Arial"/>
              <w:sz w:val="20"/>
              <w:szCs w:val="20"/>
            </w:rPr>
            <w:t>Citarum</w:t>
          </w:r>
          <w:proofErr w:type="spellEnd"/>
          <w:r w:rsidRPr="008743B1">
            <w:rPr>
              <w:rFonts w:ascii="Arial" w:eastAsia="Times New Roman" w:hAnsi="Arial" w:cs="Arial"/>
              <w:sz w:val="20"/>
              <w:szCs w:val="20"/>
            </w:rPr>
            <w:t xml:space="preserve"> River Basin, West Java, Indonesia,” </w:t>
          </w:r>
          <w:r w:rsidRPr="008743B1">
            <w:rPr>
              <w:rFonts w:ascii="Arial" w:eastAsia="Times New Roman" w:hAnsi="Arial" w:cs="Arial"/>
              <w:i/>
              <w:iCs/>
              <w:sz w:val="20"/>
              <w:szCs w:val="20"/>
            </w:rPr>
            <w:t>Journal of Environment and Safety</w:t>
          </w:r>
          <w:r w:rsidRPr="008743B1">
            <w:rPr>
              <w:rFonts w:ascii="Arial" w:eastAsia="Times New Roman" w:hAnsi="Arial" w:cs="Arial"/>
              <w:sz w:val="20"/>
              <w:szCs w:val="20"/>
            </w:rPr>
            <w:t xml:space="preserve">, pp. 33–43, 2021, </w:t>
          </w:r>
          <w:proofErr w:type="spellStart"/>
          <w:r w:rsidRPr="008743B1">
            <w:rPr>
              <w:rFonts w:ascii="Arial" w:eastAsia="Times New Roman" w:hAnsi="Arial" w:cs="Arial"/>
              <w:sz w:val="20"/>
              <w:szCs w:val="20"/>
            </w:rPr>
            <w:t>doi</w:t>
          </w:r>
          <w:proofErr w:type="spellEnd"/>
          <w:r w:rsidRPr="008743B1">
            <w:rPr>
              <w:rFonts w:ascii="Arial" w:eastAsia="Times New Roman" w:hAnsi="Arial" w:cs="Arial"/>
              <w:sz w:val="20"/>
              <w:szCs w:val="20"/>
            </w:rPr>
            <w:t>: https://doi.org/10.11162/daikankyo.E21RP0102.</w:t>
          </w:r>
        </w:p>
        <w:p w14:paraId="5717B65C" w14:textId="77777777" w:rsidR="008743B1" w:rsidRPr="008743B1" w:rsidRDefault="008743B1" w:rsidP="00DB4A87">
          <w:pPr>
            <w:autoSpaceDE w:val="0"/>
            <w:autoSpaceDN w:val="0"/>
            <w:spacing w:after="0"/>
            <w:ind w:leftChars="-836" w:left="-1455" w:hangingChars="192" w:hanging="384"/>
            <w:jc w:val="both"/>
            <w:divId w:val="462234737"/>
            <w:rPr>
              <w:rFonts w:ascii="Arial" w:eastAsia="Times New Roman" w:hAnsi="Arial" w:cs="Arial"/>
              <w:sz w:val="20"/>
              <w:szCs w:val="20"/>
            </w:rPr>
          </w:pPr>
          <w:r w:rsidRPr="008743B1">
            <w:rPr>
              <w:rFonts w:ascii="Arial" w:eastAsia="Times New Roman" w:hAnsi="Arial" w:cs="Arial"/>
              <w:sz w:val="20"/>
              <w:szCs w:val="20"/>
            </w:rPr>
            <w:t>[4]</w:t>
          </w:r>
          <w:r w:rsidRPr="008743B1">
            <w:rPr>
              <w:rFonts w:ascii="Arial" w:eastAsia="Times New Roman" w:hAnsi="Arial" w:cs="Arial"/>
              <w:sz w:val="20"/>
              <w:szCs w:val="20"/>
            </w:rPr>
            <w:tab/>
            <w:t xml:space="preserve">L. Lukman, E. S. </w:t>
          </w:r>
          <w:proofErr w:type="spellStart"/>
          <w:r w:rsidRPr="008743B1">
            <w:rPr>
              <w:rFonts w:ascii="Arial" w:eastAsia="Times New Roman" w:hAnsi="Arial" w:cs="Arial"/>
              <w:sz w:val="20"/>
              <w:szCs w:val="20"/>
            </w:rPr>
            <w:t>Kartamihardja</w:t>
          </w:r>
          <w:proofErr w:type="spellEnd"/>
          <w:r w:rsidRPr="008743B1">
            <w:rPr>
              <w:rFonts w:ascii="Arial" w:eastAsia="Times New Roman" w:hAnsi="Arial" w:cs="Arial"/>
              <w:sz w:val="20"/>
              <w:szCs w:val="20"/>
            </w:rPr>
            <w:t xml:space="preserve">, S. </w:t>
          </w:r>
          <w:proofErr w:type="spellStart"/>
          <w:r w:rsidRPr="008743B1">
            <w:rPr>
              <w:rFonts w:ascii="Arial" w:eastAsia="Times New Roman" w:hAnsi="Arial" w:cs="Arial"/>
              <w:sz w:val="20"/>
              <w:szCs w:val="20"/>
            </w:rPr>
            <w:t>Hariyadi</w:t>
          </w:r>
          <w:proofErr w:type="spellEnd"/>
          <w:r w:rsidRPr="008743B1">
            <w:rPr>
              <w:rFonts w:ascii="Arial" w:eastAsia="Times New Roman" w:hAnsi="Arial" w:cs="Arial"/>
              <w:sz w:val="20"/>
              <w:szCs w:val="20"/>
            </w:rPr>
            <w:t xml:space="preserve">, </w:t>
          </w:r>
          <w:proofErr w:type="spellStart"/>
          <w:r w:rsidRPr="008743B1">
            <w:rPr>
              <w:rFonts w:ascii="Arial" w:eastAsia="Times New Roman" w:hAnsi="Arial" w:cs="Arial"/>
              <w:sz w:val="20"/>
              <w:szCs w:val="20"/>
            </w:rPr>
            <w:t>Sunardi</w:t>
          </w:r>
          <w:proofErr w:type="spellEnd"/>
          <w:r w:rsidRPr="008743B1">
            <w:rPr>
              <w:rFonts w:ascii="Arial" w:eastAsia="Times New Roman" w:hAnsi="Arial" w:cs="Arial"/>
              <w:sz w:val="20"/>
              <w:szCs w:val="20"/>
            </w:rPr>
            <w:t xml:space="preserve">, and D. </w:t>
          </w:r>
          <w:proofErr w:type="spellStart"/>
          <w:r w:rsidRPr="008743B1">
            <w:rPr>
              <w:rFonts w:ascii="Arial" w:eastAsia="Times New Roman" w:hAnsi="Arial" w:cs="Arial"/>
              <w:sz w:val="20"/>
              <w:szCs w:val="20"/>
            </w:rPr>
            <w:t>Sumiarsa</w:t>
          </w:r>
          <w:proofErr w:type="spellEnd"/>
          <w:r w:rsidRPr="008743B1">
            <w:rPr>
              <w:rFonts w:ascii="Arial" w:eastAsia="Times New Roman" w:hAnsi="Arial" w:cs="Arial"/>
              <w:sz w:val="20"/>
              <w:szCs w:val="20"/>
            </w:rPr>
            <w:t xml:space="preserve">, “Brief overview of </w:t>
          </w:r>
          <w:proofErr w:type="spellStart"/>
          <w:r w:rsidRPr="008743B1">
            <w:rPr>
              <w:rFonts w:ascii="Arial" w:eastAsia="Times New Roman" w:hAnsi="Arial" w:cs="Arial"/>
              <w:sz w:val="20"/>
              <w:szCs w:val="20"/>
            </w:rPr>
            <w:t>allochtonous</w:t>
          </w:r>
          <w:proofErr w:type="spellEnd"/>
          <w:r w:rsidRPr="008743B1">
            <w:rPr>
              <w:rFonts w:ascii="Arial" w:eastAsia="Times New Roman" w:hAnsi="Arial" w:cs="Arial"/>
              <w:sz w:val="20"/>
              <w:szCs w:val="20"/>
            </w:rPr>
            <w:t xml:space="preserve"> phosphorus load on cascade reservoirs in </w:t>
          </w:r>
          <w:proofErr w:type="spellStart"/>
          <w:r w:rsidRPr="008743B1">
            <w:rPr>
              <w:rFonts w:ascii="Arial" w:eastAsia="Times New Roman" w:hAnsi="Arial" w:cs="Arial"/>
              <w:sz w:val="20"/>
              <w:szCs w:val="20"/>
            </w:rPr>
            <w:t>Citarum</w:t>
          </w:r>
          <w:proofErr w:type="spellEnd"/>
          <w:r w:rsidRPr="008743B1">
            <w:rPr>
              <w:rFonts w:ascii="Arial" w:eastAsia="Times New Roman" w:hAnsi="Arial" w:cs="Arial"/>
              <w:sz w:val="20"/>
              <w:szCs w:val="20"/>
            </w:rPr>
            <w:t xml:space="preserve"> River Basin, West Java Indonesia,” in </w:t>
          </w:r>
          <w:r w:rsidRPr="008743B1">
            <w:rPr>
              <w:rFonts w:ascii="Arial" w:eastAsia="Times New Roman" w:hAnsi="Arial" w:cs="Arial"/>
              <w:i/>
              <w:iCs/>
              <w:sz w:val="20"/>
              <w:szCs w:val="20"/>
            </w:rPr>
            <w:t>IOP Conference Series: Earth and Environmental Science</w:t>
          </w:r>
          <w:r w:rsidRPr="008743B1">
            <w:rPr>
              <w:rFonts w:ascii="Arial" w:eastAsia="Times New Roman" w:hAnsi="Arial" w:cs="Arial"/>
              <w:sz w:val="20"/>
              <w:szCs w:val="20"/>
            </w:rPr>
            <w:t xml:space="preserve">, Institute of Physics, 2022. </w:t>
          </w:r>
          <w:proofErr w:type="spellStart"/>
          <w:r w:rsidRPr="008743B1">
            <w:rPr>
              <w:rFonts w:ascii="Arial" w:eastAsia="Times New Roman" w:hAnsi="Arial" w:cs="Arial"/>
              <w:sz w:val="20"/>
              <w:szCs w:val="20"/>
            </w:rPr>
            <w:t>doi</w:t>
          </w:r>
          <w:proofErr w:type="spellEnd"/>
          <w:r w:rsidRPr="008743B1">
            <w:rPr>
              <w:rFonts w:ascii="Arial" w:eastAsia="Times New Roman" w:hAnsi="Arial" w:cs="Arial"/>
              <w:sz w:val="20"/>
              <w:szCs w:val="20"/>
            </w:rPr>
            <w:t>: 10.1088/1755-1315/1062/1/012021.</w:t>
          </w:r>
        </w:p>
        <w:p w14:paraId="43BBBD97" w14:textId="77777777" w:rsidR="008743B1" w:rsidRPr="008743B1" w:rsidRDefault="008743B1" w:rsidP="00DB4A87">
          <w:pPr>
            <w:autoSpaceDE w:val="0"/>
            <w:autoSpaceDN w:val="0"/>
            <w:spacing w:after="0"/>
            <w:ind w:leftChars="-836" w:left="-1455" w:hangingChars="192" w:hanging="384"/>
            <w:jc w:val="both"/>
            <w:divId w:val="1580478941"/>
            <w:rPr>
              <w:rFonts w:ascii="Arial" w:eastAsia="Times New Roman" w:hAnsi="Arial" w:cs="Arial"/>
              <w:sz w:val="20"/>
              <w:szCs w:val="20"/>
            </w:rPr>
          </w:pPr>
          <w:r w:rsidRPr="008743B1">
            <w:rPr>
              <w:rFonts w:ascii="Arial" w:eastAsia="Times New Roman" w:hAnsi="Arial" w:cs="Arial"/>
              <w:sz w:val="20"/>
              <w:szCs w:val="20"/>
            </w:rPr>
            <w:t>[5]</w:t>
          </w:r>
          <w:r w:rsidRPr="008743B1">
            <w:rPr>
              <w:rFonts w:ascii="Arial" w:eastAsia="Times New Roman" w:hAnsi="Arial" w:cs="Arial"/>
              <w:sz w:val="20"/>
              <w:szCs w:val="20"/>
            </w:rPr>
            <w:tab/>
            <w:t xml:space="preserve">R. </w:t>
          </w:r>
          <w:proofErr w:type="spellStart"/>
          <w:r w:rsidRPr="008743B1">
            <w:rPr>
              <w:rFonts w:ascii="Arial" w:eastAsia="Times New Roman" w:hAnsi="Arial" w:cs="Arial"/>
              <w:sz w:val="20"/>
              <w:szCs w:val="20"/>
            </w:rPr>
            <w:t>Yokosawa</w:t>
          </w:r>
          <w:proofErr w:type="spellEnd"/>
          <w:r w:rsidRPr="008743B1">
            <w:rPr>
              <w:rFonts w:ascii="Arial" w:eastAsia="Times New Roman" w:hAnsi="Arial" w:cs="Arial"/>
              <w:sz w:val="20"/>
              <w:szCs w:val="20"/>
            </w:rPr>
            <w:t xml:space="preserve"> and T. </w:t>
          </w:r>
          <w:proofErr w:type="spellStart"/>
          <w:r w:rsidRPr="008743B1">
            <w:rPr>
              <w:rFonts w:ascii="Arial" w:eastAsia="Times New Roman" w:hAnsi="Arial" w:cs="Arial"/>
              <w:sz w:val="20"/>
              <w:szCs w:val="20"/>
            </w:rPr>
            <w:t>Mizunoya</w:t>
          </w:r>
          <w:proofErr w:type="spellEnd"/>
          <w:r w:rsidRPr="008743B1">
            <w:rPr>
              <w:rFonts w:ascii="Arial" w:eastAsia="Times New Roman" w:hAnsi="Arial" w:cs="Arial"/>
              <w:sz w:val="20"/>
              <w:szCs w:val="20"/>
            </w:rPr>
            <w:t xml:space="preserve">, “Improving Water Quality in the </w:t>
          </w:r>
          <w:proofErr w:type="spellStart"/>
          <w:r w:rsidRPr="008743B1">
            <w:rPr>
              <w:rFonts w:ascii="Arial" w:eastAsia="Times New Roman" w:hAnsi="Arial" w:cs="Arial"/>
              <w:sz w:val="20"/>
              <w:szCs w:val="20"/>
            </w:rPr>
            <w:t>Citarum</w:t>
          </w:r>
          <w:proofErr w:type="spellEnd"/>
          <w:r w:rsidRPr="008743B1">
            <w:rPr>
              <w:rFonts w:ascii="Arial" w:eastAsia="Times New Roman" w:hAnsi="Arial" w:cs="Arial"/>
              <w:sz w:val="20"/>
              <w:szCs w:val="20"/>
            </w:rPr>
            <w:t xml:space="preserve"> River through Economic Policy Approaches,” </w:t>
          </w:r>
          <w:r w:rsidRPr="008743B1">
            <w:rPr>
              <w:rFonts w:ascii="Arial" w:eastAsia="Times New Roman" w:hAnsi="Arial" w:cs="Arial"/>
              <w:i/>
              <w:iCs/>
              <w:sz w:val="20"/>
              <w:szCs w:val="20"/>
            </w:rPr>
            <w:t>Sustainability (Switzerland)</w:t>
          </w:r>
          <w:r w:rsidRPr="008743B1">
            <w:rPr>
              <w:rFonts w:ascii="Arial" w:eastAsia="Times New Roman" w:hAnsi="Arial" w:cs="Arial"/>
              <w:sz w:val="20"/>
              <w:szCs w:val="20"/>
            </w:rPr>
            <w:t xml:space="preserve">, vol. 14, no. 9, May 2022, </w:t>
          </w:r>
          <w:proofErr w:type="spellStart"/>
          <w:r w:rsidRPr="008743B1">
            <w:rPr>
              <w:rFonts w:ascii="Arial" w:eastAsia="Times New Roman" w:hAnsi="Arial" w:cs="Arial"/>
              <w:sz w:val="20"/>
              <w:szCs w:val="20"/>
            </w:rPr>
            <w:t>doi</w:t>
          </w:r>
          <w:proofErr w:type="spellEnd"/>
          <w:r w:rsidRPr="008743B1">
            <w:rPr>
              <w:rFonts w:ascii="Arial" w:eastAsia="Times New Roman" w:hAnsi="Arial" w:cs="Arial"/>
              <w:sz w:val="20"/>
              <w:szCs w:val="20"/>
            </w:rPr>
            <w:t>: 10.3390/su14095038.</w:t>
          </w:r>
        </w:p>
        <w:p w14:paraId="14651F5A" w14:textId="77777777" w:rsidR="008743B1" w:rsidRPr="008743B1" w:rsidRDefault="008743B1" w:rsidP="00DB4A87">
          <w:pPr>
            <w:autoSpaceDE w:val="0"/>
            <w:autoSpaceDN w:val="0"/>
            <w:spacing w:after="0"/>
            <w:ind w:leftChars="-836" w:left="-1455" w:hangingChars="192" w:hanging="384"/>
            <w:jc w:val="both"/>
            <w:divId w:val="303319901"/>
            <w:rPr>
              <w:rFonts w:ascii="Arial" w:eastAsia="Times New Roman" w:hAnsi="Arial" w:cs="Arial"/>
              <w:sz w:val="20"/>
              <w:szCs w:val="20"/>
            </w:rPr>
          </w:pPr>
          <w:r w:rsidRPr="008743B1">
            <w:rPr>
              <w:rFonts w:ascii="Arial" w:eastAsia="Times New Roman" w:hAnsi="Arial" w:cs="Arial"/>
              <w:sz w:val="20"/>
              <w:szCs w:val="20"/>
            </w:rPr>
            <w:t>[6]</w:t>
          </w:r>
          <w:r w:rsidRPr="008743B1">
            <w:rPr>
              <w:rFonts w:ascii="Arial" w:eastAsia="Times New Roman" w:hAnsi="Arial" w:cs="Arial"/>
              <w:sz w:val="20"/>
              <w:szCs w:val="20"/>
            </w:rPr>
            <w:tab/>
            <w:t xml:space="preserve">M. Marselina and N. M. Putri, “Sustainability Analysis of the Upper </w:t>
          </w:r>
          <w:proofErr w:type="spellStart"/>
          <w:r w:rsidRPr="008743B1">
            <w:rPr>
              <w:rFonts w:ascii="Arial" w:eastAsia="Times New Roman" w:hAnsi="Arial" w:cs="Arial"/>
              <w:sz w:val="20"/>
              <w:szCs w:val="20"/>
            </w:rPr>
            <w:t>Citarum</w:t>
          </w:r>
          <w:proofErr w:type="spellEnd"/>
          <w:r w:rsidRPr="008743B1">
            <w:rPr>
              <w:rFonts w:ascii="Arial" w:eastAsia="Times New Roman" w:hAnsi="Arial" w:cs="Arial"/>
              <w:sz w:val="20"/>
              <w:szCs w:val="20"/>
            </w:rPr>
            <w:t xml:space="preserve"> Watershed Based on Water quality, Water quantity, and </w:t>
          </w:r>
          <w:proofErr w:type="spellStart"/>
          <w:r w:rsidRPr="008743B1">
            <w:rPr>
              <w:rFonts w:ascii="Arial" w:eastAsia="Times New Roman" w:hAnsi="Arial" w:cs="Arial"/>
              <w:sz w:val="20"/>
              <w:szCs w:val="20"/>
            </w:rPr>
            <w:t>Landuse</w:t>
          </w:r>
          <w:proofErr w:type="spellEnd"/>
          <w:r w:rsidRPr="008743B1">
            <w:rPr>
              <w:rFonts w:ascii="Arial" w:eastAsia="Times New Roman" w:hAnsi="Arial" w:cs="Arial"/>
              <w:sz w:val="20"/>
              <w:szCs w:val="20"/>
            </w:rPr>
            <w:t xml:space="preserve"> Indicators,” in </w:t>
          </w:r>
          <w:r w:rsidRPr="008743B1">
            <w:rPr>
              <w:rFonts w:ascii="Arial" w:eastAsia="Times New Roman" w:hAnsi="Arial" w:cs="Arial"/>
              <w:i/>
              <w:iCs/>
              <w:sz w:val="20"/>
              <w:szCs w:val="20"/>
            </w:rPr>
            <w:t>IOP Conference Series: Earth and Environmental Science</w:t>
          </w:r>
          <w:r w:rsidRPr="008743B1">
            <w:rPr>
              <w:rFonts w:ascii="Arial" w:eastAsia="Times New Roman" w:hAnsi="Arial" w:cs="Arial"/>
              <w:sz w:val="20"/>
              <w:szCs w:val="20"/>
            </w:rPr>
            <w:t xml:space="preserve">, Institute of Physics, 2022. </w:t>
          </w:r>
          <w:proofErr w:type="spellStart"/>
          <w:r w:rsidRPr="008743B1">
            <w:rPr>
              <w:rFonts w:ascii="Arial" w:eastAsia="Times New Roman" w:hAnsi="Arial" w:cs="Arial"/>
              <w:sz w:val="20"/>
              <w:szCs w:val="20"/>
            </w:rPr>
            <w:t>doi</w:t>
          </w:r>
          <w:proofErr w:type="spellEnd"/>
          <w:r w:rsidRPr="008743B1">
            <w:rPr>
              <w:rFonts w:ascii="Arial" w:eastAsia="Times New Roman" w:hAnsi="Arial" w:cs="Arial"/>
              <w:sz w:val="20"/>
              <w:szCs w:val="20"/>
            </w:rPr>
            <w:t>: 10.1088/1755-1315/1065/1/012043.</w:t>
          </w:r>
        </w:p>
        <w:p w14:paraId="06707CD7" w14:textId="77777777" w:rsidR="008743B1" w:rsidRPr="008743B1" w:rsidRDefault="008743B1" w:rsidP="008743B1">
          <w:pPr>
            <w:autoSpaceDE w:val="0"/>
            <w:autoSpaceDN w:val="0"/>
            <w:ind w:leftChars="-836" w:left="-1455" w:hangingChars="192" w:hanging="384"/>
            <w:jc w:val="both"/>
            <w:divId w:val="769937788"/>
            <w:rPr>
              <w:rFonts w:ascii="Arial" w:eastAsia="Times New Roman" w:hAnsi="Arial" w:cs="Arial"/>
              <w:sz w:val="20"/>
              <w:szCs w:val="20"/>
            </w:rPr>
          </w:pPr>
          <w:r w:rsidRPr="008743B1">
            <w:rPr>
              <w:rFonts w:ascii="Arial" w:eastAsia="Times New Roman" w:hAnsi="Arial" w:cs="Arial"/>
              <w:sz w:val="20"/>
              <w:szCs w:val="20"/>
            </w:rPr>
            <w:t>[7]</w:t>
          </w:r>
          <w:r w:rsidRPr="008743B1">
            <w:rPr>
              <w:rFonts w:ascii="Arial" w:eastAsia="Times New Roman" w:hAnsi="Arial" w:cs="Arial"/>
              <w:sz w:val="20"/>
              <w:szCs w:val="20"/>
            </w:rPr>
            <w:tab/>
            <w:t xml:space="preserve">F. Fitriana, D. </w:t>
          </w:r>
          <w:proofErr w:type="spellStart"/>
          <w:r w:rsidRPr="008743B1">
            <w:rPr>
              <w:rFonts w:ascii="Arial" w:eastAsia="Times New Roman" w:hAnsi="Arial" w:cs="Arial"/>
              <w:sz w:val="20"/>
              <w:szCs w:val="20"/>
            </w:rPr>
            <w:t>Yudianto</w:t>
          </w:r>
          <w:proofErr w:type="spellEnd"/>
          <w:r w:rsidRPr="008743B1">
            <w:rPr>
              <w:rFonts w:ascii="Arial" w:eastAsia="Times New Roman" w:hAnsi="Arial" w:cs="Arial"/>
              <w:sz w:val="20"/>
              <w:szCs w:val="20"/>
            </w:rPr>
            <w:t xml:space="preserve">, A. Polisar, and S. Sanjaya, “Investigation of Deoxygenation Rate Determination in </w:t>
          </w:r>
          <w:proofErr w:type="spellStart"/>
          <w:r w:rsidRPr="008743B1">
            <w:rPr>
              <w:rFonts w:ascii="Arial" w:eastAsia="Times New Roman" w:hAnsi="Arial" w:cs="Arial"/>
              <w:sz w:val="20"/>
              <w:szCs w:val="20"/>
            </w:rPr>
            <w:t>Cikakembang</w:t>
          </w:r>
          <w:proofErr w:type="spellEnd"/>
          <w:r w:rsidRPr="008743B1">
            <w:rPr>
              <w:rFonts w:ascii="Arial" w:eastAsia="Times New Roman" w:hAnsi="Arial" w:cs="Arial"/>
              <w:sz w:val="20"/>
              <w:szCs w:val="20"/>
            </w:rPr>
            <w:t xml:space="preserve"> River, West Java, Indonesia,” </w:t>
          </w:r>
          <w:r w:rsidRPr="008743B1">
            <w:rPr>
              <w:rFonts w:ascii="Arial" w:eastAsia="Times New Roman" w:hAnsi="Arial" w:cs="Arial"/>
              <w:i/>
              <w:iCs/>
              <w:sz w:val="20"/>
              <w:szCs w:val="20"/>
            </w:rPr>
            <w:t>Journal of the Civil Engineering Forum</w:t>
          </w:r>
          <w:r w:rsidRPr="008743B1">
            <w:rPr>
              <w:rFonts w:ascii="Arial" w:eastAsia="Times New Roman" w:hAnsi="Arial" w:cs="Arial"/>
              <w:sz w:val="20"/>
              <w:szCs w:val="20"/>
            </w:rPr>
            <w:t xml:space="preserve">, pp. 49–58, Jan. 2024, </w:t>
          </w:r>
          <w:proofErr w:type="spellStart"/>
          <w:r w:rsidRPr="008743B1">
            <w:rPr>
              <w:rFonts w:ascii="Arial" w:eastAsia="Times New Roman" w:hAnsi="Arial" w:cs="Arial"/>
              <w:sz w:val="20"/>
              <w:szCs w:val="20"/>
            </w:rPr>
            <w:t>doi</w:t>
          </w:r>
          <w:proofErr w:type="spellEnd"/>
          <w:r w:rsidRPr="008743B1">
            <w:rPr>
              <w:rFonts w:ascii="Arial" w:eastAsia="Times New Roman" w:hAnsi="Arial" w:cs="Arial"/>
              <w:sz w:val="20"/>
              <w:szCs w:val="20"/>
            </w:rPr>
            <w:t>: 10.22146/jcef.8377.</w:t>
          </w:r>
        </w:p>
        <w:p w14:paraId="2471FFFA" w14:textId="77777777" w:rsidR="008743B1" w:rsidRPr="008743B1" w:rsidRDefault="008743B1" w:rsidP="00DB4A87">
          <w:pPr>
            <w:autoSpaceDE w:val="0"/>
            <w:autoSpaceDN w:val="0"/>
            <w:spacing w:after="0"/>
            <w:ind w:leftChars="-836" w:left="-1455" w:hangingChars="192" w:hanging="384"/>
            <w:jc w:val="both"/>
            <w:divId w:val="1637486922"/>
            <w:rPr>
              <w:rFonts w:ascii="Arial" w:eastAsia="Times New Roman" w:hAnsi="Arial" w:cs="Arial"/>
              <w:sz w:val="20"/>
              <w:szCs w:val="20"/>
            </w:rPr>
          </w:pPr>
          <w:r w:rsidRPr="008743B1">
            <w:rPr>
              <w:rFonts w:ascii="Arial" w:eastAsia="Times New Roman" w:hAnsi="Arial" w:cs="Arial"/>
              <w:sz w:val="20"/>
              <w:szCs w:val="20"/>
            </w:rPr>
            <w:lastRenderedPageBreak/>
            <w:t>[8]</w:t>
          </w:r>
          <w:r w:rsidRPr="008743B1">
            <w:rPr>
              <w:rFonts w:ascii="Arial" w:eastAsia="Times New Roman" w:hAnsi="Arial" w:cs="Arial"/>
              <w:sz w:val="20"/>
              <w:szCs w:val="20"/>
            </w:rPr>
            <w:tab/>
            <w:t xml:space="preserve">A. P. Periyasamy, “Recent Advances in the Remediation of Textile-Dye-Containing Wastewater: Prioritizing Human Health and Sustainable Wastewater Treatment,” Jan. 01, 2024, </w:t>
          </w:r>
          <w:r w:rsidRPr="008743B1">
            <w:rPr>
              <w:rFonts w:ascii="Arial" w:eastAsia="Times New Roman" w:hAnsi="Arial" w:cs="Arial"/>
              <w:i/>
              <w:iCs/>
              <w:sz w:val="20"/>
              <w:szCs w:val="20"/>
            </w:rPr>
            <w:t>Multidisciplinary Digital Publishing Institute (MDPI)</w:t>
          </w:r>
          <w:r w:rsidRPr="008743B1">
            <w:rPr>
              <w:rFonts w:ascii="Arial" w:eastAsia="Times New Roman" w:hAnsi="Arial" w:cs="Arial"/>
              <w:sz w:val="20"/>
              <w:szCs w:val="20"/>
            </w:rPr>
            <w:t xml:space="preserve">. </w:t>
          </w:r>
          <w:proofErr w:type="spellStart"/>
          <w:r w:rsidRPr="008743B1">
            <w:rPr>
              <w:rFonts w:ascii="Arial" w:eastAsia="Times New Roman" w:hAnsi="Arial" w:cs="Arial"/>
              <w:sz w:val="20"/>
              <w:szCs w:val="20"/>
            </w:rPr>
            <w:t>doi</w:t>
          </w:r>
          <w:proofErr w:type="spellEnd"/>
          <w:r w:rsidRPr="008743B1">
            <w:rPr>
              <w:rFonts w:ascii="Arial" w:eastAsia="Times New Roman" w:hAnsi="Arial" w:cs="Arial"/>
              <w:sz w:val="20"/>
              <w:szCs w:val="20"/>
            </w:rPr>
            <w:t>: 10.3390/su16020495.</w:t>
          </w:r>
        </w:p>
        <w:p w14:paraId="4475D251" w14:textId="77777777" w:rsidR="008743B1" w:rsidRPr="008743B1" w:rsidRDefault="008743B1" w:rsidP="00DB4A87">
          <w:pPr>
            <w:autoSpaceDE w:val="0"/>
            <w:autoSpaceDN w:val="0"/>
            <w:spacing w:after="0"/>
            <w:ind w:leftChars="-836" w:left="-1455" w:hangingChars="192" w:hanging="384"/>
            <w:jc w:val="both"/>
            <w:divId w:val="561212541"/>
            <w:rPr>
              <w:rFonts w:ascii="Arial" w:eastAsia="Times New Roman" w:hAnsi="Arial" w:cs="Arial"/>
              <w:sz w:val="20"/>
              <w:szCs w:val="20"/>
            </w:rPr>
          </w:pPr>
          <w:r w:rsidRPr="008743B1">
            <w:rPr>
              <w:rFonts w:ascii="Arial" w:eastAsia="Times New Roman" w:hAnsi="Arial" w:cs="Arial"/>
              <w:sz w:val="20"/>
              <w:szCs w:val="20"/>
            </w:rPr>
            <w:t>[9]</w:t>
          </w:r>
          <w:r w:rsidRPr="008743B1">
            <w:rPr>
              <w:rFonts w:ascii="Arial" w:eastAsia="Times New Roman" w:hAnsi="Arial" w:cs="Arial"/>
              <w:sz w:val="20"/>
              <w:szCs w:val="20"/>
            </w:rPr>
            <w:tab/>
            <w:t xml:space="preserve">X. Wang, J. Jiang, and W. Gao, “Reviewing textile wastewater produced by industries: characteristics, environmental impacts, and treatment strategies,” Apr. 01, 2022, </w:t>
          </w:r>
          <w:r w:rsidRPr="008743B1">
            <w:rPr>
              <w:rFonts w:ascii="Arial" w:eastAsia="Times New Roman" w:hAnsi="Arial" w:cs="Arial"/>
              <w:i/>
              <w:iCs/>
              <w:sz w:val="20"/>
              <w:szCs w:val="20"/>
            </w:rPr>
            <w:t>IWA Publishing</w:t>
          </w:r>
          <w:r w:rsidRPr="008743B1">
            <w:rPr>
              <w:rFonts w:ascii="Arial" w:eastAsia="Times New Roman" w:hAnsi="Arial" w:cs="Arial"/>
              <w:sz w:val="20"/>
              <w:szCs w:val="20"/>
            </w:rPr>
            <w:t xml:space="preserve">. </w:t>
          </w:r>
          <w:proofErr w:type="spellStart"/>
          <w:r w:rsidRPr="008743B1">
            <w:rPr>
              <w:rFonts w:ascii="Arial" w:eastAsia="Times New Roman" w:hAnsi="Arial" w:cs="Arial"/>
              <w:sz w:val="20"/>
              <w:szCs w:val="20"/>
            </w:rPr>
            <w:t>doi</w:t>
          </w:r>
          <w:proofErr w:type="spellEnd"/>
          <w:r w:rsidRPr="008743B1">
            <w:rPr>
              <w:rFonts w:ascii="Arial" w:eastAsia="Times New Roman" w:hAnsi="Arial" w:cs="Arial"/>
              <w:sz w:val="20"/>
              <w:szCs w:val="20"/>
            </w:rPr>
            <w:t>: 10.2166/wst.2022.088.</w:t>
          </w:r>
        </w:p>
        <w:p w14:paraId="7712459D" w14:textId="77777777" w:rsidR="008743B1" w:rsidRPr="008743B1" w:rsidRDefault="008743B1" w:rsidP="00DB4A87">
          <w:pPr>
            <w:autoSpaceDE w:val="0"/>
            <w:autoSpaceDN w:val="0"/>
            <w:spacing w:after="0"/>
            <w:ind w:leftChars="-836" w:left="-1455" w:hangingChars="192" w:hanging="384"/>
            <w:jc w:val="both"/>
            <w:divId w:val="333647559"/>
            <w:rPr>
              <w:rFonts w:ascii="Arial" w:eastAsia="Times New Roman" w:hAnsi="Arial" w:cs="Arial"/>
              <w:sz w:val="20"/>
              <w:szCs w:val="20"/>
            </w:rPr>
          </w:pPr>
          <w:r w:rsidRPr="008743B1">
            <w:rPr>
              <w:rFonts w:ascii="Arial" w:eastAsia="Times New Roman" w:hAnsi="Arial" w:cs="Arial"/>
              <w:sz w:val="20"/>
              <w:szCs w:val="20"/>
            </w:rPr>
            <w:t>[10]</w:t>
          </w:r>
          <w:r w:rsidRPr="008743B1">
            <w:rPr>
              <w:rFonts w:ascii="Arial" w:eastAsia="Times New Roman" w:hAnsi="Arial" w:cs="Arial"/>
              <w:sz w:val="20"/>
              <w:szCs w:val="20"/>
            </w:rPr>
            <w:tab/>
            <w:t xml:space="preserve">A. </w:t>
          </w:r>
          <w:proofErr w:type="spellStart"/>
          <w:r w:rsidRPr="008743B1">
            <w:rPr>
              <w:rFonts w:ascii="Arial" w:eastAsia="Times New Roman" w:hAnsi="Arial" w:cs="Arial"/>
              <w:sz w:val="20"/>
              <w:szCs w:val="20"/>
            </w:rPr>
            <w:t>Azanaw</w:t>
          </w:r>
          <w:proofErr w:type="spellEnd"/>
          <w:r w:rsidRPr="008743B1">
            <w:rPr>
              <w:rFonts w:ascii="Arial" w:eastAsia="Times New Roman" w:hAnsi="Arial" w:cs="Arial"/>
              <w:sz w:val="20"/>
              <w:szCs w:val="20"/>
            </w:rPr>
            <w:t xml:space="preserve">, B. Birlie, B. Teshome, and M. </w:t>
          </w:r>
          <w:proofErr w:type="spellStart"/>
          <w:r w:rsidRPr="008743B1">
            <w:rPr>
              <w:rFonts w:ascii="Arial" w:eastAsia="Times New Roman" w:hAnsi="Arial" w:cs="Arial"/>
              <w:sz w:val="20"/>
              <w:szCs w:val="20"/>
            </w:rPr>
            <w:t>Jemberie</w:t>
          </w:r>
          <w:proofErr w:type="spellEnd"/>
          <w:r w:rsidRPr="008743B1">
            <w:rPr>
              <w:rFonts w:ascii="Arial" w:eastAsia="Times New Roman" w:hAnsi="Arial" w:cs="Arial"/>
              <w:sz w:val="20"/>
              <w:szCs w:val="20"/>
            </w:rPr>
            <w:t xml:space="preserve">, “Textile effluent treatment methods and eco-friendly resolution of textile wastewater,” </w:t>
          </w:r>
          <w:r w:rsidRPr="008743B1">
            <w:rPr>
              <w:rFonts w:ascii="Arial" w:eastAsia="Times New Roman" w:hAnsi="Arial" w:cs="Arial"/>
              <w:i/>
              <w:iCs/>
              <w:sz w:val="20"/>
              <w:szCs w:val="20"/>
            </w:rPr>
            <w:t>Case Studies in Chemical and Environmental Engineering</w:t>
          </w:r>
          <w:r w:rsidRPr="008743B1">
            <w:rPr>
              <w:rFonts w:ascii="Arial" w:eastAsia="Times New Roman" w:hAnsi="Arial" w:cs="Arial"/>
              <w:sz w:val="20"/>
              <w:szCs w:val="20"/>
            </w:rPr>
            <w:t xml:space="preserve">, vol. 6, Dec. 2022, </w:t>
          </w:r>
          <w:proofErr w:type="spellStart"/>
          <w:r w:rsidRPr="008743B1">
            <w:rPr>
              <w:rFonts w:ascii="Arial" w:eastAsia="Times New Roman" w:hAnsi="Arial" w:cs="Arial"/>
              <w:sz w:val="20"/>
              <w:szCs w:val="20"/>
            </w:rPr>
            <w:t>doi</w:t>
          </w:r>
          <w:proofErr w:type="spellEnd"/>
          <w:r w:rsidRPr="008743B1">
            <w:rPr>
              <w:rFonts w:ascii="Arial" w:eastAsia="Times New Roman" w:hAnsi="Arial" w:cs="Arial"/>
              <w:sz w:val="20"/>
              <w:szCs w:val="20"/>
            </w:rPr>
            <w:t>: 10.1016/j.cscee.2022.100230.</w:t>
          </w:r>
        </w:p>
        <w:p w14:paraId="13059039" w14:textId="77777777" w:rsidR="008743B1" w:rsidRPr="008743B1" w:rsidRDefault="008743B1" w:rsidP="00DB4A87">
          <w:pPr>
            <w:autoSpaceDE w:val="0"/>
            <w:autoSpaceDN w:val="0"/>
            <w:spacing w:after="0"/>
            <w:ind w:leftChars="-836" w:left="-1455" w:hangingChars="192" w:hanging="384"/>
            <w:jc w:val="both"/>
            <w:divId w:val="714692566"/>
            <w:rPr>
              <w:rFonts w:ascii="Arial" w:eastAsia="Times New Roman" w:hAnsi="Arial" w:cs="Arial"/>
              <w:sz w:val="20"/>
              <w:szCs w:val="20"/>
            </w:rPr>
          </w:pPr>
          <w:r w:rsidRPr="008743B1">
            <w:rPr>
              <w:rFonts w:ascii="Arial" w:eastAsia="Times New Roman" w:hAnsi="Arial" w:cs="Arial"/>
              <w:sz w:val="20"/>
              <w:szCs w:val="20"/>
            </w:rPr>
            <w:t>[11]</w:t>
          </w:r>
          <w:r w:rsidRPr="008743B1">
            <w:rPr>
              <w:rFonts w:ascii="Arial" w:eastAsia="Times New Roman" w:hAnsi="Arial" w:cs="Arial"/>
              <w:sz w:val="20"/>
              <w:szCs w:val="20"/>
            </w:rPr>
            <w:tab/>
            <w:t xml:space="preserve">M. </w:t>
          </w:r>
          <w:proofErr w:type="spellStart"/>
          <w:r w:rsidRPr="008743B1">
            <w:rPr>
              <w:rFonts w:ascii="Arial" w:eastAsia="Times New Roman" w:hAnsi="Arial" w:cs="Arial"/>
              <w:sz w:val="20"/>
              <w:szCs w:val="20"/>
            </w:rPr>
            <w:t>Khalish</w:t>
          </w:r>
          <w:proofErr w:type="spellEnd"/>
          <w:r w:rsidRPr="008743B1">
            <w:rPr>
              <w:rFonts w:ascii="Arial" w:eastAsia="Times New Roman" w:hAnsi="Arial" w:cs="Arial"/>
              <w:sz w:val="20"/>
              <w:szCs w:val="20"/>
            </w:rPr>
            <w:t xml:space="preserve">, A. Utami, H. </w:t>
          </w:r>
          <w:proofErr w:type="spellStart"/>
          <w:r w:rsidRPr="008743B1">
            <w:rPr>
              <w:rFonts w:ascii="Arial" w:eastAsia="Times New Roman" w:hAnsi="Arial" w:cs="Arial"/>
              <w:sz w:val="20"/>
              <w:szCs w:val="20"/>
            </w:rPr>
            <w:t>Lukito</w:t>
          </w:r>
          <w:proofErr w:type="spellEnd"/>
          <w:r w:rsidRPr="008743B1">
            <w:rPr>
              <w:rFonts w:ascii="Arial" w:eastAsia="Times New Roman" w:hAnsi="Arial" w:cs="Arial"/>
              <w:sz w:val="20"/>
              <w:szCs w:val="20"/>
            </w:rPr>
            <w:t xml:space="preserve">, and S. </w:t>
          </w:r>
          <w:proofErr w:type="spellStart"/>
          <w:r w:rsidRPr="008743B1">
            <w:rPr>
              <w:rFonts w:ascii="Arial" w:eastAsia="Times New Roman" w:hAnsi="Arial" w:cs="Arial"/>
              <w:sz w:val="20"/>
              <w:szCs w:val="20"/>
            </w:rPr>
            <w:t>Herlambang</w:t>
          </w:r>
          <w:proofErr w:type="spellEnd"/>
          <w:r w:rsidRPr="008743B1">
            <w:rPr>
              <w:rFonts w:ascii="Arial" w:eastAsia="Times New Roman" w:hAnsi="Arial" w:cs="Arial"/>
              <w:sz w:val="20"/>
              <w:szCs w:val="20"/>
            </w:rPr>
            <w:t xml:space="preserve">, “Evaluation of Textile Industry Wastewater Treatment as an Effort to Control River Water Pollution in Central Java,” </w:t>
          </w:r>
          <w:r w:rsidRPr="008743B1">
            <w:rPr>
              <w:rFonts w:ascii="Arial" w:eastAsia="Times New Roman" w:hAnsi="Arial" w:cs="Arial"/>
              <w:i/>
              <w:iCs/>
              <w:sz w:val="20"/>
              <w:szCs w:val="20"/>
            </w:rPr>
            <w:t>KnE Life Sciences</w:t>
          </w:r>
          <w:r w:rsidRPr="008743B1">
            <w:rPr>
              <w:rFonts w:ascii="Arial" w:eastAsia="Times New Roman" w:hAnsi="Arial" w:cs="Arial"/>
              <w:sz w:val="20"/>
              <w:szCs w:val="20"/>
            </w:rPr>
            <w:t xml:space="preserve">, Jun. 2022, </w:t>
          </w:r>
          <w:proofErr w:type="spellStart"/>
          <w:r w:rsidRPr="008743B1">
            <w:rPr>
              <w:rFonts w:ascii="Arial" w:eastAsia="Times New Roman" w:hAnsi="Arial" w:cs="Arial"/>
              <w:sz w:val="20"/>
              <w:szCs w:val="20"/>
            </w:rPr>
            <w:t>doi</w:t>
          </w:r>
          <w:proofErr w:type="spellEnd"/>
          <w:r w:rsidRPr="008743B1">
            <w:rPr>
              <w:rFonts w:ascii="Arial" w:eastAsia="Times New Roman" w:hAnsi="Arial" w:cs="Arial"/>
              <w:sz w:val="20"/>
              <w:szCs w:val="20"/>
            </w:rPr>
            <w:t>: 10.18502/</w:t>
          </w:r>
          <w:proofErr w:type="gramStart"/>
          <w:r w:rsidRPr="008743B1">
            <w:rPr>
              <w:rFonts w:ascii="Arial" w:eastAsia="Times New Roman" w:hAnsi="Arial" w:cs="Arial"/>
              <w:sz w:val="20"/>
              <w:szCs w:val="20"/>
            </w:rPr>
            <w:t>kls.v</w:t>
          </w:r>
          <w:proofErr w:type="gramEnd"/>
          <w:r w:rsidRPr="008743B1">
            <w:rPr>
              <w:rFonts w:ascii="Arial" w:eastAsia="Times New Roman" w:hAnsi="Arial" w:cs="Arial"/>
              <w:sz w:val="20"/>
              <w:szCs w:val="20"/>
            </w:rPr>
            <w:t>7i3.11106.</w:t>
          </w:r>
        </w:p>
        <w:p w14:paraId="577A9BAB" w14:textId="77777777" w:rsidR="008743B1" w:rsidRPr="008743B1" w:rsidRDefault="008743B1" w:rsidP="00DB4A87">
          <w:pPr>
            <w:autoSpaceDE w:val="0"/>
            <w:autoSpaceDN w:val="0"/>
            <w:spacing w:after="0"/>
            <w:ind w:leftChars="-836" w:left="-1455" w:hangingChars="192" w:hanging="384"/>
            <w:jc w:val="both"/>
            <w:divId w:val="134375430"/>
            <w:rPr>
              <w:rFonts w:ascii="Arial" w:eastAsia="Times New Roman" w:hAnsi="Arial" w:cs="Arial"/>
              <w:sz w:val="20"/>
              <w:szCs w:val="20"/>
            </w:rPr>
          </w:pPr>
          <w:r w:rsidRPr="008743B1">
            <w:rPr>
              <w:rFonts w:ascii="Arial" w:eastAsia="Times New Roman" w:hAnsi="Arial" w:cs="Arial"/>
              <w:sz w:val="20"/>
              <w:szCs w:val="20"/>
            </w:rPr>
            <w:t>[12]</w:t>
          </w:r>
          <w:r w:rsidRPr="008743B1">
            <w:rPr>
              <w:rFonts w:ascii="Arial" w:eastAsia="Times New Roman" w:hAnsi="Arial" w:cs="Arial"/>
              <w:sz w:val="20"/>
              <w:szCs w:val="20"/>
            </w:rPr>
            <w:tab/>
            <w:t xml:space="preserve">J. M. </w:t>
          </w:r>
          <w:proofErr w:type="spellStart"/>
          <w:r w:rsidRPr="008743B1">
            <w:rPr>
              <w:rFonts w:ascii="Arial" w:eastAsia="Times New Roman" w:hAnsi="Arial" w:cs="Arial"/>
              <w:sz w:val="20"/>
              <w:szCs w:val="20"/>
            </w:rPr>
            <w:t>Bidu</w:t>
          </w:r>
          <w:proofErr w:type="spellEnd"/>
          <w:r w:rsidRPr="008743B1">
            <w:rPr>
              <w:rFonts w:ascii="Arial" w:eastAsia="Times New Roman" w:hAnsi="Arial" w:cs="Arial"/>
              <w:sz w:val="20"/>
              <w:szCs w:val="20"/>
            </w:rPr>
            <w:t xml:space="preserve">, B. van der Bruggen, M. J. </w:t>
          </w:r>
          <w:proofErr w:type="spellStart"/>
          <w:r w:rsidRPr="008743B1">
            <w:rPr>
              <w:rFonts w:ascii="Arial" w:eastAsia="Times New Roman" w:hAnsi="Arial" w:cs="Arial"/>
              <w:sz w:val="20"/>
              <w:szCs w:val="20"/>
            </w:rPr>
            <w:t>Rwiza</w:t>
          </w:r>
          <w:proofErr w:type="spellEnd"/>
          <w:r w:rsidRPr="008743B1">
            <w:rPr>
              <w:rFonts w:ascii="Arial" w:eastAsia="Times New Roman" w:hAnsi="Arial" w:cs="Arial"/>
              <w:sz w:val="20"/>
              <w:szCs w:val="20"/>
            </w:rPr>
            <w:t xml:space="preserve">, and K. N. Njau, “Current status of textile wastewater management practices and effluent characteristics in Tanzania,” </w:t>
          </w:r>
          <w:r w:rsidRPr="008743B1">
            <w:rPr>
              <w:rFonts w:ascii="Arial" w:eastAsia="Times New Roman" w:hAnsi="Arial" w:cs="Arial"/>
              <w:i/>
              <w:iCs/>
              <w:sz w:val="20"/>
              <w:szCs w:val="20"/>
            </w:rPr>
            <w:t>Water Science and Technology</w:t>
          </w:r>
          <w:r w:rsidRPr="008743B1">
            <w:rPr>
              <w:rFonts w:ascii="Arial" w:eastAsia="Times New Roman" w:hAnsi="Arial" w:cs="Arial"/>
              <w:sz w:val="20"/>
              <w:szCs w:val="20"/>
            </w:rPr>
            <w:t xml:space="preserve">, vol. 83, no. 10, pp. 2363–2376, May 2021, </w:t>
          </w:r>
          <w:proofErr w:type="spellStart"/>
          <w:r w:rsidRPr="008743B1">
            <w:rPr>
              <w:rFonts w:ascii="Arial" w:eastAsia="Times New Roman" w:hAnsi="Arial" w:cs="Arial"/>
              <w:sz w:val="20"/>
              <w:szCs w:val="20"/>
            </w:rPr>
            <w:t>doi</w:t>
          </w:r>
          <w:proofErr w:type="spellEnd"/>
          <w:r w:rsidRPr="008743B1">
            <w:rPr>
              <w:rFonts w:ascii="Arial" w:eastAsia="Times New Roman" w:hAnsi="Arial" w:cs="Arial"/>
              <w:sz w:val="20"/>
              <w:szCs w:val="20"/>
            </w:rPr>
            <w:t>: 10.2166/wst.2021.133.</w:t>
          </w:r>
        </w:p>
        <w:p w14:paraId="15B2DB78" w14:textId="77777777" w:rsidR="008743B1" w:rsidRPr="008743B1" w:rsidRDefault="008743B1" w:rsidP="00DB4A87">
          <w:pPr>
            <w:autoSpaceDE w:val="0"/>
            <w:autoSpaceDN w:val="0"/>
            <w:spacing w:after="0"/>
            <w:ind w:leftChars="-836" w:left="-1455" w:hangingChars="192" w:hanging="384"/>
            <w:jc w:val="both"/>
            <w:divId w:val="18432824"/>
            <w:rPr>
              <w:rFonts w:ascii="Arial" w:eastAsia="Times New Roman" w:hAnsi="Arial" w:cs="Arial"/>
              <w:sz w:val="20"/>
              <w:szCs w:val="20"/>
            </w:rPr>
          </w:pPr>
          <w:r w:rsidRPr="008743B1">
            <w:rPr>
              <w:rFonts w:ascii="Arial" w:eastAsia="Times New Roman" w:hAnsi="Arial" w:cs="Arial"/>
              <w:sz w:val="20"/>
              <w:szCs w:val="20"/>
            </w:rPr>
            <w:t>[13]</w:t>
          </w:r>
          <w:r w:rsidRPr="008743B1">
            <w:rPr>
              <w:rFonts w:ascii="Arial" w:eastAsia="Times New Roman" w:hAnsi="Arial" w:cs="Arial"/>
              <w:sz w:val="20"/>
              <w:szCs w:val="20"/>
            </w:rPr>
            <w:tab/>
            <w:t xml:space="preserve">L. A. Castillo-Suárez, A. G. Sierra-Sánchez, I. Linares-Hernández, V. Martínez-Miranda, and E. A. </w:t>
          </w:r>
          <w:proofErr w:type="spellStart"/>
          <w:r w:rsidRPr="008743B1">
            <w:rPr>
              <w:rFonts w:ascii="Arial" w:eastAsia="Times New Roman" w:hAnsi="Arial" w:cs="Arial"/>
              <w:sz w:val="20"/>
              <w:szCs w:val="20"/>
            </w:rPr>
            <w:t>Teutli</w:t>
          </w:r>
          <w:proofErr w:type="spellEnd"/>
          <w:r w:rsidRPr="008743B1">
            <w:rPr>
              <w:rFonts w:ascii="Arial" w:eastAsia="Times New Roman" w:hAnsi="Arial" w:cs="Arial"/>
              <w:sz w:val="20"/>
              <w:szCs w:val="20"/>
            </w:rPr>
            <w:t xml:space="preserve">-Sequeira, “A critical review of textile industry wastewater: green technologies for the removal of indigo dyes,” Sep. 01, 2023, </w:t>
          </w:r>
          <w:r w:rsidRPr="008743B1">
            <w:rPr>
              <w:rFonts w:ascii="Arial" w:eastAsia="Times New Roman" w:hAnsi="Arial" w:cs="Arial"/>
              <w:i/>
              <w:iCs/>
              <w:sz w:val="20"/>
              <w:szCs w:val="20"/>
            </w:rPr>
            <w:t>Institute for Ionics</w:t>
          </w:r>
          <w:r w:rsidRPr="008743B1">
            <w:rPr>
              <w:rFonts w:ascii="Arial" w:eastAsia="Times New Roman" w:hAnsi="Arial" w:cs="Arial"/>
              <w:sz w:val="20"/>
              <w:szCs w:val="20"/>
            </w:rPr>
            <w:t xml:space="preserve">. </w:t>
          </w:r>
          <w:proofErr w:type="spellStart"/>
          <w:r w:rsidRPr="008743B1">
            <w:rPr>
              <w:rFonts w:ascii="Arial" w:eastAsia="Times New Roman" w:hAnsi="Arial" w:cs="Arial"/>
              <w:sz w:val="20"/>
              <w:szCs w:val="20"/>
            </w:rPr>
            <w:t>doi</w:t>
          </w:r>
          <w:proofErr w:type="spellEnd"/>
          <w:r w:rsidRPr="008743B1">
            <w:rPr>
              <w:rFonts w:ascii="Arial" w:eastAsia="Times New Roman" w:hAnsi="Arial" w:cs="Arial"/>
              <w:sz w:val="20"/>
              <w:szCs w:val="20"/>
            </w:rPr>
            <w:t>: 10.1007/s13762-023-04810-2.</w:t>
          </w:r>
        </w:p>
        <w:p w14:paraId="099A5719" w14:textId="77777777" w:rsidR="008743B1" w:rsidRPr="008743B1" w:rsidRDefault="008743B1" w:rsidP="00DB4A87">
          <w:pPr>
            <w:autoSpaceDE w:val="0"/>
            <w:autoSpaceDN w:val="0"/>
            <w:spacing w:after="0"/>
            <w:ind w:leftChars="-836" w:left="-1455" w:hangingChars="192" w:hanging="384"/>
            <w:jc w:val="both"/>
            <w:divId w:val="1576089355"/>
            <w:rPr>
              <w:rFonts w:ascii="Arial" w:eastAsia="Times New Roman" w:hAnsi="Arial" w:cs="Arial"/>
              <w:sz w:val="20"/>
              <w:szCs w:val="20"/>
            </w:rPr>
          </w:pPr>
          <w:r w:rsidRPr="008743B1">
            <w:rPr>
              <w:rFonts w:ascii="Arial" w:eastAsia="Times New Roman" w:hAnsi="Arial" w:cs="Arial"/>
              <w:sz w:val="20"/>
              <w:szCs w:val="20"/>
            </w:rPr>
            <w:t>[14]</w:t>
          </w:r>
          <w:r w:rsidRPr="008743B1">
            <w:rPr>
              <w:rFonts w:ascii="Arial" w:eastAsia="Times New Roman" w:hAnsi="Arial" w:cs="Arial"/>
              <w:sz w:val="20"/>
              <w:szCs w:val="20"/>
            </w:rPr>
            <w:tab/>
            <w:t xml:space="preserve">S. Mitra </w:t>
          </w:r>
          <w:r w:rsidRPr="008743B1">
            <w:rPr>
              <w:rFonts w:ascii="Arial" w:eastAsia="Times New Roman" w:hAnsi="Arial" w:cs="Arial"/>
              <w:i/>
              <w:iCs/>
              <w:sz w:val="20"/>
              <w:szCs w:val="20"/>
            </w:rPr>
            <w:t>et al.</w:t>
          </w:r>
          <w:r w:rsidRPr="008743B1">
            <w:rPr>
              <w:rFonts w:ascii="Arial" w:eastAsia="Times New Roman" w:hAnsi="Arial" w:cs="Arial"/>
              <w:sz w:val="20"/>
              <w:szCs w:val="20"/>
            </w:rPr>
            <w:t xml:space="preserve">, “Impact of heavy metals on the environment and human health: Novel therapeutic insights to counter the toxicity,” </w:t>
          </w:r>
          <w:r w:rsidRPr="008743B1">
            <w:rPr>
              <w:rFonts w:ascii="Arial" w:eastAsia="Times New Roman" w:hAnsi="Arial" w:cs="Arial"/>
              <w:i/>
              <w:iCs/>
              <w:sz w:val="20"/>
              <w:szCs w:val="20"/>
            </w:rPr>
            <w:t>J King Saud Univ Sci</w:t>
          </w:r>
          <w:r w:rsidRPr="008743B1">
            <w:rPr>
              <w:rFonts w:ascii="Arial" w:eastAsia="Times New Roman" w:hAnsi="Arial" w:cs="Arial"/>
              <w:sz w:val="20"/>
              <w:szCs w:val="20"/>
            </w:rPr>
            <w:t xml:space="preserve">, vol. 34, no. 3, Apr. 2022, </w:t>
          </w:r>
          <w:proofErr w:type="spellStart"/>
          <w:r w:rsidRPr="008743B1">
            <w:rPr>
              <w:rFonts w:ascii="Arial" w:eastAsia="Times New Roman" w:hAnsi="Arial" w:cs="Arial"/>
              <w:sz w:val="20"/>
              <w:szCs w:val="20"/>
            </w:rPr>
            <w:t>doi</w:t>
          </w:r>
          <w:proofErr w:type="spellEnd"/>
          <w:r w:rsidRPr="008743B1">
            <w:rPr>
              <w:rFonts w:ascii="Arial" w:eastAsia="Times New Roman" w:hAnsi="Arial" w:cs="Arial"/>
              <w:sz w:val="20"/>
              <w:szCs w:val="20"/>
            </w:rPr>
            <w:t>: 10.1016/j.jksus.2022.101865.</w:t>
          </w:r>
        </w:p>
        <w:p w14:paraId="010C1F05" w14:textId="77777777" w:rsidR="008743B1" w:rsidRPr="008743B1" w:rsidRDefault="008743B1" w:rsidP="00DB4A87">
          <w:pPr>
            <w:autoSpaceDE w:val="0"/>
            <w:autoSpaceDN w:val="0"/>
            <w:spacing w:after="0"/>
            <w:ind w:leftChars="-836" w:left="-1455" w:hangingChars="192" w:hanging="384"/>
            <w:jc w:val="both"/>
            <w:divId w:val="324362035"/>
            <w:rPr>
              <w:rFonts w:ascii="Arial" w:eastAsia="Times New Roman" w:hAnsi="Arial" w:cs="Arial"/>
              <w:sz w:val="20"/>
              <w:szCs w:val="20"/>
            </w:rPr>
          </w:pPr>
          <w:r w:rsidRPr="008743B1">
            <w:rPr>
              <w:rFonts w:ascii="Arial" w:eastAsia="Times New Roman" w:hAnsi="Arial" w:cs="Arial"/>
              <w:sz w:val="20"/>
              <w:szCs w:val="20"/>
            </w:rPr>
            <w:t>[15]</w:t>
          </w:r>
          <w:r w:rsidRPr="008743B1">
            <w:rPr>
              <w:rFonts w:ascii="Arial" w:eastAsia="Times New Roman" w:hAnsi="Arial" w:cs="Arial"/>
              <w:sz w:val="20"/>
              <w:szCs w:val="20"/>
            </w:rPr>
            <w:tab/>
            <w:t xml:space="preserve">S. Kent, D. </w:t>
          </w:r>
          <w:proofErr w:type="spellStart"/>
          <w:r w:rsidRPr="008743B1">
            <w:rPr>
              <w:rFonts w:ascii="Arial" w:eastAsia="Times New Roman" w:hAnsi="Arial" w:cs="Arial"/>
              <w:sz w:val="20"/>
              <w:szCs w:val="20"/>
            </w:rPr>
            <w:t>Yudianto</w:t>
          </w:r>
          <w:proofErr w:type="spellEnd"/>
          <w:r w:rsidRPr="008743B1">
            <w:rPr>
              <w:rFonts w:ascii="Arial" w:eastAsia="Times New Roman" w:hAnsi="Arial" w:cs="Arial"/>
              <w:sz w:val="20"/>
              <w:szCs w:val="20"/>
            </w:rPr>
            <w:t xml:space="preserve">, C. Gao, F. Fitriana, and Q. Wang, “Water Quality Modelling with Industrial and Domestic Point Source </w:t>
          </w:r>
          <w:proofErr w:type="gramStart"/>
          <w:r w:rsidRPr="008743B1">
            <w:rPr>
              <w:rFonts w:ascii="Arial" w:eastAsia="Times New Roman" w:hAnsi="Arial" w:cs="Arial"/>
              <w:sz w:val="20"/>
              <w:szCs w:val="20"/>
            </w:rPr>
            <w:t>Pollution :</w:t>
          </w:r>
          <w:proofErr w:type="gramEnd"/>
          <w:r w:rsidRPr="008743B1">
            <w:rPr>
              <w:rFonts w:ascii="Arial" w:eastAsia="Times New Roman" w:hAnsi="Arial" w:cs="Arial"/>
              <w:sz w:val="20"/>
              <w:szCs w:val="20"/>
            </w:rPr>
            <w:t xml:space="preserve"> a Study Case of </w:t>
          </w:r>
          <w:proofErr w:type="spellStart"/>
          <w:r w:rsidRPr="008743B1">
            <w:rPr>
              <w:rFonts w:ascii="Arial" w:eastAsia="Times New Roman" w:hAnsi="Arial" w:cs="Arial"/>
              <w:sz w:val="20"/>
              <w:szCs w:val="20"/>
            </w:rPr>
            <w:t>Cikakembang</w:t>
          </w:r>
          <w:proofErr w:type="spellEnd"/>
          <w:r w:rsidRPr="008743B1">
            <w:rPr>
              <w:rFonts w:ascii="Arial" w:eastAsia="Times New Roman" w:hAnsi="Arial" w:cs="Arial"/>
              <w:sz w:val="20"/>
              <w:szCs w:val="20"/>
            </w:rPr>
            <w:t xml:space="preserve"> River, </w:t>
          </w:r>
          <w:proofErr w:type="spellStart"/>
          <w:r w:rsidRPr="008743B1">
            <w:rPr>
              <w:rFonts w:ascii="Arial" w:eastAsia="Times New Roman" w:hAnsi="Arial" w:cs="Arial"/>
              <w:sz w:val="20"/>
              <w:szCs w:val="20"/>
            </w:rPr>
            <w:t>Majalaya</w:t>
          </w:r>
          <w:proofErr w:type="spellEnd"/>
          <w:r w:rsidRPr="008743B1">
            <w:rPr>
              <w:rFonts w:ascii="Arial" w:eastAsia="Times New Roman" w:hAnsi="Arial" w:cs="Arial"/>
              <w:sz w:val="20"/>
              <w:szCs w:val="20"/>
            </w:rPr>
            <w:t xml:space="preserve"> District,” </w:t>
          </w:r>
          <w:r w:rsidRPr="008743B1">
            <w:rPr>
              <w:rFonts w:ascii="Arial" w:eastAsia="Times New Roman" w:hAnsi="Arial" w:cs="Arial"/>
              <w:i/>
              <w:iCs/>
              <w:sz w:val="20"/>
              <w:szCs w:val="20"/>
            </w:rPr>
            <w:t>Journal of the Civil Engineering Forum</w:t>
          </w:r>
          <w:r w:rsidRPr="008743B1">
            <w:rPr>
              <w:rFonts w:ascii="Arial" w:eastAsia="Times New Roman" w:hAnsi="Arial" w:cs="Arial"/>
              <w:sz w:val="20"/>
              <w:szCs w:val="20"/>
            </w:rPr>
            <w:t xml:space="preserve">, pp. 151–162, Mar. 2024, </w:t>
          </w:r>
          <w:proofErr w:type="spellStart"/>
          <w:r w:rsidRPr="008743B1">
            <w:rPr>
              <w:rFonts w:ascii="Arial" w:eastAsia="Times New Roman" w:hAnsi="Arial" w:cs="Arial"/>
              <w:sz w:val="20"/>
              <w:szCs w:val="20"/>
            </w:rPr>
            <w:t>doi</w:t>
          </w:r>
          <w:proofErr w:type="spellEnd"/>
          <w:r w:rsidRPr="008743B1">
            <w:rPr>
              <w:rFonts w:ascii="Arial" w:eastAsia="Times New Roman" w:hAnsi="Arial" w:cs="Arial"/>
              <w:sz w:val="20"/>
              <w:szCs w:val="20"/>
            </w:rPr>
            <w:t>: 10.22146/jcef.11807.</w:t>
          </w:r>
        </w:p>
        <w:p w14:paraId="490EBA7D" w14:textId="77777777" w:rsidR="008743B1" w:rsidRPr="008743B1" w:rsidRDefault="008743B1" w:rsidP="00DB4A87">
          <w:pPr>
            <w:autoSpaceDE w:val="0"/>
            <w:autoSpaceDN w:val="0"/>
            <w:spacing w:after="0"/>
            <w:ind w:leftChars="-836" w:left="-1455" w:hangingChars="192" w:hanging="384"/>
            <w:jc w:val="both"/>
            <w:divId w:val="631833694"/>
            <w:rPr>
              <w:rFonts w:ascii="Arial" w:eastAsia="Times New Roman" w:hAnsi="Arial" w:cs="Arial"/>
              <w:sz w:val="20"/>
              <w:szCs w:val="20"/>
            </w:rPr>
          </w:pPr>
          <w:r w:rsidRPr="008743B1">
            <w:rPr>
              <w:rFonts w:ascii="Arial" w:eastAsia="Times New Roman" w:hAnsi="Arial" w:cs="Arial"/>
              <w:sz w:val="20"/>
              <w:szCs w:val="20"/>
            </w:rPr>
            <w:t>[16]</w:t>
          </w:r>
          <w:r w:rsidRPr="008743B1">
            <w:rPr>
              <w:rFonts w:ascii="Arial" w:eastAsia="Times New Roman" w:hAnsi="Arial" w:cs="Arial"/>
              <w:sz w:val="20"/>
              <w:szCs w:val="20"/>
            </w:rPr>
            <w:tab/>
            <w:t xml:space="preserve">B. F. Yip, N. A. F. Alias, and E. H. </w:t>
          </w:r>
          <w:proofErr w:type="spellStart"/>
          <w:r w:rsidRPr="008743B1">
            <w:rPr>
              <w:rFonts w:ascii="Arial" w:eastAsia="Times New Roman" w:hAnsi="Arial" w:cs="Arial"/>
              <w:sz w:val="20"/>
              <w:szCs w:val="20"/>
            </w:rPr>
            <w:t>Kasiman</w:t>
          </w:r>
          <w:proofErr w:type="spellEnd"/>
          <w:r w:rsidRPr="008743B1">
            <w:rPr>
              <w:rFonts w:ascii="Arial" w:eastAsia="Times New Roman" w:hAnsi="Arial" w:cs="Arial"/>
              <w:sz w:val="20"/>
              <w:szCs w:val="20"/>
            </w:rPr>
            <w:t xml:space="preserve">, “Numerical Modelling of Pollutant Transport in a Straight Narrow Channel using Upwind Finite Difference Method,” </w:t>
          </w:r>
          <w:r w:rsidRPr="008743B1">
            <w:rPr>
              <w:rFonts w:ascii="Arial" w:eastAsia="Times New Roman" w:hAnsi="Arial" w:cs="Arial"/>
              <w:i/>
              <w:iCs/>
              <w:sz w:val="20"/>
              <w:szCs w:val="20"/>
            </w:rPr>
            <w:t>IOP Conf Ser Mater Sci Eng</w:t>
          </w:r>
          <w:r w:rsidRPr="008743B1">
            <w:rPr>
              <w:rFonts w:ascii="Arial" w:eastAsia="Times New Roman" w:hAnsi="Arial" w:cs="Arial"/>
              <w:sz w:val="20"/>
              <w:szCs w:val="20"/>
            </w:rPr>
            <w:t xml:space="preserve">, vol. 1153, no. 1, p. 012003, May 2021, </w:t>
          </w:r>
          <w:proofErr w:type="spellStart"/>
          <w:r w:rsidRPr="008743B1">
            <w:rPr>
              <w:rFonts w:ascii="Arial" w:eastAsia="Times New Roman" w:hAnsi="Arial" w:cs="Arial"/>
              <w:sz w:val="20"/>
              <w:szCs w:val="20"/>
            </w:rPr>
            <w:t>doi</w:t>
          </w:r>
          <w:proofErr w:type="spellEnd"/>
          <w:r w:rsidRPr="008743B1">
            <w:rPr>
              <w:rFonts w:ascii="Arial" w:eastAsia="Times New Roman" w:hAnsi="Arial" w:cs="Arial"/>
              <w:sz w:val="20"/>
              <w:szCs w:val="20"/>
            </w:rPr>
            <w:t>: 10.1088/1757-899x/1153/1/012003.</w:t>
          </w:r>
        </w:p>
        <w:p w14:paraId="551525AD" w14:textId="77777777" w:rsidR="008743B1" w:rsidRPr="008743B1" w:rsidRDefault="008743B1" w:rsidP="00DB4A87">
          <w:pPr>
            <w:autoSpaceDE w:val="0"/>
            <w:autoSpaceDN w:val="0"/>
            <w:spacing w:after="0"/>
            <w:ind w:leftChars="-836" w:left="-1455" w:hangingChars="192" w:hanging="384"/>
            <w:jc w:val="both"/>
            <w:divId w:val="425274176"/>
            <w:rPr>
              <w:rFonts w:ascii="Arial" w:eastAsia="Times New Roman" w:hAnsi="Arial" w:cs="Arial"/>
              <w:sz w:val="20"/>
              <w:szCs w:val="20"/>
            </w:rPr>
          </w:pPr>
          <w:r w:rsidRPr="008743B1">
            <w:rPr>
              <w:rFonts w:ascii="Arial" w:eastAsia="Times New Roman" w:hAnsi="Arial" w:cs="Arial"/>
              <w:sz w:val="20"/>
              <w:szCs w:val="20"/>
            </w:rPr>
            <w:t>[17]</w:t>
          </w:r>
          <w:r w:rsidRPr="008743B1">
            <w:rPr>
              <w:rFonts w:ascii="Arial" w:eastAsia="Times New Roman" w:hAnsi="Arial" w:cs="Arial"/>
              <w:sz w:val="20"/>
              <w:szCs w:val="20"/>
            </w:rPr>
            <w:tab/>
            <w:t xml:space="preserve">C. </w:t>
          </w:r>
          <w:proofErr w:type="spellStart"/>
          <w:r w:rsidRPr="008743B1">
            <w:rPr>
              <w:rFonts w:ascii="Arial" w:eastAsia="Times New Roman" w:hAnsi="Arial" w:cs="Arial"/>
              <w:sz w:val="20"/>
              <w:szCs w:val="20"/>
            </w:rPr>
            <w:t>Tzimopoulos</w:t>
          </w:r>
          <w:proofErr w:type="spellEnd"/>
          <w:r w:rsidRPr="008743B1">
            <w:rPr>
              <w:rFonts w:ascii="Arial" w:eastAsia="Times New Roman" w:hAnsi="Arial" w:cs="Arial"/>
              <w:sz w:val="20"/>
              <w:szCs w:val="20"/>
            </w:rPr>
            <w:t xml:space="preserve">, K. Papadopoulos, C. </w:t>
          </w:r>
          <w:proofErr w:type="spellStart"/>
          <w:r w:rsidRPr="008743B1">
            <w:rPr>
              <w:rFonts w:ascii="Arial" w:eastAsia="Times New Roman" w:hAnsi="Arial" w:cs="Arial"/>
              <w:sz w:val="20"/>
              <w:szCs w:val="20"/>
            </w:rPr>
            <w:t>Evangelides</w:t>
          </w:r>
          <w:proofErr w:type="spellEnd"/>
          <w:r w:rsidRPr="008743B1">
            <w:rPr>
              <w:rFonts w:ascii="Arial" w:eastAsia="Times New Roman" w:hAnsi="Arial" w:cs="Arial"/>
              <w:sz w:val="20"/>
              <w:szCs w:val="20"/>
            </w:rPr>
            <w:t xml:space="preserve">, and B. Papadopoulos, “Analytical solutions of advection–dispersion equation using fuzzy theory,” </w:t>
          </w:r>
          <w:r w:rsidRPr="008743B1">
            <w:rPr>
              <w:rFonts w:ascii="Arial" w:eastAsia="Times New Roman" w:hAnsi="Arial" w:cs="Arial"/>
              <w:i/>
              <w:iCs/>
              <w:sz w:val="20"/>
              <w:szCs w:val="20"/>
            </w:rPr>
            <w:t>Desalination Water Treat</w:t>
          </w:r>
          <w:r w:rsidRPr="008743B1">
            <w:rPr>
              <w:rFonts w:ascii="Arial" w:eastAsia="Times New Roman" w:hAnsi="Arial" w:cs="Arial"/>
              <w:sz w:val="20"/>
              <w:szCs w:val="20"/>
            </w:rPr>
            <w:t xml:space="preserve">, vol. 193, pp. 302–312, 2020, </w:t>
          </w:r>
          <w:proofErr w:type="spellStart"/>
          <w:r w:rsidRPr="008743B1">
            <w:rPr>
              <w:rFonts w:ascii="Arial" w:eastAsia="Times New Roman" w:hAnsi="Arial" w:cs="Arial"/>
              <w:sz w:val="20"/>
              <w:szCs w:val="20"/>
            </w:rPr>
            <w:t>doi</w:t>
          </w:r>
          <w:proofErr w:type="spellEnd"/>
          <w:r w:rsidRPr="008743B1">
            <w:rPr>
              <w:rFonts w:ascii="Arial" w:eastAsia="Times New Roman" w:hAnsi="Arial" w:cs="Arial"/>
              <w:sz w:val="20"/>
              <w:szCs w:val="20"/>
            </w:rPr>
            <w:t>: 10.5004/dwt.2020.25809.</w:t>
          </w:r>
        </w:p>
        <w:p w14:paraId="2753421B" w14:textId="77777777" w:rsidR="008743B1" w:rsidRPr="008743B1" w:rsidRDefault="008743B1" w:rsidP="00DB4A87">
          <w:pPr>
            <w:autoSpaceDE w:val="0"/>
            <w:autoSpaceDN w:val="0"/>
            <w:spacing w:after="0"/>
            <w:ind w:leftChars="-836" w:left="-1455" w:hangingChars="192" w:hanging="384"/>
            <w:jc w:val="both"/>
            <w:divId w:val="1730154171"/>
            <w:rPr>
              <w:rFonts w:ascii="Arial" w:eastAsia="Times New Roman" w:hAnsi="Arial" w:cs="Arial"/>
              <w:sz w:val="20"/>
              <w:szCs w:val="20"/>
            </w:rPr>
          </w:pPr>
          <w:r w:rsidRPr="008743B1">
            <w:rPr>
              <w:rFonts w:ascii="Arial" w:eastAsia="Times New Roman" w:hAnsi="Arial" w:cs="Arial"/>
              <w:sz w:val="20"/>
              <w:szCs w:val="20"/>
            </w:rPr>
            <w:t>[18]</w:t>
          </w:r>
          <w:r w:rsidRPr="008743B1">
            <w:rPr>
              <w:rFonts w:ascii="Arial" w:eastAsia="Times New Roman" w:hAnsi="Arial" w:cs="Arial"/>
              <w:sz w:val="20"/>
              <w:szCs w:val="20"/>
            </w:rPr>
            <w:tab/>
            <w:t xml:space="preserve">S. M. </w:t>
          </w:r>
          <w:proofErr w:type="spellStart"/>
          <w:r w:rsidRPr="008743B1">
            <w:rPr>
              <w:rFonts w:ascii="Arial" w:eastAsia="Times New Roman" w:hAnsi="Arial" w:cs="Arial"/>
              <w:sz w:val="20"/>
              <w:szCs w:val="20"/>
            </w:rPr>
            <w:t>Kashefipour</w:t>
          </w:r>
          <w:proofErr w:type="spellEnd"/>
          <w:r w:rsidRPr="008743B1">
            <w:rPr>
              <w:rFonts w:ascii="Arial" w:eastAsia="Times New Roman" w:hAnsi="Arial" w:cs="Arial"/>
              <w:sz w:val="20"/>
              <w:szCs w:val="20"/>
            </w:rPr>
            <w:t xml:space="preserve"> and A. </w:t>
          </w:r>
          <w:proofErr w:type="spellStart"/>
          <w:r w:rsidRPr="008743B1">
            <w:rPr>
              <w:rFonts w:ascii="Arial" w:eastAsia="Times New Roman" w:hAnsi="Arial" w:cs="Arial"/>
              <w:sz w:val="20"/>
              <w:szCs w:val="20"/>
            </w:rPr>
            <w:t>Roshanfekr</w:t>
          </w:r>
          <w:proofErr w:type="spellEnd"/>
          <w:r w:rsidRPr="008743B1">
            <w:rPr>
              <w:rFonts w:ascii="Arial" w:eastAsia="Times New Roman" w:hAnsi="Arial" w:cs="Arial"/>
              <w:sz w:val="20"/>
              <w:szCs w:val="20"/>
            </w:rPr>
            <w:t xml:space="preserve">, “Numerical Modelling of Heavy Metals Transport Processes in Riverine Basins,” in </w:t>
          </w:r>
          <w:r w:rsidRPr="008743B1">
            <w:rPr>
              <w:rFonts w:ascii="Arial" w:eastAsia="Times New Roman" w:hAnsi="Arial" w:cs="Arial"/>
              <w:i/>
              <w:iCs/>
              <w:sz w:val="20"/>
              <w:szCs w:val="20"/>
            </w:rPr>
            <w:t>Numerical Modelling</w:t>
          </w:r>
          <w:r w:rsidRPr="008743B1">
            <w:rPr>
              <w:rFonts w:ascii="Arial" w:eastAsia="Times New Roman" w:hAnsi="Arial" w:cs="Arial"/>
              <w:sz w:val="20"/>
              <w:szCs w:val="20"/>
            </w:rPr>
            <w:t xml:space="preserve">, </w:t>
          </w:r>
          <w:proofErr w:type="spellStart"/>
          <w:r w:rsidRPr="008743B1">
            <w:rPr>
              <w:rFonts w:ascii="Arial" w:eastAsia="Times New Roman" w:hAnsi="Arial" w:cs="Arial"/>
              <w:sz w:val="20"/>
              <w:szCs w:val="20"/>
            </w:rPr>
            <w:t>InTech</w:t>
          </w:r>
          <w:proofErr w:type="spellEnd"/>
          <w:r w:rsidRPr="008743B1">
            <w:rPr>
              <w:rFonts w:ascii="Arial" w:eastAsia="Times New Roman" w:hAnsi="Arial" w:cs="Arial"/>
              <w:sz w:val="20"/>
              <w:szCs w:val="20"/>
            </w:rPr>
            <w:t xml:space="preserve">, 2012, pp. 91–114. </w:t>
          </w:r>
          <w:proofErr w:type="spellStart"/>
          <w:r w:rsidRPr="008743B1">
            <w:rPr>
              <w:rFonts w:ascii="Arial" w:eastAsia="Times New Roman" w:hAnsi="Arial" w:cs="Arial"/>
              <w:sz w:val="20"/>
              <w:szCs w:val="20"/>
            </w:rPr>
            <w:t>doi</w:t>
          </w:r>
          <w:proofErr w:type="spellEnd"/>
          <w:r w:rsidRPr="008743B1">
            <w:rPr>
              <w:rFonts w:ascii="Arial" w:eastAsia="Times New Roman" w:hAnsi="Arial" w:cs="Arial"/>
              <w:sz w:val="20"/>
              <w:szCs w:val="20"/>
            </w:rPr>
            <w:t>: 10.5772/35931.</w:t>
          </w:r>
        </w:p>
        <w:p w14:paraId="401BBAA2" w14:textId="77777777" w:rsidR="008743B1" w:rsidRPr="008743B1" w:rsidRDefault="008743B1" w:rsidP="00DB4A87">
          <w:pPr>
            <w:autoSpaceDE w:val="0"/>
            <w:autoSpaceDN w:val="0"/>
            <w:spacing w:after="0"/>
            <w:ind w:leftChars="-836" w:left="-1455" w:hangingChars="192" w:hanging="384"/>
            <w:jc w:val="both"/>
            <w:divId w:val="439223672"/>
            <w:rPr>
              <w:rFonts w:ascii="Arial" w:eastAsia="Times New Roman" w:hAnsi="Arial" w:cs="Arial"/>
              <w:sz w:val="20"/>
              <w:szCs w:val="20"/>
            </w:rPr>
          </w:pPr>
          <w:r w:rsidRPr="008743B1">
            <w:rPr>
              <w:rFonts w:ascii="Arial" w:eastAsia="Times New Roman" w:hAnsi="Arial" w:cs="Arial"/>
              <w:sz w:val="20"/>
              <w:szCs w:val="20"/>
            </w:rPr>
            <w:t>[19]</w:t>
          </w:r>
          <w:r w:rsidRPr="008743B1">
            <w:rPr>
              <w:rFonts w:ascii="Arial" w:eastAsia="Times New Roman" w:hAnsi="Arial" w:cs="Arial"/>
              <w:sz w:val="20"/>
              <w:szCs w:val="20"/>
            </w:rPr>
            <w:tab/>
            <w:t xml:space="preserve">M. K. </w:t>
          </w:r>
          <w:proofErr w:type="spellStart"/>
          <w:r w:rsidRPr="008743B1">
            <w:rPr>
              <w:rFonts w:ascii="Arial" w:eastAsia="Times New Roman" w:hAnsi="Arial" w:cs="Arial"/>
              <w:sz w:val="20"/>
              <w:szCs w:val="20"/>
            </w:rPr>
            <w:t>Poshtegal</w:t>
          </w:r>
          <w:proofErr w:type="spellEnd"/>
          <w:r w:rsidRPr="008743B1">
            <w:rPr>
              <w:rFonts w:ascii="Arial" w:eastAsia="Times New Roman" w:hAnsi="Arial" w:cs="Arial"/>
              <w:sz w:val="20"/>
              <w:szCs w:val="20"/>
            </w:rPr>
            <w:t xml:space="preserve"> and S. A. </w:t>
          </w:r>
          <w:proofErr w:type="spellStart"/>
          <w:r w:rsidRPr="008743B1">
            <w:rPr>
              <w:rFonts w:ascii="Arial" w:eastAsia="Times New Roman" w:hAnsi="Arial" w:cs="Arial"/>
              <w:sz w:val="20"/>
              <w:szCs w:val="20"/>
            </w:rPr>
            <w:t>Mirbagheri</w:t>
          </w:r>
          <w:proofErr w:type="spellEnd"/>
          <w:r w:rsidRPr="008743B1">
            <w:rPr>
              <w:rFonts w:ascii="Arial" w:eastAsia="Times New Roman" w:hAnsi="Arial" w:cs="Arial"/>
              <w:sz w:val="20"/>
              <w:szCs w:val="20"/>
            </w:rPr>
            <w:t xml:space="preserve">, “Simulation and modelling of heavy metals and water quality parameters in the river,” </w:t>
          </w:r>
          <w:r w:rsidRPr="008743B1">
            <w:rPr>
              <w:rFonts w:ascii="Arial" w:eastAsia="Times New Roman" w:hAnsi="Arial" w:cs="Arial"/>
              <w:i/>
              <w:iCs/>
              <w:sz w:val="20"/>
              <w:szCs w:val="20"/>
            </w:rPr>
            <w:t>Sci Rep</w:t>
          </w:r>
          <w:r w:rsidRPr="008743B1">
            <w:rPr>
              <w:rFonts w:ascii="Arial" w:eastAsia="Times New Roman" w:hAnsi="Arial" w:cs="Arial"/>
              <w:sz w:val="20"/>
              <w:szCs w:val="20"/>
            </w:rPr>
            <w:t xml:space="preserve">, vol. 13, no. 1, Dec. 2023, </w:t>
          </w:r>
          <w:proofErr w:type="spellStart"/>
          <w:r w:rsidRPr="008743B1">
            <w:rPr>
              <w:rFonts w:ascii="Arial" w:eastAsia="Times New Roman" w:hAnsi="Arial" w:cs="Arial"/>
              <w:sz w:val="20"/>
              <w:szCs w:val="20"/>
            </w:rPr>
            <w:t>doi</w:t>
          </w:r>
          <w:proofErr w:type="spellEnd"/>
          <w:r w:rsidRPr="008743B1">
            <w:rPr>
              <w:rFonts w:ascii="Arial" w:eastAsia="Times New Roman" w:hAnsi="Arial" w:cs="Arial"/>
              <w:sz w:val="20"/>
              <w:szCs w:val="20"/>
            </w:rPr>
            <w:t>: 10.1038/s41598-023-29878-1.</w:t>
          </w:r>
        </w:p>
        <w:p w14:paraId="02D3B4DE" w14:textId="77777777" w:rsidR="008743B1" w:rsidRPr="008743B1" w:rsidRDefault="008743B1" w:rsidP="00DB4A87">
          <w:pPr>
            <w:autoSpaceDE w:val="0"/>
            <w:autoSpaceDN w:val="0"/>
            <w:spacing w:after="0"/>
            <w:ind w:leftChars="-836" w:left="-1455" w:hangingChars="192" w:hanging="384"/>
            <w:jc w:val="both"/>
            <w:divId w:val="897667454"/>
            <w:rPr>
              <w:rFonts w:ascii="Arial" w:eastAsia="Times New Roman" w:hAnsi="Arial" w:cs="Arial"/>
              <w:sz w:val="20"/>
              <w:szCs w:val="20"/>
            </w:rPr>
          </w:pPr>
          <w:r w:rsidRPr="008743B1">
            <w:rPr>
              <w:rFonts w:ascii="Arial" w:eastAsia="Times New Roman" w:hAnsi="Arial" w:cs="Arial"/>
              <w:sz w:val="20"/>
              <w:szCs w:val="20"/>
            </w:rPr>
            <w:t>[20]</w:t>
          </w:r>
          <w:r w:rsidRPr="008743B1">
            <w:rPr>
              <w:rFonts w:ascii="Arial" w:eastAsia="Times New Roman" w:hAnsi="Arial" w:cs="Arial"/>
              <w:sz w:val="20"/>
              <w:szCs w:val="20"/>
            </w:rPr>
            <w:tab/>
            <w:t xml:space="preserve">W. S. Yirga, F. W. Gelu, W. G. Melesse, and G. F. </w:t>
          </w:r>
          <w:proofErr w:type="spellStart"/>
          <w:r w:rsidRPr="008743B1">
            <w:rPr>
              <w:rFonts w:ascii="Arial" w:eastAsia="Times New Roman" w:hAnsi="Arial" w:cs="Arial"/>
              <w:sz w:val="20"/>
              <w:szCs w:val="20"/>
            </w:rPr>
            <w:t>Duressa</w:t>
          </w:r>
          <w:proofErr w:type="spellEnd"/>
          <w:r w:rsidRPr="008743B1">
            <w:rPr>
              <w:rFonts w:ascii="Arial" w:eastAsia="Times New Roman" w:hAnsi="Arial" w:cs="Arial"/>
              <w:sz w:val="20"/>
              <w:szCs w:val="20"/>
            </w:rPr>
            <w:t xml:space="preserve">, “Efficient Numerical Method for Solving a Quadratic Riccati Differential Equation,” </w:t>
          </w:r>
          <w:r w:rsidRPr="008743B1">
            <w:rPr>
              <w:rFonts w:ascii="Arial" w:eastAsia="Times New Roman" w:hAnsi="Arial" w:cs="Arial"/>
              <w:i/>
              <w:iCs/>
              <w:sz w:val="20"/>
              <w:szCs w:val="20"/>
            </w:rPr>
            <w:t>Abstract and Applied Analysis</w:t>
          </w:r>
          <w:r w:rsidRPr="008743B1">
            <w:rPr>
              <w:rFonts w:ascii="Arial" w:eastAsia="Times New Roman" w:hAnsi="Arial" w:cs="Arial"/>
              <w:sz w:val="20"/>
              <w:szCs w:val="20"/>
            </w:rPr>
            <w:t xml:space="preserve">, vol. 2024, 2024, </w:t>
          </w:r>
          <w:proofErr w:type="spellStart"/>
          <w:r w:rsidRPr="008743B1">
            <w:rPr>
              <w:rFonts w:ascii="Arial" w:eastAsia="Times New Roman" w:hAnsi="Arial" w:cs="Arial"/>
              <w:sz w:val="20"/>
              <w:szCs w:val="20"/>
            </w:rPr>
            <w:t>doi</w:t>
          </w:r>
          <w:proofErr w:type="spellEnd"/>
          <w:r w:rsidRPr="008743B1">
            <w:rPr>
              <w:rFonts w:ascii="Arial" w:eastAsia="Times New Roman" w:hAnsi="Arial" w:cs="Arial"/>
              <w:sz w:val="20"/>
              <w:szCs w:val="20"/>
            </w:rPr>
            <w:t>: 10.1155/2024/1433858.</w:t>
          </w:r>
        </w:p>
        <w:p w14:paraId="0ECE5E3A" w14:textId="77777777" w:rsidR="008743B1" w:rsidRPr="008743B1" w:rsidRDefault="008743B1" w:rsidP="00DB4A87">
          <w:pPr>
            <w:autoSpaceDE w:val="0"/>
            <w:autoSpaceDN w:val="0"/>
            <w:spacing w:after="0"/>
            <w:ind w:leftChars="-836" w:left="-1455" w:hangingChars="192" w:hanging="384"/>
            <w:jc w:val="both"/>
            <w:divId w:val="1266764151"/>
            <w:rPr>
              <w:rFonts w:ascii="Arial" w:eastAsia="Times New Roman" w:hAnsi="Arial" w:cs="Arial"/>
              <w:sz w:val="20"/>
              <w:szCs w:val="20"/>
            </w:rPr>
          </w:pPr>
          <w:r w:rsidRPr="008743B1">
            <w:rPr>
              <w:rFonts w:ascii="Arial" w:eastAsia="Times New Roman" w:hAnsi="Arial" w:cs="Arial"/>
              <w:sz w:val="20"/>
              <w:szCs w:val="20"/>
            </w:rPr>
            <w:t>[21]</w:t>
          </w:r>
          <w:r w:rsidRPr="008743B1">
            <w:rPr>
              <w:rFonts w:ascii="Arial" w:eastAsia="Times New Roman" w:hAnsi="Arial" w:cs="Arial"/>
              <w:sz w:val="20"/>
              <w:szCs w:val="20"/>
            </w:rPr>
            <w:tab/>
            <w:t xml:space="preserve">R. </w:t>
          </w:r>
          <w:proofErr w:type="spellStart"/>
          <w:r w:rsidRPr="008743B1">
            <w:rPr>
              <w:rFonts w:ascii="Arial" w:eastAsia="Times New Roman" w:hAnsi="Arial" w:cs="Arial"/>
              <w:sz w:val="20"/>
              <w:szCs w:val="20"/>
            </w:rPr>
            <w:t>Ashgi</w:t>
          </w:r>
          <w:proofErr w:type="spellEnd"/>
          <w:r w:rsidRPr="008743B1">
            <w:rPr>
              <w:rFonts w:ascii="Arial" w:eastAsia="Times New Roman" w:hAnsi="Arial" w:cs="Arial"/>
              <w:sz w:val="20"/>
              <w:szCs w:val="20"/>
            </w:rPr>
            <w:t xml:space="preserve">, M. </w:t>
          </w:r>
          <w:proofErr w:type="spellStart"/>
          <w:r w:rsidRPr="008743B1">
            <w:rPr>
              <w:rFonts w:ascii="Arial" w:eastAsia="Times New Roman" w:hAnsi="Arial" w:cs="Arial"/>
              <w:sz w:val="20"/>
              <w:szCs w:val="20"/>
            </w:rPr>
            <w:t>Andhika</w:t>
          </w:r>
          <w:proofErr w:type="spellEnd"/>
          <w:r w:rsidRPr="008743B1">
            <w:rPr>
              <w:rFonts w:ascii="Arial" w:eastAsia="Times New Roman" w:hAnsi="Arial" w:cs="Arial"/>
              <w:sz w:val="20"/>
              <w:szCs w:val="20"/>
            </w:rPr>
            <w:t xml:space="preserve">, A. </w:t>
          </w:r>
          <w:proofErr w:type="spellStart"/>
          <w:r w:rsidRPr="008743B1">
            <w:rPr>
              <w:rFonts w:ascii="Arial" w:eastAsia="Times New Roman" w:hAnsi="Arial" w:cs="Arial"/>
              <w:sz w:val="20"/>
              <w:szCs w:val="20"/>
            </w:rPr>
            <w:t>Pratama</w:t>
          </w:r>
          <w:proofErr w:type="spellEnd"/>
          <w:r w:rsidRPr="008743B1">
            <w:rPr>
              <w:rFonts w:ascii="Arial" w:eastAsia="Times New Roman" w:hAnsi="Arial" w:cs="Arial"/>
              <w:sz w:val="20"/>
              <w:szCs w:val="20"/>
            </w:rPr>
            <w:t xml:space="preserve">, and S. Purwani, “Comparison of Numerical Simulation of Epidemiological Model between Euler Method with 4 </w:t>
          </w:r>
          <w:proofErr w:type="spellStart"/>
          <w:r w:rsidRPr="008743B1">
            <w:rPr>
              <w:rFonts w:ascii="Arial" w:eastAsia="Times New Roman" w:hAnsi="Arial" w:cs="Arial"/>
              <w:sz w:val="20"/>
              <w:szCs w:val="20"/>
            </w:rPr>
            <w:t>th</w:t>
          </w:r>
          <w:proofErr w:type="spellEnd"/>
          <w:r w:rsidRPr="008743B1">
            <w:rPr>
              <w:rFonts w:ascii="Arial" w:eastAsia="Times New Roman" w:hAnsi="Arial" w:cs="Arial"/>
              <w:sz w:val="20"/>
              <w:szCs w:val="20"/>
            </w:rPr>
            <w:t xml:space="preserve"> Order Runge </w:t>
          </w:r>
          <w:proofErr w:type="spellStart"/>
          <w:r w:rsidRPr="008743B1">
            <w:rPr>
              <w:rFonts w:ascii="Arial" w:eastAsia="Times New Roman" w:hAnsi="Arial" w:cs="Arial"/>
              <w:sz w:val="20"/>
              <w:szCs w:val="20"/>
            </w:rPr>
            <w:t>Kutta</w:t>
          </w:r>
          <w:proofErr w:type="spellEnd"/>
          <w:r w:rsidRPr="008743B1">
            <w:rPr>
              <w:rFonts w:ascii="Arial" w:eastAsia="Times New Roman" w:hAnsi="Arial" w:cs="Arial"/>
              <w:sz w:val="20"/>
              <w:szCs w:val="20"/>
            </w:rPr>
            <w:t xml:space="preserve"> Method,” </w:t>
          </w:r>
          <w:r w:rsidRPr="008743B1">
            <w:rPr>
              <w:rFonts w:ascii="Arial" w:eastAsia="Times New Roman" w:hAnsi="Arial" w:cs="Arial"/>
              <w:i/>
              <w:iCs/>
              <w:sz w:val="20"/>
              <w:szCs w:val="20"/>
            </w:rPr>
            <w:t>International Journal of Global Operations Research</w:t>
          </w:r>
          <w:r w:rsidRPr="008743B1">
            <w:rPr>
              <w:rFonts w:ascii="Arial" w:eastAsia="Times New Roman" w:hAnsi="Arial" w:cs="Arial"/>
              <w:sz w:val="20"/>
              <w:szCs w:val="20"/>
            </w:rPr>
            <w:t>, vol. 2, no. 1, pp. 37–44, 2021, [Online]. Available: http://www.iorajournal.org/index.php/ijgor/index</w:t>
          </w:r>
        </w:p>
        <w:p w14:paraId="1E0185AE" w14:textId="77777777" w:rsidR="008743B1" w:rsidRPr="008743B1" w:rsidRDefault="008743B1" w:rsidP="00DB4A87">
          <w:pPr>
            <w:autoSpaceDE w:val="0"/>
            <w:autoSpaceDN w:val="0"/>
            <w:spacing w:after="0"/>
            <w:ind w:leftChars="-836" w:left="-1455" w:hangingChars="192" w:hanging="384"/>
            <w:jc w:val="both"/>
            <w:divId w:val="2081098827"/>
            <w:rPr>
              <w:rFonts w:ascii="Arial" w:eastAsia="Times New Roman" w:hAnsi="Arial" w:cs="Arial"/>
              <w:sz w:val="20"/>
              <w:szCs w:val="20"/>
            </w:rPr>
          </w:pPr>
          <w:r w:rsidRPr="008743B1">
            <w:rPr>
              <w:rFonts w:ascii="Arial" w:eastAsia="Times New Roman" w:hAnsi="Arial" w:cs="Arial"/>
              <w:sz w:val="20"/>
              <w:szCs w:val="20"/>
            </w:rPr>
            <w:t>[22]</w:t>
          </w:r>
          <w:r w:rsidRPr="008743B1">
            <w:rPr>
              <w:rFonts w:ascii="Arial" w:eastAsia="Times New Roman" w:hAnsi="Arial" w:cs="Arial"/>
              <w:sz w:val="20"/>
              <w:szCs w:val="20"/>
            </w:rPr>
            <w:tab/>
            <w:t xml:space="preserve">M. </w:t>
          </w:r>
          <w:proofErr w:type="spellStart"/>
          <w:r w:rsidRPr="008743B1">
            <w:rPr>
              <w:rFonts w:ascii="Arial" w:eastAsia="Times New Roman" w:hAnsi="Arial" w:cs="Arial"/>
              <w:sz w:val="20"/>
              <w:szCs w:val="20"/>
            </w:rPr>
            <w:t>Despotovic</w:t>
          </w:r>
          <w:proofErr w:type="spellEnd"/>
          <w:r w:rsidRPr="008743B1">
            <w:rPr>
              <w:rFonts w:ascii="Arial" w:eastAsia="Times New Roman" w:hAnsi="Arial" w:cs="Arial"/>
              <w:sz w:val="20"/>
              <w:szCs w:val="20"/>
            </w:rPr>
            <w:t xml:space="preserve">, V. Nedic, D. </w:t>
          </w:r>
          <w:proofErr w:type="spellStart"/>
          <w:r w:rsidRPr="008743B1">
            <w:rPr>
              <w:rFonts w:ascii="Arial" w:eastAsia="Times New Roman" w:hAnsi="Arial" w:cs="Arial"/>
              <w:sz w:val="20"/>
              <w:szCs w:val="20"/>
            </w:rPr>
            <w:t>Despotovic</w:t>
          </w:r>
          <w:proofErr w:type="spellEnd"/>
          <w:r w:rsidRPr="008743B1">
            <w:rPr>
              <w:rFonts w:ascii="Arial" w:eastAsia="Times New Roman" w:hAnsi="Arial" w:cs="Arial"/>
              <w:sz w:val="20"/>
              <w:szCs w:val="20"/>
            </w:rPr>
            <w:t xml:space="preserve">, and S. </w:t>
          </w:r>
          <w:proofErr w:type="spellStart"/>
          <w:r w:rsidRPr="008743B1">
            <w:rPr>
              <w:rFonts w:ascii="Arial" w:eastAsia="Times New Roman" w:hAnsi="Arial" w:cs="Arial"/>
              <w:sz w:val="20"/>
              <w:szCs w:val="20"/>
            </w:rPr>
            <w:t>Cvetanovic</w:t>
          </w:r>
          <w:proofErr w:type="spellEnd"/>
          <w:r w:rsidRPr="008743B1">
            <w:rPr>
              <w:rFonts w:ascii="Arial" w:eastAsia="Times New Roman" w:hAnsi="Arial" w:cs="Arial"/>
              <w:sz w:val="20"/>
              <w:szCs w:val="20"/>
            </w:rPr>
            <w:t xml:space="preserve">, “Evaluation of empirical models for predicting monthly mean horizontal diffuse solar radiation,” Apr. 01, 2016, </w:t>
          </w:r>
          <w:r w:rsidRPr="008743B1">
            <w:rPr>
              <w:rFonts w:ascii="Arial" w:eastAsia="Times New Roman" w:hAnsi="Arial" w:cs="Arial"/>
              <w:i/>
              <w:iCs/>
              <w:sz w:val="20"/>
              <w:szCs w:val="20"/>
            </w:rPr>
            <w:t>Elsevier Ltd</w:t>
          </w:r>
          <w:r w:rsidRPr="008743B1">
            <w:rPr>
              <w:rFonts w:ascii="Arial" w:eastAsia="Times New Roman" w:hAnsi="Arial" w:cs="Arial"/>
              <w:sz w:val="20"/>
              <w:szCs w:val="20"/>
            </w:rPr>
            <w:t xml:space="preserve">. </w:t>
          </w:r>
          <w:proofErr w:type="spellStart"/>
          <w:r w:rsidRPr="008743B1">
            <w:rPr>
              <w:rFonts w:ascii="Arial" w:eastAsia="Times New Roman" w:hAnsi="Arial" w:cs="Arial"/>
              <w:sz w:val="20"/>
              <w:szCs w:val="20"/>
            </w:rPr>
            <w:t>doi</w:t>
          </w:r>
          <w:proofErr w:type="spellEnd"/>
          <w:r w:rsidRPr="008743B1">
            <w:rPr>
              <w:rFonts w:ascii="Arial" w:eastAsia="Times New Roman" w:hAnsi="Arial" w:cs="Arial"/>
              <w:sz w:val="20"/>
              <w:szCs w:val="20"/>
            </w:rPr>
            <w:t>: 10.1016/j.rser.2015.11.058.</w:t>
          </w:r>
        </w:p>
        <w:p w14:paraId="3B722DF1" w14:textId="77777777" w:rsidR="008743B1" w:rsidRPr="008743B1" w:rsidRDefault="008743B1" w:rsidP="00DB4A87">
          <w:pPr>
            <w:autoSpaceDE w:val="0"/>
            <w:autoSpaceDN w:val="0"/>
            <w:spacing w:after="0"/>
            <w:ind w:leftChars="-836" w:left="-1455" w:hangingChars="192" w:hanging="384"/>
            <w:jc w:val="both"/>
            <w:divId w:val="684524726"/>
            <w:rPr>
              <w:rFonts w:ascii="Arial" w:eastAsia="Times New Roman" w:hAnsi="Arial" w:cs="Arial"/>
              <w:sz w:val="20"/>
              <w:szCs w:val="20"/>
            </w:rPr>
          </w:pPr>
          <w:r w:rsidRPr="008743B1">
            <w:rPr>
              <w:rFonts w:ascii="Arial" w:eastAsia="Times New Roman" w:hAnsi="Arial" w:cs="Arial"/>
              <w:sz w:val="20"/>
              <w:szCs w:val="20"/>
            </w:rPr>
            <w:t>[23]</w:t>
          </w:r>
          <w:r w:rsidRPr="008743B1">
            <w:rPr>
              <w:rFonts w:ascii="Arial" w:eastAsia="Times New Roman" w:hAnsi="Arial" w:cs="Arial"/>
              <w:sz w:val="20"/>
              <w:szCs w:val="20"/>
            </w:rPr>
            <w:tab/>
            <w:t xml:space="preserve">E. D. </w:t>
          </w:r>
          <w:proofErr w:type="spellStart"/>
          <w:r w:rsidRPr="008743B1">
            <w:rPr>
              <w:rFonts w:ascii="Arial" w:eastAsia="Times New Roman" w:hAnsi="Arial" w:cs="Arial"/>
              <w:sz w:val="20"/>
              <w:szCs w:val="20"/>
            </w:rPr>
            <w:t>Okoffo</w:t>
          </w:r>
          <w:proofErr w:type="spellEnd"/>
          <w:r w:rsidRPr="008743B1">
            <w:rPr>
              <w:rFonts w:ascii="Arial" w:eastAsia="Times New Roman" w:hAnsi="Arial" w:cs="Arial"/>
              <w:sz w:val="20"/>
              <w:szCs w:val="20"/>
            </w:rPr>
            <w:t xml:space="preserve"> and K. V. Thomas, “Mass quantification of </w:t>
          </w:r>
          <w:proofErr w:type="spellStart"/>
          <w:r w:rsidRPr="008743B1">
            <w:rPr>
              <w:rFonts w:ascii="Arial" w:eastAsia="Times New Roman" w:hAnsi="Arial" w:cs="Arial"/>
              <w:sz w:val="20"/>
              <w:szCs w:val="20"/>
            </w:rPr>
            <w:t>nanoplastics</w:t>
          </w:r>
          <w:proofErr w:type="spellEnd"/>
          <w:r w:rsidRPr="008743B1">
            <w:rPr>
              <w:rFonts w:ascii="Arial" w:eastAsia="Times New Roman" w:hAnsi="Arial" w:cs="Arial"/>
              <w:sz w:val="20"/>
              <w:szCs w:val="20"/>
            </w:rPr>
            <w:t xml:space="preserve"> at wastewater treatment plants by pyrolysis–gas chromatography–mass spectrometry,” </w:t>
          </w:r>
          <w:r w:rsidRPr="008743B1">
            <w:rPr>
              <w:rFonts w:ascii="Arial" w:eastAsia="Times New Roman" w:hAnsi="Arial" w:cs="Arial"/>
              <w:i/>
              <w:iCs/>
              <w:sz w:val="20"/>
              <w:szCs w:val="20"/>
            </w:rPr>
            <w:t>Water Res</w:t>
          </w:r>
          <w:r w:rsidRPr="008743B1">
            <w:rPr>
              <w:rFonts w:ascii="Arial" w:eastAsia="Times New Roman" w:hAnsi="Arial" w:cs="Arial"/>
              <w:sz w:val="20"/>
              <w:szCs w:val="20"/>
            </w:rPr>
            <w:t xml:space="preserve">, vol. 254, May 2024, </w:t>
          </w:r>
          <w:proofErr w:type="spellStart"/>
          <w:r w:rsidRPr="008743B1">
            <w:rPr>
              <w:rFonts w:ascii="Arial" w:eastAsia="Times New Roman" w:hAnsi="Arial" w:cs="Arial"/>
              <w:sz w:val="20"/>
              <w:szCs w:val="20"/>
            </w:rPr>
            <w:t>doi</w:t>
          </w:r>
          <w:proofErr w:type="spellEnd"/>
          <w:r w:rsidRPr="008743B1">
            <w:rPr>
              <w:rFonts w:ascii="Arial" w:eastAsia="Times New Roman" w:hAnsi="Arial" w:cs="Arial"/>
              <w:sz w:val="20"/>
              <w:szCs w:val="20"/>
            </w:rPr>
            <w:t>: 10.1016/j.watres.2024.121397.</w:t>
          </w:r>
        </w:p>
        <w:p w14:paraId="26594634" w14:textId="77777777" w:rsidR="008743B1" w:rsidRPr="008743B1" w:rsidRDefault="008743B1" w:rsidP="00DB4A87">
          <w:pPr>
            <w:autoSpaceDE w:val="0"/>
            <w:autoSpaceDN w:val="0"/>
            <w:spacing w:after="0"/>
            <w:ind w:leftChars="-836" w:left="-1455" w:hangingChars="192" w:hanging="384"/>
            <w:jc w:val="both"/>
            <w:divId w:val="1352607709"/>
            <w:rPr>
              <w:rFonts w:ascii="Arial" w:eastAsia="Times New Roman" w:hAnsi="Arial" w:cs="Arial"/>
              <w:sz w:val="20"/>
              <w:szCs w:val="20"/>
            </w:rPr>
          </w:pPr>
          <w:r w:rsidRPr="008743B1">
            <w:rPr>
              <w:rFonts w:ascii="Arial" w:eastAsia="Times New Roman" w:hAnsi="Arial" w:cs="Arial"/>
              <w:sz w:val="20"/>
              <w:szCs w:val="20"/>
            </w:rPr>
            <w:lastRenderedPageBreak/>
            <w:t>[24]</w:t>
          </w:r>
          <w:r w:rsidRPr="008743B1">
            <w:rPr>
              <w:rFonts w:ascii="Arial" w:eastAsia="Times New Roman" w:hAnsi="Arial" w:cs="Arial"/>
              <w:sz w:val="20"/>
              <w:szCs w:val="20"/>
            </w:rPr>
            <w:tab/>
            <w:t xml:space="preserve">C. U. </w:t>
          </w:r>
          <w:proofErr w:type="spellStart"/>
          <w:r w:rsidRPr="008743B1">
            <w:rPr>
              <w:rFonts w:ascii="Arial" w:eastAsia="Times New Roman" w:hAnsi="Arial" w:cs="Arial"/>
              <w:sz w:val="20"/>
              <w:szCs w:val="20"/>
            </w:rPr>
            <w:t>Schwermer</w:t>
          </w:r>
          <w:proofErr w:type="spellEnd"/>
          <w:r w:rsidRPr="008743B1">
            <w:rPr>
              <w:rFonts w:ascii="Arial" w:eastAsia="Times New Roman" w:hAnsi="Arial" w:cs="Arial"/>
              <w:sz w:val="20"/>
              <w:szCs w:val="20"/>
            </w:rPr>
            <w:t xml:space="preserve"> and W. Uhl, “Calculating expected effects of treatment effectivity and river flow rates on the contribution of WWTP effluent to the ARG load of a receiving river,” </w:t>
          </w:r>
          <w:r w:rsidRPr="008743B1">
            <w:rPr>
              <w:rFonts w:ascii="Arial" w:eastAsia="Times New Roman" w:hAnsi="Arial" w:cs="Arial"/>
              <w:i/>
              <w:iCs/>
              <w:sz w:val="20"/>
              <w:szCs w:val="20"/>
            </w:rPr>
            <w:t>J Environ Manage</w:t>
          </w:r>
          <w:r w:rsidRPr="008743B1">
            <w:rPr>
              <w:rFonts w:ascii="Arial" w:eastAsia="Times New Roman" w:hAnsi="Arial" w:cs="Arial"/>
              <w:sz w:val="20"/>
              <w:szCs w:val="20"/>
            </w:rPr>
            <w:t xml:space="preserve">, vol. 288, Jun. 2021, </w:t>
          </w:r>
          <w:proofErr w:type="spellStart"/>
          <w:r w:rsidRPr="008743B1">
            <w:rPr>
              <w:rFonts w:ascii="Arial" w:eastAsia="Times New Roman" w:hAnsi="Arial" w:cs="Arial"/>
              <w:sz w:val="20"/>
              <w:szCs w:val="20"/>
            </w:rPr>
            <w:t>doi</w:t>
          </w:r>
          <w:proofErr w:type="spellEnd"/>
          <w:r w:rsidRPr="008743B1">
            <w:rPr>
              <w:rFonts w:ascii="Arial" w:eastAsia="Times New Roman" w:hAnsi="Arial" w:cs="Arial"/>
              <w:sz w:val="20"/>
              <w:szCs w:val="20"/>
            </w:rPr>
            <w:t>: 10.1016/j.jenvman.2021.112445.</w:t>
          </w:r>
        </w:p>
        <w:p w14:paraId="49E6EF97" w14:textId="77777777" w:rsidR="008743B1" w:rsidRPr="008743B1" w:rsidRDefault="008743B1" w:rsidP="00DB4A87">
          <w:pPr>
            <w:autoSpaceDE w:val="0"/>
            <w:autoSpaceDN w:val="0"/>
            <w:spacing w:after="0"/>
            <w:ind w:leftChars="-836" w:left="-1455" w:hangingChars="192" w:hanging="384"/>
            <w:jc w:val="both"/>
            <w:divId w:val="2027780900"/>
            <w:rPr>
              <w:rFonts w:ascii="Arial" w:eastAsia="Times New Roman" w:hAnsi="Arial" w:cs="Arial"/>
              <w:sz w:val="20"/>
              <w:szCs w:val="20"/>
            </w:rPr>
          </w:pPr>
          <w:r w:rsidRPr="008743B1">
            <w:rPr>
              <w:rFonts w:ascii="Arial" w:eastAsia="Times New Roman" w:hAnsi="Arial" w:cs="Arial"/>
              <w:sz w:val="20"/>
              <w:szCs w:val="20"/>
            </w:rPr>
            <w:t>[25]</w:t>
          </w:r>
          <w:r w:rsidRPr="008743B1">
            <w:rPr>
              <w:rFonts w:ascii="Arial" w:eastAsia="Times New Roman" w:hAnsi="Arial" w:cs="Arial"/>
              <w:sz w:val="20"/>
              <w:szCs w:val="20"/>
            </w:rPr>
            <w:tab/>
            <w:t xml:space="preserve">Indonesian Government, “Government Regulations Regarding </w:t>
          </w:r>
          <w:proofErr w:type="gramStart"/>
          <w:r w:rsidRPr="008743B1">
            <w:rPr>
              <w:rFonts w:ascii="Arial" w:eastAsia="Times New Roman" w:hAnsi="Arial" w:cs="Arial"/>
              <w:sz w:val="20"/>
              <w:szCs w:val="20"/>
            </w:rPr>
            <w:t>The</w:t>
          </w:r>
          <w:proofErr w:type="gramEnd"/>
          <w:r w:rsidRPr="008743B1">
            <w:rPr>
              <w:rFonts w:ascii="Arial" w:eastAsia="Times New Roman" w:hAnsi="Arial" w:cs="Arial"/>
              <w:sz w:val="20"/>
              <w:szCs w:val="20"/>
            </w:rPr>
            <w:t xml:space="preserve"> Implementation of Environmental Protection and Management,” 2021.</w:t>
          </w:r>
        </w:p>
        <w:p w14:paraId="3B823E43" w14:textId="77777777" w:rsidR="008743B1" w:rsidRPr="008743B1" w:rsidRDefault="008743B1" w:rsidP="00DB4A87">
          <w:pPr>
            <w:autoSpaceDE w:val="0"/>
            <w:autoSpaceDN w:val="0"/>
            <w:spacing w:after="0"/>
            <w:ind w:leftChars="-836" w:left="-1455" w:hangingChars="192" w:hanging="384"/>
            <w:jc w:val="both"/>
            <w:divId w:val="5717839"/>
            <w:rPr>
              <w:rFonts w:ascii="Arial" w:eastAsia="Times New Roman" w:hAnsi="Arial" w:cs="Arial"/>
              <w:sz w:val="20"/>
              <w:szCs w:val="20"/>
            </w:rPr>
          </w:pPr>
          <w:r w:rsidRPr="008743B1">
            <w:rPr>
              <w:rFonts w:ascii="Arial" w:eastAsia="Times New Roman" w:hAnsi="Arial" w:cs="Arial"/>
              <w:sz w:val="20"/>
              <w:szCs w:val="20"/>
            </w:rPr>
            <w:t>[26]</w:t>
          </w:r>
          <w:r w:rsidRPr="008743B1">
            <w:rPr>
              <w:rFonts w:ascii="Arial" w:eastAsia="Times New Roman" w:hAnsi="Arial" w:cs="Arial"/>
              <w:sz w:val="20"/>
              <w:szCs w:val="20"/>
            </w:rPr>
            <w:tab/>
            <w:t>Indonesian Government, “Wastewater Quality Standards for Textile Industry Business and/or Activities.,” 2019.</w:t>
          </w:r>
        </w:p>
        <w:p w14:paraId="0D4DB13C" w14:textId="0E9B51FB" w:rsidR="003B18E3" w:rsidRDefault="008743B1" w:rsidP="008743B1">
          <w:pPr>
            <w:autoSpaceDE w:val="0"/>
            <w:autoSpaceDN w:val="0"/>
            <w:spacing w:after="0" w:line="240" w:lineRule="auto"/>
            <w:ind w:leftChars="-836" w:left="-1455" w:hangingChars="192" w:hanging="384"/>
            <w:jc w:val="both"/>
            <w:divId w:val="610628390"/>
            <w:rPr>
              <w:rFonts w:ascii="Arial" w:eastAsia="Arial" w:hAnsi="Arial" w:cs="Arial"/>
              <w:color w:val="000000"/>
              <w:sz w:val="20"/>
              <w:szCs w:val="20"/>
            </w:rPr>
          </w:pPr>
          <w:r w:rsidRPr="008743B1">
            <w:rPr>
              <w:rFonts w:ascii="Arial" w:eastAsia="Times New Roman" w:hAnsi="Arial" w:cs="Arial"/>
              <w:sz w:val="20"/>
              <w:szCs w:val="20"/>
            </w:rPr>
            <w:t> </w:t>
          </w:r>
        </w:p>
      </w:sdtContent>
    </w:sdt>
    <w:sectPr w:rsidR="003B18E3" w:rsidSect="00503B71">
      <w:headerReference w:type="first" r:id="rId86"/>
      <w:type w:val="continuous"/>
      <w:pgSz w:w="11907" w:h="16840"/>
      <w:pgMar w:top="1701" w:right="1134" w:bottom="1701" w:left="1701" w:header="680" w:footer="680" w:gutter="0"/>
      <w:cols w:num="2" w:space="720" w:equalWidth="0">
        <w:col w:w="4394" w:space="284"/>
        <w:col w:w="4394" w:space="0"/>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54AE10" w14:textId="77777777" w:rsidR="003900BA" w:rsidRDefault="003900BA">
      <w:pPr>
        <w:spacing w:after="0" w:line="240" w:lineRule="auto"/>
        <w:ind w:left="0" w:hanging="2"/>
      </w:pPr>
      <w:r>
        <w:separator/>
      </w:r>
    </w:p>
  </w:endnote>
  <w:endnote w:type="continuationSeparator" w:id="0">
    <w:p w14:paraId="4783F5CB" w14:textId="77777777" w:rsidR="003900BA" w:rsidRDefault="003900BA">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16120B" w14:textId="77777777" w:rsidR="003B18E3" w:rsidRDefault="003B18E3">
    <w:pPr>
      <w:widowControl w:val="0"/>
      <w:pBdr>
        <w:top w:val="nil"/>
        <w:left w:val="nil"/>
        <w:bottom w:val="nil"/>
        <w:right w:val="nil"/>
        <w:between w:val="nil"/>
      </w:pBdr>
      <w:spacing w:after="0"/>
      <w:ind w:left="0" w:hanging="2"/>
      <w:rPr>
        <w:color w:val="000000"/>
      </w:rPr>
    </w:pPr>
  </w:p>
  <w:tbl>
    <w:tblPr>
      <w:tblStyle w:val="a8"/>
      <w:tblW w:w="9180" w:type="dxa"/>
      <w:tblInd w:w="-108" w:type="dxa"/>
      <w:tblBorders>
        <w:top w:val="single" w:sz="4" w:space="0" w:color="000000"/>
        <w:left w:val="nil"/>
        <w:bottom w:val="nil"/>
        <w:right w:val="nil"/>
        <w:insideH w:val="nil"/>
        <w:insideV w:val="nil"/>
      </w:tblBorders>
      <w:tblLayout w:type="fixed"/>
      <w:tblLook w:val="0000" w:firstRow="0" w:lastRow="0" w:firstColumn="0" w:lastColumn="0" w:noHBand="0" w:noVBand="0"/>
    </w:tblPr>
    <w:tblGrid>
      <w:gridCol w:w="1242"/>
      <w:gridCol w:w="7938"/>
    </w:tblGrid>
    <w:tr w:rsidR="003B18E3" w14:paraId="76E2A6C3" w14:textId="77777777">
      <w:tc>
        <w:tcPr>
          <w:tcW w:w="1242" w:type="dxa"/>
        </w:tcPr>
        <w:p w14:paraId="4ABF16F2" w14:textId="77777777" w:rsidR="003B18E3" w:rsidRDefault="00000000">
          <w:pPr>
            <w:pBdr>
              <w:top w:val="nil"/>
              <w:left w:val="nil"/>
              <w:bottom w:val="nil"/>
              <w:right w:val="nil"/>
              <w:between w:val="nil"/>
            </w:pBdr>
            <w:spacing w:before="120" w:after="0" w:line="240" w:lineRule="auto"/>
            <w:ind w:left="0" w:hanging="2"/>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627751">
            <w:rPr>
              <w:rFonts w:ascii="Arial" w:eastAsia="Arial" w:hAnsi="Arial" w:cs="Arial"/>
              <w:noProof/>
              <w:color w:val="000000"/>
              <w:sz w:val="20"/>
              <w:szCs w:val="20"/>
            </w:rPr>
            <w:t>2</w:t>
          </w:r>
          <w:r>
            <w:rPr>
              <w:rFonts w:ascii="Arial" w:eastAsia="Arial" w:hAnsi="Arial" w:cs="Arial"/>
              <w:color w:val="000000"/>
              <w:sz w:val="20"/>
              <w:szCs w:val="20"/>
            </w:rPr>
            <w:fldChar w:fldCharType="end"/>
          </w:r>
        </w:p>
      </w:tc>
      <w:tc>
        <w:tcPr>
          <w:tcW w:w="7938" w:type="dxa"/>
        </w:tcPr>
        <w:p w14:paraId="1FE031C9" w14:textId="5C12E3D0" w:rsidR="003B18E3" w:rsidRDefault="00635F94">
          <w:pPr>
            <w:pBdr>
              <w:top w:val="nil"/>
              <w:left w:val="nil"/>
              <w:bottom w:val="nil"/>
              <w:right w:val="nil"/>
              <w:between w:val="nil"/>
            </w:pBdr>
            <w:spacing w:before="120" w:after="0" w:line="240" w:lineRule="auto"/>
            <w:ind w:left="0" w:hanging="2"/>
            <w:jc w:val="right"/>
            <w:rPr>
              <w:rFonts w:ascii="Arial" w:eastAsia="Arial" w:hAnsi="Arial" w:cs="Arial"/>
              <w:color w:val="000000"/>
              <w:sz w:val="20"/>
              <w:szCs w:val="20"/>
            </w:rPr>
          </w:pPr>
          <w:r>
            <w:rPr>
              <w:rFonts w:ascii="Arial" w:eastAsia="Arial" w:hAnsi="Arial" w:cs="Arial"/>
              <w:color w:val="000000"/>
              <w:sz w:val="20"/>
              <w:szCs w:val="20"/>
            </w:rPr>
            <w:t>Kent et al., Author Template for SINERGI</w:t>
          </w:r>
        </w:p>
      </w:tc>
    </w:tr>
  </w:tbl>
  <w:p w14:paraId="70247043" w14:textId="77777777" w:rsidR="003B18E3" w:rsidRDefault="003B18E3">
    <w:pPr>
      <w:pBdr>
        <w:top w:val="nil"/>
        <w:left w:val="nil"/>
        <w:bottom w:val="nil"/>
        <w:right w:val="nil"/>
        <w:between w:val="nil"/>
      </w:pBdr>
      <w:spacing w:after="0"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CFD4B1" w14:textId="77777777" w:rsidR="003B18E3" w:rsidRDefault="003B18E3">
    <w:pPr>
      <w:widowControl w:val="0"/>
      <w:pBdr>
        <w:top w:val="nil"/>
        <w:left w:val="nil"/>
        <w:bottom w:val="nil"/>
        <w:right w:val="nil"/>
        <w:between w:val="nil"/>
      </w:pBdr>
      <w:spacing w:after="0"/>
      <w:ind w:left="0" w:hanging="2"/>
      <w:rPr>
        <w:color w:val="000000"/>
      </w:rPr>
    </w:pPr>
  </w:p>
  <w:tbl>
    <w:tblPr>
      <w:tblStyle w:val="a7"/>
      <w:tblW w:w="9180" w:type="dxa"/>
      <w:tblInd w:w="-108" w:type="dxa"/>
      <w:tblBorders>
        <w:top w:val="single" w:sz="4" w:space="0" w:color="000000"/>
        <w:left w:val="nil"/>
        <w:bottom w:val="nil"/>
        <w:right w:val="nil"/>
        <w:insideH w:val="nil"/>
        <w:insideV w:val="nil"/>
      </w:tblBorders>
      <w:tblLayout w:type="fixed"/>
      <w:tblLook w:val="0000" w:firstRow="0" w:lastRow="0" w:firstColumn="0" w:lastColumn="0" w:noHBand="0" w:noVBand="0"/>
    </w:tblPr>
    <w:tblGrid>
      <w:gridCol w:w="8453"/>
      <w:gridCol w:w="727"/>
    </w:tblGrid>
    <w:tr w:rsidR="003B18E3" w14:paraId="2750C234" w14:textId="77777777">
      <w:tc>
        <w:tcPr>
          <w:tcW w:w="8453" w:type="dxa"/>
        </w:tcPr>
        <w:p w14:paraId="661F82EF" w14:textId="313078B9" w:rsidR="003B18E3" w:rsidRDefault="00D01371">
          <w:pPr>
            <w:pBdr>
              <w:top w:val="nil"/>
              <w:left w:val="nil"/>
              <w:bottom w:val="nil"/>
              <w:right w:val="nil"/>
              <w:between w:val="nil"/>
            </w:pBdr>
            <w:spacing w:before="120" w:after="0" w:line="240" w:lineRule="auto"/>
            <w:ind w:left="0" w:hanging="2"/>
            <w:rPr>
              <w:rFonts w:ascii="Arial" w:eastAsia="Arial" w:hAnsi="Arial" w:cs="Arial"/>
              <w:color w:val="000000"/>
              <w:sz w:val="20"/>
              <w:szCs w:val="20"/>
            </w:rPr>
          </w:pPr>
          <w:r>
            <w:rPr>
              <w:rFonts w:ascii="Arial" w:eastAsia="Arial" w:hAnsi="Arial" w:cs="Arial"/>
              <w:color w:val="000000"/>
              <w:sz w:val="20"/>
              <w:szCs w:val="20"/>
            </w:rPr>
            <w:t>Kent et al., Author Template for SINERGI</w:t>
          </w:r>
        </w:p>
      </w:tc>
      <w:tc>
        <w:tcPr>
          <w:tcW w:w="727" w:type="dxa"/>
        </w:tcPr>
        <w:p w14:paraId="61EEF598" w14:textId="77777777" w:rsidR="003B18E3" w:rsidRDefault="00000000">
          <w:pPr>
            <w:pBdr>
              <w:top w:val="nil"/>
              <w:left w:val="nil"/>
              <w:bottom w:val="nil"/>
              <w:right w:val="nil"/>
              <w:between w:val="nil"/>
            </w:pBdr>
            <w:spacing w:before="120" w:after="0" w:line="240" w:lineRule="auto"/>
            <w:ind w:left="0" w:hanging="2"/>
            <w:jc w:val="right"/>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627751">
            <w:rPr>
              <w:rFonts w:ascii="Arial" w:eastAsia="Arial" w:hAnsi="Arial" w:cs="Arial"/>
              <w:noProof/>
              <w:color w:val="000000"/>
              <w:sz w:val="20"/>
              <w:szCs w:val="20"/>
            </w:rPr>
            <w:t>3</w:t>
          </w:r>
          <w:r>
            <w:rPr>
              <w:rFonts w:ascii="Arial" w:eastAsia="Arial" w:hAnsi="Arial" w:cs="Arial"/>
              <w:color w:val="000000"/>
              <w:sz w:val="20"/>
              <w:szCs w:val="20"/>
            </w:rPr>
            <w:fldChar w:fldCharType="end"/>
          </w:r>
        </w:p>
      </w:tc>
    </w:tr>
  </w:tbl>
  <w:p w14:paraId="603713A3" w14:textId="77777777" w:rsidR="003B18E3" w:rsidRDefault="003B18E3">
    <w:pPr>
      <w:pBdr>
        <w:top w:val="nil"/>
        <w:left w:val="nil"/>
        <w:bottom w:val="nil"/>
        <w:right w:val="nil"/>
        <w:between w:val="nil"/>
      </w:pBdr>
      <w:spacing w:after="0" w:line="240" w:lineRule="auto"/>
      <w:ind w:left="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C1D4F1" w14:textId="77777777" w:rsidR="003B18E3" w:rsidRDefault="003B18E3">
    <w:pPr>
      <w:widowControl w:val="0"/>
      <w:pBdr>
        <w:top w:val="nil"/>
        <w:left w:val="nil"/>
        <w:bottom w:val="nil"/>
        <w:right w:val="nil"/>
        <w:between w:val="nil"/>
      </w:pBdr>
      <w:spacing w:after="0"/>
      <w:ind w:left="0" w:hanging="2"/>
    </w:pPr>
  </w:p>
  <w:tbl>
    <w:tblPr>
      <w:tblStyle w:val="a6"/>
      <w:tblW w:w="9180" w:type="dxa"/>
      <w:tblInd w:w="-108" w:type="dxa"/>
      <w:tblBorders>
        <w:top w:val="single" w:sz="4" w:space="0" w:color="000000"/>
        <w:left w:val="nil"/>
        <w:bottom w:val="nil"/>
        <w:right w:val="nil"/>
        <w:insideH w:val="nil"/>
        <w:insideV w:val="nil"/>
      </w:tblBorders>
      <w:tblLayout w:type="fixed"/>
      <w:tblLook w:val="0000" w:firstRow="0" w:lastRow="0" w:firstColumn="0" w:lastColumn="0" w:noHBand="0" w:noVBand="0"/>
    </w:tblPr>
    <w:tblGrid>
      <w:gridCol w:w="8453"/>
      <w:gridCol w:w="727"/>
    </w:tblGrid>
    <w:tr w:rsidR="003B18E3" w14:paraId="3138D071" w14:textId="77777777">
      <w:tc>
        <w:tcPr>
          <w:tcW w:w="8453" w:type="dxa"/>
        </w:tcPr>
        <w:p w14:paraId="4512E151" w14:textId="33CB5D00" w:rsidR="003B18E3" w:rsidRDefault="00D82B8D">
          <w:pPr>
            <w:pBdr>
              <w:top w:val="nil"/>
              <w:left w:val="nil"/>
              <w:bottom w:val="nil"/>
              <w:right w:val="nil"/>
              <w:between w:val="nil"/>
            </w:pBdr>
            <w:spacing w:before="120" w:after="0" w:line="240" w:lineRule="auto"/>
            <w:ind w:left="0" w:hanging="2"/>
            <w:rPr>
              <w:rFonts w:ascii="Arial" w:eastAsia="Arial" w:hAnsi="Arial" w:cs="Arial"/>
              <w:color w:val="000000"/>
              <w:sz w:val="20"/>
              <w:szCs w:val="20"/>
            </w:rPr>
          </w:pPr>
          <w:r>
            <w:rPr>
              <w:rFonts w:ascii="Arial" w:eastAsia="Arial" w:hAnsi="Arial" w:cs="Arial"/>
              <w:color w:val="000000"/>
              <w:sz w:val="20"/>
              <w:szCs w:val="20"/>
            </w:rPr>
            <w:t xml:space="preserve">Kent et al., Author Template for SINERGI </w:t>
          </w:r>
        </w:p>
      </w:tc>
      <w:tc>
        <w:tcPr>
          <w:tcW w:w="727" w:type="dxa"/>
        </w:tcPr>
        <w:p w14:paraId="005AAA02" w14:textId="77777777" w:rsidR="003B18E3" w:rsidRDefault="00000000">
          <w:pPr>
            <w:pBdr>
              <w:top w:val="nil"/>
              <w:left w:val="nil"/>
              <w:bottom w:val="nil"/>
              <w:right w:val="nil"/>
              <w:between w:val="nil"/>
            </w:pBdr>
            <w:spacing w:before="120" w:after="0" w:line="240" w:lineRule="auto"/>
            <w:ind w:left="0" w:hanging="2"/>
            <w:jc w:val="right"/>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627751">
            <w:rPr>
              <w:rFonts w:ascii="Arial" w:eastAsia="Arial" w:hAnsi="Arial" w:cs="Arial"/>
              <w:noProof/>
              <w:color w:val="000000"/>
              <w:sz w:val="20"/>
              <w:szCs w:val="20"/>
            </w:rPr>
            <w:t>1</w:t>
          </w:r>
          <w:r>
            <w:rPr>
              <w:rFonts w:ascii="Arial" w:eastAsia="Arial" w:hAnsi="Arial" w:cs="Arial"/>
              <w:color w:val="000000"/>
              <w:sz w:val="20"/>
              <w:szCs w:val="20"/>
            </w:rPr>
            <w:fldChar w:fldCharType="end"/>
          </w:r>
        </w:p>
      </w:tc>
    </w:tr>
  </w:tbl>
  <w:p w14:paraId="6BA13DFD" w14:textId="77777777" w:rsidR="003B18E3" w:rsidRDefault="003B18E3">
    <w:pPr>
      <w:pBdr>
        <w:top w:val="nil"/>
        <w:left w:val="nil"/>
        <w:bottom w:val="nil"/>
        <w:right w:val="nil"/>
        <w:between w:val="nil"/>
      </w:pBdr>
      <w:spacing w:after="0"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F2FFC3" w14:textId="77777777" w:rsidR="003900BA" w:rsidRDefault="003900BA">
      <w:pPr>
        <w:spacing w:after="0" w:line="240" w:lineRule="auto"/>
        <w:ind w:left="0" w:hanging="2"/>
      </w:pPr>
      <w:r>
        <w:separator/>
      </w:r>
    </w:p>
  </w:footnote>
  <w:footnote w:type="continuationSeparator" w:id="0">
    <w:p w14:paraId="72099556" w14:textId="77777777" w:rsidR="003900BA" w:rsidRDefault="003900BA">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9D0FDE" w14:textId="77777777" w:rsidR="003B18E3" w:rsidRDefault="003B18E3">
    <w:pPr>
      <w:widowControl w:val="0"/>
      <w:pBdr>
        <w:top w:val="nil"/>
        <w:left w:val="nil"/>
        <w:bottom w:val="nil"/>
        <w:right w:val="nil"/>
        <w:between w:val="nil"/>
      </w:pBdr>
      <w:spacing w:after="0"/>
      <w:ind w:left="0" w:hanging="2"/>
      <w:rPr>
        <w:rFonts w:ascii="Arial" w:eastAsia="Arial" w:hAnsi="Arial" w:cs="Arial"/>
        <w:color w:val="000000"/>
        <w:sz w:val="20"/>
        <w:szCs w:val="20"/>
      </w:rPr>
    </w:pPr>
  </w:p>
  <w:tbl>
    <w:tblPr>
      <w:tblStyle w:val="a3"/>
      <w:tblW w:w="9288" w:type="dxa"/>
      <w:tblInd w:w="-108" w:type="dxa"/>
      <w:tblBorders>
        <w:top w:val="nil"/>
        <w:left w:val="nil"/>
        <w:bottom w:val="single" w:sz="4" w:space="0" w:color="000000"/>
        <w:right w:val="nil"/>
        <w:insideH w:val="nil"/>
        <w:insideV w:val="nil"/>
      </w:tblBorders>
      <w:tblLayout w:type="fixed"/>
      <w:tblLook w:val="0000" w:firstRow="0" w:lastRow="0" w:firstColumn="0" w:lastColumn="0" w:noHBand="0" w:noVBand="0"/>
    </w:tblPr>
    <w:tblGrid>
      <w:gridCol w:w="9288"/>
    </w:tblGrid>
    <w:tr w:rsidR="003B18E3" w14:paraId="34E32CA2" w14:textId="77777777">
      <w:tc>
        <w:tcPr>
          <w:tcW w:w="9288" w:type="dxa"/>
        </w:tcPr>
        <w:p w14:paraId="64769947" w14:textId="77777777" w:rsidR="003B18E3" w:rsidRDefault="00000000">
          <w:pPr>
            <w:pBdr>
              <w:top w:val="nil"/>
              <w:left w:val="nil"/>
              <w:bottom w:val="nil"/>
              <w:right w:val="nil"/>
              <w:between w:val="nil"/>
            </w:pBdr>
            <w:tabs>
              <w:tab w:val="left" w:pos="5556"/>
            </w:tabs>
            <w:spacing w:after="120" w:line="240" w:lineRule="auto"/>
            <w:ind w:left="0" w:hanging="2"/>
            <w:rPr>
              <w:rFonts w:ascii="Arial" w:eastAsia="Arial" w:hAnsi="Arial" w:cs="Arial"/>
              <w:color w:val="000000"/>
              <w:sz w:val="20"/>
              <w:szCs w:val="20"/>
            </w:rPr>
          </w:pPr>
          <w:r>
            <w:rPr>
              <w:rFonts w:ascii="Arial" w:eastAsia="Arial" w:hAnsi="Arial" w:cs="Arial"/>
              <w:b/>
              <w:color w:val="000000"/>
              <w:sz w:val="20"/>
              <w:szCs w:val="20"/>
            </w:rPr>
            <w:t>SINERGI</w:t>
          </w:r>
          <w:r>
            <w:rPr>
              <w:rFonts w:ascii="Arial" w:eastAsia="Arial" w:hAnsi="Arial" w:cs="Arial"/>
              <w:color w:val="000000"/>
              <w:sz w:val="20"/>
              <w:szCs w:val="20"/>
            </w:rPr>
            <w:t xml:space="preserve"> Vol. xx, No. x, </w:t>
          </w:r>
          <w:proofErr w:type="spellStart"/>
          <w:r>
            <w:rPr>
              <w:rFonts w:ascii="Arial" w:eastAsia="Arial" w:hAnsi="Arial" w:cs="Arial"/>
              <w:color w:val="000000"/>
              <w:sz w:val="20"/>
              <w:szCs w:val="20"/>
            </w:rPr>
            <w:t>xxxxxx</w:t>
          </w:r>
          <w:proofErr w:type="spellEnd"/>
          <w:r>
            <w:rPr>
              <w:rFonts w:ascii="Arial" w:eastAsia="Arial" w:hAnsi="Arial" w:cs="Arial"/>
              <w:color w:val="000000"/>
              <w:sz w:val="20"/>
              <w:szCs w:val="20"/>
            </w:rPr>
            <w:t xml:space="preserve"> 20xx: xxx-xxx</w:t>
          </w:r>
        </w:p>
      </w:tc>
    </w:tr>
  </w:tbl>
  <w:p w14:paraId="0A3415A7" w14:textId="77777777" w:rsidR="003B18E3" w:rsidRDefault="003B18E3">
    <w:pPr>
      <w:pBdr>
        <w:top w:val="nil"/>
        <w:left w:val="nil"/>
        <w:bottom w:val="nil"/>
        <w:right w:val="nil"/>
        <w:between w:val="nil"/>
      </w:pBdr>
      <w:spacing w:after="120" w:line="240" w:lineRule="auto"/>
      <w:ind w:left="0" w:hanging="2"/>
      <w:rPr>
        <w:rFonts w:ascii="Arial" w:eastAsia="Arial" w:hAnsi="Arial" w:cs="Arial"/>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21DF20" w14:textId="77777777" w:rsidR="003B18E3" w:rsidRDefault="003B18E3">
    <w:pPr>
      <w:widowControl w:val="0"/>
      <w:pBdr>
        <w:top w:val="nil"/>
        <w:left w:val="nil"/>
        <w:bottom w:val="nil"/>
        <w:right w:val="nil"/>
        <w:between w:val="nil"/>
      </w:pBdr>
      <w:spacing w:after="0"/>
      <w:ind w:left="0" w:hanging="2"/>
      <w:rPr>
        <w:color w:val="000000"/>
      </w:rPr>
    </w:pPr>
  </w:p>
  <w:tbl>
    <w:tblPr>
      <w:tblStyle w:val="a5"/>
      <w:tblW w:w="9288" w:type="dxa"/>
      <w:tblInd w:w="-108" w:type="dxa"/>
      <w:tblBorders>
        <w:top w:val="nil"/>
        <w:left w:val="nil"/>
        <w:bottom w:val="single" w:sz="4" w:space="0" w:color="000000"/>
        <w:right w:val="nil"/>
        <w:insideH w:val="nil"/>
        <w:insideV w:val="nil"/>
      </w:tblBorders>
      <w:tblLayout w:type="fixed"/>
      <w:tblLook w:val="0000" w:firstRow="0" w:lastRow="0" w:firstColumn="0" w:lastColumn="0" w:noHBand="0" w:noVBand="0"/>
    </w:tblPr>
    <w:tblGrid>
      <w:gridCol w:w="9288"/>
    </w:tblGrid>
    <w:tr w:rsidR="003B18E3" w14:paraId="03FBDD85" w14:textId="77777777">
      <w:tc>
        <w:tcPr>
          <w:tcW w:w="9288" w:type="dxa"/>
        </w:tcPr>
        <w:p w14:paraId="7B799FFE" w14:textId="77777777" w:rsidR="003B18E3" w:rsidRDefault="00000000">
          <w:pPr>
            <w:pBdr>
              <w:top w:val="nil"/>
              <w:left w:val="nil"/>
              <w:bottom w:val="nil"/>
              <w:right w:val="nil"/>
              <w:between w:val="nil"/>
            </w:pBdr>
            <w:spacing w:after="120" w:line="240" w:lineRule="auto"/>
            <w:ind w:left="0" w:hanging="2"/>
            <w:jc w:val="right"/>
            <w:rPr>
              <w:rFonts w:ascii="Arial" w:eastAsia="Arial" w:hAnsi="Arial" w:cs="Arial"/>
              <w:color w:val="000000"/>
              <w:sz w:val="20"/>
              <w:szCs w:val="20"/>
            </w:rPr>
          </w:pPr>
          <w:r>
            <w:rPr>
              <w:rFonts w:ascii="Arial" w:eastAsia="Arial" w:hAnsi="Arial" w:cs="Arial"/>
              <w:color w:val="000000"/>
              <w:sz w:val="20"/>
              <w:szCs w:val="20"/>
            </w:rPr>
            <w:t>p-ISSN: 1410-</w:t>
          </w:r>
          <w:proofErr w:type="gramStart"/>
          <w:r>
            <w:rPr>
              <w:rFonts w:ascii="Arial" w:eastAsia="Arial" w:hAnsi="Arial" w:cs="Arial"/>
              <w:color w:val="000000"/>
              <w:sz w:val="20"/>
              <w:szCs w:val="20"/>
            </w:rPr>
            <w:t>2331  e</w:t>
          </w:r>
          <w:proofErr w:type="gramEnd"/>
          <w:r>
            <w:rPr>
              <w:rFonts w:ascii="Arial" w:eastAsia="Arial" w:hAnsi="Arial" w:cs="Arial"/>
              <w:color w:val="000000"/>
              <w:sz w:val="20"/>
              <w:szCs w:val="20"/>
            </w:rPr>
            <w:t>-ISSN: 2460-1217</w:t>
          </w:r>
        </w:p>
      </w:tc>
    </w:tr>
  </w:tbl>
  <w:p w14:paraId="706DEFBC" w14:textId="77777777" w:rsidR="003B18E3" w:rsidRDefault="003B18E3">
    <w:pP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9B84E1" w14:textId="77777777" w:rsidR="003B18E3" w:rsidRDefault="003B18E3">
    <w:pPr>
      <w:widowControl w:val="0"/>
      <w:pBdr>
        <w:top w:val="nil"/>
        <w:left w:val="nil"/>
        <w:bottom w:val="nil"/>
        <w:right w:val="nil"/>
        <w:between w:val="nil"/>
      </w:pBdr>
      <w:spacing w:after="0"/>
      <w:ind w:left="0" w:hanging="2"/>
      <w:rPr>
        <w:rFonts w:ascii="Arial" w:eastAsia="Arial" w:hAnsi="Arial" w:cs="Arial"/>
        <w:color w:val="000000"/>
        <w:sz w:val="20"/>
        <w:szCs w:val="20"/>
      </w:rPr>
    </w:pPr>
  </w:p>
  <w:tbl>
    <w:tblPr>
      <w:tblStyle w:val="a4"/>
      <w:tblW w:w="9185" w:type="dxa"/>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701"/>
      <w:gridCol w:w="5783"/>
      <w:gridCol w:w="1701"/>
    </w:tblGrid>
    <w:tr w:rsidR="003B18E3" w14:paraId="2D57C185" w14:textId="77777777">
      <w:tc>
        <w:tcPr>
          <w:tcW w:w="1701" w:type="dxa"/>
        </w:tcPr>
        <w:p w14:paraId="77458F3D" w14:textId="77777777" w:rsidR="003B18E3" w:rsidRDefault="00000000">
          <w:pPr>
            <w:pBdr>
              <w:top w:val="nil"/>
              <w:left w:val="nil"/>
              <w:bottom w:val="nil"/>
              <w:right w:val="nil"/>
              <w:between w:val="nil"/>
            </w:pBdr>
            <w:tabs>
              <w:tab w:val="left" w:pos="5556"/>
            </w:tabs>
            <w:spacing w:after="0" w:line="240" w:lineRule="auto"/>
            <w:ind w:left="0" w:hanging="2"/>
            <w:rPr>
              <w:rFonts w:ascii="Arial" w:eastAsia="Arial" w:hAnsi="Arial" w:cs="Arial"/>
              <w:color w:val="000000"/>
              <w:sz w:val="20"/>
              <w:szCs w:val="20"/>
            </w:rPr>
          </w:pPr>
          <w:r>
            <w:rPr>
              <w:noProof/>
              <w:color w:val="000000"/>
            </w:rPr>
            <w:drawing>
              <wp:inline distT="0" distB="0" distL="114300" distR="114300" wp14:anchorId="067FEA24" wp14:editId="74462830">
                <wp:extent cx="889635" cy="812800"/>
                <wp:effectExtent l="0" t="0" r="0" b="0"/>
                <wp:docPr id="103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a:off x="0" y="0"/>
                          <a:ext cx="889635" cy="812800"/>
                        </a:xfrm>
                        <a:prstGeom prst="rect">
                          <a:avLst/>
                        </a:prstGeom>
                        <a:ln/>
                      </pic:spPr>
                    </pic:pic>
                  </a:graphicData>
                </a:graphic>
              </wp:inline>
            </w:drawing>
          </w:r>
        </w:p>
      </w:tc>
      <w:tc>
        <w:tcPr>
          <w:tcW w:w="5783" w:type="dxa"/>
          <w:vAlign w:val="center"/>
        </w:tcPr>
        <w:p w14:paraId="42951FC1" w14:textId="77777777" w:rsidR="003B18E3" w:rsidRDefault="00000000">
          <w:pPr>
            <w:pBdr>
              <w:top w:val="nil"/>
              <w:left w:val="nil"/>
              <w:bottom w:val="nil"/>
              <w:right w:val="nil"/>
              <w:between w:val="nil"/>
            </w:pBdr>
            <w:tabs>
              <w:tab w:val="left" w:pos="5556"/>
            </w:tabs>
            <w:spacing w:after="0" w:line="240" w:lineRule="auto"/>
            <w:ind w:left="0" w:hanging="2"/>
            <w:jc w:val="center"/>
            <w:rPr>
              <w:rFonts w:ascii="Arial" w:eastAsia="Arial" w:hAnsi="Arial" w:cs="Arial"/>
              <w:color w:val="000000"/>
              <w:sz w:val="24"/>
              <w:szCs w:val="24"/>
            </w:rPr>
          </w:pPr>
          <w:r>
            <w:rPr>
              <w:rFonts w:ascii="Arial" w:eastAsia="Arial" w:hAnsi="Arial" w:cs="Arial"/>
              <w:b/>
              <w:color w:val="000000"/>
              <w:sz w:val="24"/>
              <w:szCs w:val="24"/>
            </w:rPr>
            <w:t>SINERGI</w:t>
          </w:r>
          <w:r>
            <w:rPr>
              <w:rFonts w:ascii="Arial" w:eastAsia="Arial" w:hAnsi="Arial" w:cs="Arial"/>
              <w:color w:val="000000"/>
              <w:sz w:val="24"/>
              <w:szCs w:val="24"/>
            </w:rPr>
            <w:t xml:space="preserve"> Vol. xx, No. x, February 20xx: xxx-xxx http://publikasi.mercubuana.ac.id/index.php/sinergi http://doi.org/10.22441/sinergi.xxxx.x.xxx</w:t>
          </w:r>
        </w:p>
      </w:tc>
      <w:tc>
        <w:tcPr>
          <w:tcW w:w="1701" w:type="dxa"/>
          <w:vAlign w:val="center"/>
        </w:tcPr>
        <w:p w14:paraId="6DF00E0C" w14:textId="77777777" w:rsidR="003B18E3" w:rsidRDefault="00000000">
          <w:pPr>
            <w:pBdr>
              <w:top w:val="nil"/>
              <w:left w:val="nil"/>
              <w:bottom w:val="nil"/>
              <w:right w:val="nil"/>
              <w:between w:val="nil"/>
            </w:pBdr>
            <w:tabs>
              <w:tab w:val="left" w:pos="4680"/>
            </w:tabs>
            <w:spacing w:after="0" w:line="240" w:lineRule="auto"/>
            <w:ind w:left="0" w:hanging="2"/>
            <w:jc w:val="center"/>
            <w:rPr>
              <w:color w:val="000000"/>
            </w:rPr>
          </w:pPr>
          <w:r>
            <w:rPr>
              <w:noProof/>
              <w:color w:val="000000"/>
            </w:rPr>
            <w:drawing>
              <wp:inline distT="0" distB="0" distL="114300" distR="114300" wp14:anchorId="4280B3B8" wp14:editId="5E7B8477">
                <wp:extent cx="627380" cy="784225"/>
                <wp:effectExtent l="0" t="0" r="0" b="0"/>
                <wp:docPr id="103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627380" cy="784225"/>
                        </a:xfrm>
                        <a:prstGeom prst="rect">
                          <a:avLst/>
                        </a:prstGeom>
                        <a:ln/>
                      </pic:spPr>
                    </pic:pic>
                  </a:graphicData>
                </a:graphic>
              </wp:inline>
            </w:drawing>
          </w:r>
        </w:p>
      </w:tc>
    </w:tr>
  </w:tbl>
  <w:p w14:paraId="1AA7D92B" w14:textId="77777777" w:rsidR="003B18E3" w:rsidRDefault="003B18E3">
    <w:pPr>
      <w:pBdr>
        <w:top w:val="nil"/>
        <w:left w:val="nil"/>
        <w:bottom w:val="nil"/>
        <w:right w:val="nil"/>
        <w:between w:val="nil"/>
      </w:pBdr>
      <w:spacing w:after="0" w:line="240" w:lineRule="auto"/>
      <w:ind w:left="0" w:hanging="2"/>
      <w:rPr>
        <w:color w:val="000000"/>
      </w:rPr>
    </w:pPr>
  </w:p>
  <w:p w14:paraId="344315E5" w14:textId="77777777" w:rsidR="003B18E3" w:rsidRDefault="003B18E3">
    <w:pPr>
      <w:pBdr>
        <w:top w:val="nil"/>
        <w:left w:val="nil"/>
        <w:bottom w:val="nil"/>
        <w:right w:val="nil"/>
        <w:between w:val="nil"/>
      </w:pBdr>
      <w:spacing w:after="0" w:line="240" w:lineRule="auto"/>
      <w:ind w:left="0" w:hanging="2"/>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3EAEAB" w14:textId="77777777" w:rsidR="008D65A4" w:rsidRDefault="008D65A4" w:rsidP="008D65A4">
    <w:pPr>
      <w:widowControl w:val="0"/>
      <w:spacing w:after="0"/>
      <w:ind w:left="0" w:hanging="2"/>
      <w:rPr>
        <w:rFonts w:ascii="Arial" w:eastAsia="Arial" w:hAnsi="Arial" w:cs="Arial"/>
        <w:color w:val="000000"/>
        <w:sz w:val="20"/>
        <w:szCs w:val="20"/>
      </w:rPr>
    </w:pPr>
  </w:p>
  <w:p w14:paraId="7E4DC409" w14:textId="2866E248" w:rsidR="008D65A4" w:rsidRPr="008D65A4" w:rsidRDefault="008D65A4" w:rsidP="008D65A4">
    <w:pPr>
      <w:pBdr>
        <w:bottom w:val="single" w:sz="4" w:space="10" w:color="auto"/>
      </w:pBdr>
      <w:spacing w:after="120" w:line="240" w:lineRule="auto"/>
      <w:ind w:left="0" w:hanging="2"/>
      <w:jc w:val="right"/>
      <w:rPr>
        <w:rFonts w:ascii="Arial" w:eastAsia="Arial" w:hAnsi="Arial" w:cs="Arial"/>
        <w:color w:val="000000"/>
        <w:sz w:val="20"/>
        <w:szCs w:val="20"/>
      </w:rPr>
    </w:pPr>
    <w:r>
      <w:rPr>
        <w:rFonts w:ascii="Arial" w:eastAsia="Arial" w:hAnsi="Arial" w:cs="Arial"/>
        <w:color w:val="000000"/>
        <w:sz w:val="20"/>
        <w:szCs w:val="20"/>
      </w:rPr>
      <w:t>p-ISSN: 1410-</w:t>
    </w:r>
    <w:proofErr w:type="gramStart"/>
    <w:r>
      <w:rPr>
        <w:rFonts w:ascii="Arial" w:eastAsia="Arial" w:hAnsi="Arial" w:cs="Arial"/>
        <w:color w:val="000000"/>
        <w:sz w:val="20"/>
        <w:szCs w:val="20"/>
      </w:rPr>
      <w:t>2331  e</w:t>
    </w:r>
    <w:proofErr w:type="gramEnd"/>
    <w:r>
      <w:rPr>
        <w:rFonts w:ascii="Arial" w:eastAsia="Arial" w:hAnsi="Arial" w:cs="Arial"/>
        <w:color w:val="000000"/>
        <w:sz w:val="20"/>
        <w:szCs w:val="20"/>
      </w:rPr>
      <w:t>-ISSN: 2460-1217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1376C5B"/>
    <w:multiLevelType w:val="multilevel"/>
    <w:tmpl w:val="6D909E56"/>
    <w:lvl w:ilvl="0">
      <w:start w:val="1"/>
      <w:numFmt w:val="decimal"/>
      <w:pStyle w:val="DaftarReferensi"/>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531E5F10"/>
    <w:multiLevelType w:val="multilevel"/>
    <w:tmpl w:val="52784726"/>
    <w:lvl w:ilvl="0">
      <w:start w:val="1"/>
      <w:numFmt w:val="decimal"/>
      <w:lvlText w:val="[%1]"/>
      <w:lvlJc w:val="left"/>
      <w:pPr>
        <w:ind w:left="2062" w:hanging="360"/>
      </w:pPr>
      <w:rPr>
        <w:vertAlign w:val="baseline"/>
      </w:rPr>
    </w:lvl>
    <w:lvl w:ilvl="1">
      <w:start w:val="1"/>
      <w:numFmt w:val="lowerLetter"/>
      <w:lvlText w:val="%2."/>
      <w:lvlJc w:val="left"/>
      <w:pPr>
        <w:ind w:left="2782" w:hanging="360"/>
      </w:pPr>
      <w:rPr>
        <w:vertAlign w:val="baseline"/>
      </w:rPr>
    </w:lvl>
    <w:lvl w:ilvl="2">
      <w:start w:val="1"/>
      <w:numFmt w:val="lowerRoman"/>
      <w:lvlText w:val="%3."/>
      <w:lvlJc w:val="right"/>
      <w:pPr>
        <w:ind w:left="3502" w:hanging="180"/>
      </w:pPr>
      <w:rPr>
        <w:vertAlign w:val="baseline"/>
      </w:rPr>
    </w:lvl>
    <w:lvl w:ilvl="3">
      <w:start w:val="1"/>
      <w:numFmt w:val="decimal"/>
      <w:lvlText w:val="%4."/>
      <w:lvlJc w:val="left"/>
      <w:pPr>
        <w:ind w:left="4222" w:hanging="360"/>
      </w:pPr>
      <w:rPr>
        <w:vertAlign w:val="baseline"/>
      </w:rPr>
    </w:lvl>
    <w:lvl w:ilvl="4">
      <w:start w:val="1"/>
      <w:numFmt w:val="lowerLetter"/>
      <w:lvlText w:val="%5."/>
      <w:lvlJc w:val="left"/>
      <w:pPr>
        <w:ind w:left="4942" w:hanging="360"/>
      </w:pPr>
      <w:rPr>
        <w:vertAlign w:val="baseline"/>
      </w:rPr>
    </w:lvl>
    <w:lvl w:ilvl="5">
      <w:start w:val="1"/>
      <w:numFmt w:val="lowerRoman"/>
      <w:lvlText w:val="%6."/>
      <w:lvlJc w:val="right"/>
      <w:pPr>
        <w:ind w:left="5662" w:hanging="180"/>
      </w:pPr>
      <w:rPr>
        <w:vertAlign w:val="baseline"/>
      </w:rPr>
    </w:lvl>
    <w:lvl w:ilvl="6">
      <w:start w:val="1"/>
      <w:numFmt w:val="decimal"/>
      <w:lvlText w:val="%7."/>
      <w:lvlJc w:val="left"/>
      <w:pPr>
        <w:ind w:left="6382" w:hanging="360"/>
      </w:pPr>
      <w:rPr>
        <w:vertAlign w:val="baseline"/>
      </w:rPr>
    </w:lvl>
    <w:lvl w:ilvl="7">
      <w:start w:val="1"/>
      <w:numFmt w:val="lowerLetter"/>
      <w:lvlText w:val="%8."/>
      <w:lvlJc w:val="left"/>
      <w:pPr>
        <w:ind w:left="7102" w:hanging="360"/>
      </w:pPr>
      <w:rPr>
        <w:vertAlign w:val="baseline"/>
      </w:rPr>
    </w:lvl>
    <w:lvl w:ilvl="8">
      <w:start w:val="1"/>
      <w:numFmt w:val="lowerRoman"/>
      <w:lvlText w:val="%9."/>
      <w:lvlJc w:val="right"/>
      <w:pPr>
        <w:ind w:left="7822" w:hanging="180"/>
      </w:pPr>
      <w:rPr>
        <w:vertAlign w:val="baseline"/>
      </w:rPr>
    </w:lvl>
  </w:abstractNum>
  <w:num w:numId="1" w16cid:durableId="378169635">
    <w:abstractNumId w:val="1"/>
  </w:num>
  <w:num w:numId="2" w16cid:durableId="16335119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evenAndOddHeaders/>
  <w:characterSpacingControl w:val="doNotCompress"/>
  <w:hdrShapeDefaults>
    <o:shapedefaults v:ext="edit" spidmax="2052"/>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18E3"/>
    <w:rsid w:val="000B32B4"/>
    <w:rsid w:val="000C1E0F"/>
    <w:rsid w:val="000D30B8"/>
    <w:rsid w:val="000D729C"/>
    <w:rsid w:val="000E13C8"/>
    <w:rsid w:val="00133C0D"/>
    <w:rsid w:val="0015406A"/>
    <w:rsid w:val="00182AAE"/>
    <w:rsid w:val="00187086"/>
    <w:rsid w:val="0019579C"/>
    <w:rsid w:val="001A542D"/>
    <w:rsid w:val="001A6BF6"/>
    <w:rsid w:val="00217838"/>
    <w:rsid w:val="002272B2"/>
    <w:rsid w:val="00253755"/>
    <w:rsid w:val="00272051"/>
    <w:rsid w:val="002A18E4"/>
    <w:rsid w:val="002B71FA"/>
    <w:rsid w:val="002F2302"/>
    <w:rsid w:val="002F5652"/>
    <w:rsid w:val="003054E9"/>
    <w:rsid w:val="00305C3F"/>
    <w:rsid w:val="0034541C"/>
    <w:rsid w:val="00363742"/>
    <w:rsid w:val="00364C95"/>
    <w:rsid w:val="003900BA"/>
    <w:rsid w:val="003B18E3"/>
    <w:rsid w:val="003C434A"/>
    <w:rsid w:val="003D3F99"/>
    <w:rsid w:val="003E0BB3"/>
    <w:rsid w:val="003E0FE7"/>
    <w:rsid w:val="003E6989"/>
    <w:rsid w:val="004400FF"/>
    <w:rsid w:val="00456913"/>
    <w:rsid w:val="004671DA"/>
    <w:rsid w:val="004F1A72"/>
    <w:rsid w:val="00503B71"/>
    <w:rsid w:val="0053718B"/>
    <w:rsid w:val="00562E0D"/>
    <w:rsid w:val="005F18AE"/>
    <w:rsid w:val="00627751"/>
    <w:rsid w:val="00635F94"/>
    <w:rsid w:val="006A039D"/>
    <w:rsid w:val="006B1D33"/>
    <w:rsid w:val="006B754F"/>
    <w:rsid w:val="007046C4"/>
    <w:rsid w:val="00707C0A"/>
    <w:rsid w:val="00717F19"/>
    <w:rsid w:val="007322F3"/>
    <w:rsid w:val="007620B1"/>
    <w:rsid w:val="007732E7"/>
    <w:rsid w:val="00785669"/>
    <w:rsid w:val="007E3EA9"/>
    <w:rsid w:val="0080261C"/>
    <w:rsid w:val="00811138"/>
    <w:rsid w:val="00842E97"/>
    <w:rsid w:val="00861FE8"/>
    <w:rsid w:val="008743B1"/>
    <w:rsid w:val="008B2530"/>
    <w:rsid w:val="008C3A83"/>
    <w:rsid w:val="008D65A4"/>
    <w:rsid w:val="008F2B26"/>
    <w:rsid w:val="008F2BBD"/>
    <w:rsid w:val="0091460A"/>
    <w:rsid w:val="00940EA7"/>
    <w:rsid w:val="00943C3E"/>
    <w:rsid w:val="00A03061"/>
    <w:rsid w:val="00A362E2"/>
    <w:rsid w:val="00AA0589"/>
    <w:rsid w:val="00AF628C"/>
    <w:rsid w:val="00B13A40"/>
    <w:rsid w:val="00B27B9D"/>
    <w:rsid w:val="00B577F7"/>
    <w:rsid w:val="00BC6BF8"/>
    <w:rsid w:val="00BE4125"/>
    <w:rsid w:val="00C74773"/>
    <w:rsid w:val="00C920EC"/>
    <w:rsid w:val="00CA653F"/>
    <w:rsid w:val="00D01371"/>
    <w:rsid w:val="00D109A6"/>
    <w:rsid w:val="00D82B8D"/>
    <w:rsid w:val="00DB4A87"/>
    <w:rsid w:val="00DE3127"/>
    <w:rsid w:val="00E72B21"/>
    <w:rsid w:val="00F812BF"/>
    <w:rsid w:val="00F91A45"/>
    <w:rsid w:val="00F94593"/>
    <w:rsid w:val="00FB3EFE"/>
    <w:rsid w:val="00FF2D7F"/>
    <w:rsid w:val="00FF53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61583BC8"/>
  <w15:docId w15:val="{169B62AF-2B1F-4407-BE71-B1E2898F0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hanging="1"/>
      <w:textDirection w:val="btLr"/>
      <w:textAlignment w:val="top"/>
      <w:outlineLvl w:val="0"/>
    </w:pPr>
    <w:rPr>
      <w:position w:val="-1"/>
      <w:lang w:eastAsia="en-US"/>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spacing w:after="0" w:line="240" w:lineRule="auto"/>
      <w:jc w:val="center"/>
    </w:pPr>
    <w:rPr>
      <w:rFonts w:ascii="Times New Roman" w:eastAsia="Times New Roman" w:hAnsi="Times New Roman"/>
      <w:b/>
      <w:bCs/>
      <w:sz w:val="28"/>
      <w:szCs w:val="24"/>
      <w:lang w:val="id-ID"/>
    </w:rPr>
  </w:style>
  <w:style w:type="paragraph" w:styleId="ListParagraph">
    <w:name w:val="List Paragraph"/>
    <w:basedOn w:val="Normal"/>
    <w:pPr>
      <w:ind w:left="720"/>
      <w:contextualSpacing/>
    </w:pPr>
  </w:style>
  <w:style w:type="paragraph" w:styleId="BalloonText">
    <w:name w:val="Balloon Text"/>
    <w:basedOn w:val="Normal"/>
    <w:qFormat/>
    <w:pPr>
      <w:spacing w:after="0" w:line="240" w:lineRule="auto"/>
    </w:pPr>
    <w:rPr>
      <w:rFonts w:ascii="Tahoma" w:eastAsia="Times New Roman" w:hAnsi="Tahoma" w:cs="Tahoma"/>
      <w:sz w:val="16"/>
      <w:szCs w:val="16"/>
    </w:rPr>
  </w:style>
  <w:style w:type="character" w:customStyle="1" w:styleId="BalloonTextChar">
    <w:name w:val="Balloon Text Char"/>
    <w:rPr>
      <w:rFonts w:ascii="Tahoma" w:eastAsia="Times New Roman" w:hAnsi="Tahoma" w:cs="Tahoma"/>
      <w:w w:val="100"/>
      <w:position w:val="-1"/>
      <w:sz w:val="16"/>
      <w:szCs w:val="16"/>
      <w:effect w:val="none"/>
      <w:vertAlign w:val="baseline"/>
      <w:cs w:val="0"/>
      <w:em w:val="none"/>
    </w:rPr>
  </w:style>
  <w:style w:type="paragraph" w:customStyle="1" w:styleId="ratatengah">
    <w:name w:val="rata tengah"/>
    <w:basedOn w:val="Normal"/>
    <w:pPr>
      <w:keepNext/>
      <w:spacing w:after="0" w:line="240" w:lineRule="auto"/>
      <w:jc w:val="center"/>
    </w:pPr>
    <w:rPr>
      <w:rFonts w:ascii="Times New Roman" w:eastAsia="Times New Roman" w:hAnsi="Times New Roman" w:cs="Times New Roman"/>
      <w:sz w:val="20"/>
      <w:szCs w:val="24"/>
      <w:lang w:val="id-ID"/>
    </w:rPr>
  </w:style>
  <w:style w:type="paragraph" w:styleId="Caption">
    <w:name w:val="caption"/>
    <w:basedOn w:val="Normal"/>
    <w:next w:val="Normal"/>
    <w:uiPriority w:val="35"/>
    <w:qFormat/>
    <w:pPr>
      <w:spacing w:before="120" w:after="120" w:line="240" w:lineRule="auto"/>
      <w:jc w:val="both"/>
    </w:pPr>
    <w:rPr>
      <w:rFonts w:ascii="Times New Roman" w:eastAsia="Times New Roman" w:hAnsi="Times New Roman" w:cs="Times New Roman"/>
      <w:bCs/>
      <w:sz w:val="20"/>
      <w:szCs w:val="20"/>
      <w:lang w:val="id-ID"/>
    </w:rPr>
  </w:style>
  <w:style w:type="paragraph" w:customStyle="1" w:styleId="TableTitle">
    <w:name w:val="Table Title"/>
    <w:basedOn w:val="Normal"/>
    <w:pPr>
      <w:autoSpaceDE w:val="0"/>
      <w:autoSpaceDN w:val="0"/>
      <w:spacing w:after="0" w:line="240" w:lineRule="auto"/>
      <w:jc w:val="center"/>
    </w:pPr>
    <w:rPr>
      <w:rFonts w:ascii="Times New Roman" w:eastAsia="Times New Roman" w:hAnsi="Times New Roman" w:cs="Times New Roman"/>
      <w:smallCaps/>
      <w:sz w:val="16"/>
      <w:szCs w:val="16"/>
    </w:rPr>
  </w:style>
  <w:style w:type="paragraph" w:customStyle="1" w:styleId="DaftarReferensi">
    <w:name w:val="Daftar Referensi"/>
    <w:basedOn w:val="Normal"/>
    <w:pPr>
      <w:numPr>
        <w:numId w:val="2"/>
      </w:numPr>
      <w:autoSpaceDE w:val="0"/>
      <w:autoSpaceDN w:val="0"/>
      <w:adjustRightInd w:val="0"/>
      <w:spacing w:after="0" w:line="240" w:lineRule="auto"/>
      <w:ind w:left="-1" w:hanging="1"/>
      <w:jc w:val="both"/>
    </w:pPr>
    <w:rPr>
      <w:rFonts w:ascii="Times New Roman" w:eastAsia="Times New Roman" w:hAnsi="Times New Roman" w:cs="Times New Roman"/>
      <w:sz w:val="20"/>
      <w:szCs w:val="24"/>
    </w:rPr>
  </w:style>
  <w:style w:type="paragraph" w:styleId="Header">
    <w:name w:val="header"/>
    <w:basedOn w:val="Normal"/>
    <w:qFormat/>
    <w:pPr>
      <w:spacing w:after="0" w:line="240" w:lineRule="auto"/>
    </w:pPr>
  </w:style>
  <w:style w:type="character" w:customStyle="1" w:styleId="HeaderChar">
    <w:name w:val="Header Char"/>
    <w:rPr>
      <w:w w:val="100"/>
      <w:position w:val="-1"/>
      <w:effect w:val="none"/>
      <w:vertAlign w:val="baseline"/>
      <w:cs w:val="0"/>
      <w:em w:val="none"/>
    </w:rPr>
  </w:style>
  <w:style w:type="paragraph" w:styleId="Footer">
    <w:name w:val="footer"/>
    <w:basedOn w:val="Normal"/>
    <w:qFormat/>
    <w:pPr>
      <w:spacing w:after="0" w:line="240" w:lineRule="auto"/>
    </w:pPr>
  </w:style>
  <w:style w:type="character" w:customStyle="1" w:styleId="FooterChar">
    <w:name w:val="Footer Char"/>
    <w:rPr>
      <w:w w:val="100"/>
      <w:position w:val="-1"/>
      <w:effect w:val="none"/>
      <w:vertAlign w:val="baseline"/>
      <w:cs w:val="0"/>
      <w:em w:val="none"/>
    </w:rPr>
  </w:style>
  <w:style w:type="character" w:styleId="Hyperlink">
    <w:name w:val="Hyperlink"/>
    <w:qFormat/>
    <w:rPr>
      <w:color w:val="0000FF"/>
      <w:w w:val="100"/>
      <w:position w:val="-1"/>
      <w:u w:val="single"/>
      <w:effect w:val="none"/>
      <w:vertAlign w:val="baseline"/>
      <w:cs w:val="0"/>
      <w:em w:val="none"/>
    </w:rPr>
  </w:style>
  <w:style w:type="paragraph" w:styleId="HTMLPreformatted">
    <w:name w:val="HTML Preformatted"/>
    <w:basedOn w:val="Normal"/>
    <w:pPr>
      <w:spacing w:after="0" w:line="240" w:lineRule="auto"/>
    </w:pPr>
    <w:rPr>
      <w:rFonts w:ascii="Courier New" w:eastAsia="Times New Roman" w:hAnsi="Courier New" w:cs="Courier New"/>
      <w:sz w:val="20"/>
      <w:szCs w:val="20"/>
    </w:rPr>
  </w:style>
  <w:style w:type="character" w:customStyle="1" w:styleId="HTMLPreformattedChar">
    <w:name w:val="HTML Preformatted Char"/>
    <w:rPr>
      <w:rFonts w:ascii="Courier New" w:eastAsia="Times New Roman" w:hAnsi="Courier New" w:cs="Courier New"/>
      <w:w w:val="100"/>
      <w:position w:val="-1"/>
      <w:sz w:val="20"/>
      <w:szCs w:val="20"/>
      <w:effect w:val="none"/>
      <w:vertAlign w:val="baseline"/>
      <w:cs w:val="0"/>
      <w:em w:val="none"/>
    </w:rPr>
  </w:style>
  <w:style w:type="table" w:styleId="TableGrid">
    <w:name w:val="Table Grid"/>
    <w:basedOn w:val="TableNormal"/>
    <w:uiPriority w:val="59"/>
    <w:pPr>
      <w:suppressAutoHyphens/>
      <w:spacing w:after="0" w:line="240" w:lineRule="auto"/>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rPr>
      <w:rFonts w:ascii="Times New Roman" w:eastAsia="Times New Roman" w:hAnsi="Times New Roman"/>
      <w:b/>
      <w:bCs/>
      <w:w w:val="100"/>
      <w:position w:val="-1"/>
      <w:sz w:val="28"/>
      <w:szCs w:val="24"/>
      <w:effect w:val="none"/>
      <w:vertAlign w:val="baseline"/>
      <w:cs w:val="0"/>
      <w:em w:val="none"/>
      <w:lang w:val="id-ID"/>
    </w:rPr>
  </w:style>
  <w:style w:type="character" w:customStyle="1" w:styleId="apple-style-span">
    <w:name w:val="apple-style-span"/>
    <w:rPr>
      <w:w w:val="100"/>
      <w:position w:val="-1"/>
      <w:effect w:val="none"/>
      <w:vertAlign w:val="baseline"/>
      <w:cs w:val="0"/>
      <w:em w:val="none"/>
    </w:rPr>
  </w:style>
  <w:style w:type="paragraph" w:customStyle="1" w:styleId="ICVETBodyText">
    <w:name w:val="ICVET_BodyText"/>
    <w:basedOn w:val="Normal"/>
    <w:pPr>
      <w:spacing w:after="0" w:line="240" w:lineRule="auto"/>
      <w:ind w:firstLine="426"/>
      <w:jc w:val="both"/>
    </w:pPr>
    <w:rPr>
      <w:rFonts w:ascii="Times New Roman" w:eastAsia="Times New Roman" w:hAnsi="Times New Roman"/>
      <w:sz w:val="20"/>
      <w:szCs w:val="20"/>
    </w:rPr>
  </w:style>
  <w:style w:type="character" w:customStyle="1" w:styleId="ICVETBodyTextChar">
    <w:name w:val="ICVET_BodyText Char"/>
    <w:rPr>
      <w:rFonts w:ascii="Times New Roman" w:eastAsia="Times New Roman" w:hAnsi="Times New Roman"/>
      <w:w w:val="100"/>
      <w:position w:val="-1"/>
      <w:effect w:val="none"/>
      <w:vertAlign w:val="baseline"/>
      <w:cs w:val="0"/>
      <w:em w:val="none"/>
    </w:rPr>
  </w:style>
  <w:style w:type="character" w:styleId="Strong">
    <w:name w:val="Strong"/>
    <w:rPr>
      <w:b/>
      <w:bCs/>
      <w:w w:val="100"/>
      <w:position w:val="-1"/>
      <w:effect w:val="none"/>
      <w:vertAlign w:val="baseline"/>
      <w:cs w:val="0"/>
      <w:em w:val="none"/>
    </w:rPr>
  </w:style>
  <w:style w:type="character" w:styleId="Emphasis">
    <w:name w:val="Emphasis"/>
    <w:rPr>
      <w:i/>
      <w:iCs/>
      <w:w w:val="100"/>
      <w:position w:val="-1"/>
      <w:effect w:val="none"/>
      <w:vertAlign w:val="baseline"/>
      <w:cs w:val="0"/>
      <w:em w:val="none"/>
    </w:rPr>
  </w:style>
  <w:style w:type="character" w:customStyle="1" w:styleId="apple-converted-space">
    <w:name w:val="apple-converted-space"/>
    <w:rPr>
      <w:w w:val="100"/>
      <w:position w:val="-1"/>
      <w:effect w:val="none"/>
      <w:vertAlign w:val="baseline"/>
      <w:cs w:val="0"/>
      <w:em w:val="none"/>
    </w:rPr>
  </w:style>
  <w:style w:type="paragraph" w:styleId="NoSpacing">
    <w:name w:val="No Spacing"/>
    <w:pPr>
      <w:suppressAutoHyphens/>
      <w:spacing w:line="1" w:lineRule="atLeast"/>
      <w:ind w:leftChars="-1" w:left="-1" w:hangingChars="1" w:hanging="1"/>
      <w:textDirection w:val="btLr"/>
      <w:textAlignment w:val="top"/>
      <w:outlineLvl w:val="0"/>
    </w:pPr>
    <w:rPr>
      <w:position w:val="-1"/>
      <w:lang w:eastAsia="en-US"/>
    </w:rPr>
  </w:style>
  <w:style w:type="paragraph" w:styleId="NormalWeb">
    <w:name w:val="Normal (Web)"/>
    <w:basedOn w:val="Normal"/>
    <w:qFormat/>
    <w:pPr>
      <w:spacing w:before="100" w:beforeAutospacing="1" w:after="100" w:afterAutospacing="1" w:line="240" w:lineRule="auto"/>
    </w:pPr>
    <w:rPr>
      <w:rFonts w:ascii="Times New Roman" w:eastAsia="Times New Roman" w:hAnsi="Times New Roman"/>
      <w:sz w:val="24"/>
      <w:szCs w:val="24"/>
    </w:rPr>
  </w:style>
  <w:style w:type="paragraph" w:customStyle="1" w:styleId="EndNoteBibliographyTitle">
    <w:name w:val="EndNote Bibliography Title"/>
    <w:basedOn w:val="Normal"/>
    <w:pPr>
      <w:spacing w:after="0"/>
      <w:jc w:val="center"/>
    </w:pPr>
    <w:rPr>
      <w:noProof/>
    </w:rPr>
  </w:style>
  <w:style w:type="character" w:customStyle="1" w:styleId="EndNoteBibliographyTitleChar">
    <w:name w:val="EndNote Bibliography Title Char"/>
    <w:rPr>
      <w:noProof/>
      <w:w w:val="100"/>
      <w:position w:val="-1"/>
      <w:sz w:val="22"/>
      <w:szCs w:val="22"/>
      <w:effect w:val="none"/>
      <w:vertAlign w:val="baseline"/>
      <w:cs w:val="0"/>
      <w:em w:val="none"/>
    </w:rPr>
  </w:style>
  <w:style w:type="character" w:styleId="UnresolvedMention">
    <w:name w:val="Unresolved Mention"/>
    <w:qFormat/>
    <w:rPr>
      <w:color w:val="605E5C"/>
      <w:w w:val="100"/>
      <w:position w:val="-1"/>
      <w:effect w:val="none"/>
      <w:shd w:val="clear" w:color="auto" w:fill="E1DFDD"/>
      <w:vertAlign w:val="baseline"/>
      <w:cs w:val="0"/>
      <w:em w:val="none"/>
    </w:rPr>
  </w:style>
  <w:style w:type="character" w:customStyle="1" w:styleId="ListParagraphChar">
    <w:name w:val="List Paragraph Char"/>
    <w:rPr>
      <w:w w:val="100"/>
      <w:position w:val="-1"/>
      <w:sz w:val="22"/>
      <w:szCs w:val="22"/>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character" w:styleId="PlaceholderText">
    <w:name w:val="Placeholder Text"/>
    <w:basedOn w:val="DefaultParagraphFont"/>
    <w:uiPriority w:val="99"/>
    <w:semiHidden/>
    <w:rsid w:val="00FF2D7F"/>
    <w:rPr>
      <w:color w:val="666666"/>
    </w:rPr>
  </w:style>
  <w:style w:type="character" w:customStyle="1" w:styleId="MTEquationSection">
    <w:name w:val="MTEquationSection"/>
    <w:basedOn w:val="DefaultParagraphFont"/>
    <w:rsid w:val="000C1E0F"/>
    <w:rPr>
      <w:vanish/>
      <w:color w:val="FF0000"/>
    </w:rPr>
  </w:style>
  <w:style w:type="paragraph" w:customStyle="1" w:styleId="MTDisplayEquation">
    <w:name w:val="MTDisplayEquation"/>
    <w:basedOn w:val="Normal"/>
    <w:next w:val="Normal"/>
    <w:link w:val="MTDisplayEquationChar"/>
    <w:rsid w:val="000C1E0F"/>
    <w:pPr>
      <w:tabs>
        <w:tab w:val="center" w:pos="4540"/>
        <w:tab w:val="right" w:pos="9080"/>
      </w:tabs>
      <w:spacing w:after="0" w:line="240" w:lineRule="auto"/>
      <w:ind w:left="0" w:hanging="2"/>
      <w:jc w:val="both"/>
    </w:pPr>
    <w:rPr>
      <w:rFonts w:ascii="Cambria" w:eastAsia="Cambria" w:hAnsi="Cambria" w:cs="Cambria"/>
      <w:color w:val="000000"/>
    </w:rPr>
  </w:style>
  <w:style w:type="character" w:customStyle="1" w:styleId="MTDisplayEquationChar">
    <w:name w:val="MTDisplayEquation Char"/>
    <w:basedOn w:val="DefaultParagraphFont"/>
    <w:link w:val="MTDisplayEquation"/>
    <w:rsid w:val="000C1E0F"/>
    <w:rPr>
      <w:rFonts w:ascii="Cambria" w:eastAsia="Cambria" w:hAnsi="Cambria" w:cs="Cambria"/>
      <w:color w:val="000000"/>
      <w:position w:val="-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24914093">
      <w:bodyDiv w:val="1"/>
      <w:marLeft w:val="0"/>
      <w:marRight w:val="0"/>
      <w:marTop w:val="0"/>
      <w:marBottom w:val="0"/>
      <w:divBdr>
        <w:top w:val="none" w:sz="0" w:space="0" w:color="auto"/>
        <w:left w:val="none" w:sz="0" w:space="0" w:color="auto"/>
        <w:bottom w:val="none" w:sz="0" w:space="0" w:color="auto"/>
        <w:right w:val="none" w:sz="0" w:space="0" w:color="auto"/>
      </w:divBdr>
      <w:divsChild>
        <w:div w:id="1034497495">
          <w:marLeft w:val="640"/>
          <w:marRight w:val="0"/>
          <w:marTop w:val="0"/>
          <w:marBottom w:val="0"/>
          <w:divBdr>
            <w:top w:val="none" w:sz="0" w:space="0" w:color="auto"/>
            <w:left w:val="none" w:sz="0" w:space="0" w:color="auto"/>
            <w:bottom w:val="none" w:sz="0" w:space="0" w:color="auto"/>
            <w:right w:val="none" w:sz="0" w:space="0" w:color="auto"/>
          </w:divBdr>
          <w:divsChild>
            <w:div w:id="2051149332">
              <w:marLeft w:val="0"/>
              <w:marRight w:val="0"/>
              <w:marTop w:val="0"/>
              <w:marBottom w:val="0"/>
              <w:divBdr>
                <w:top w:val="none" w:sz="0" w:space="0" w:color="auto"/>
                <w:left w:val="none" w:sz="0" w:space="0" w:color="auto"/>
                <w:bottom w:val="none" w:sz="0" w:space="0" w:color="auto"/>
                <w:right w:val="none" w:sz="0" w:space="0" w:color="auto"/>
              </w:divBdr>
              <w:divsChild>
                <w:div w:id="769660269">
                  <w:marLeft w:val="640"/>
                  <w:marRight w:val="0"/>
                  <w:marTop w:val="0"/>
                  <w:marBottom w:val="0"/>
                  <w:divBdr>
                    <w:top w:val="none" w:sz="0" w:space="0" w:color="auto"/>
                    <w:left w:val="none" w:sz="0" w:space="0" w:color="auto"/>
                    <w:bottom w:val="none" w:sz="0" w:space="0" w:color="auto"/>
                    <w:right w:val="none" w:sz="0" w:space="0" w:color="auto"/>
                  </w:divBdr>
                </w:div>
                <w:div w:id="1461147628">
                  <w:marLeft w:val="640"/>
                  <w:marRight w:val="0"/>
                  <w:marTop w:val="0"/>
                  <w:marBottom w:val="0"/>
                  <w:divBdr>
                    <w:top w:val="none" w:sz="0" w:space="0" w:color="auto"/>
                    <w:left w:val="none" w:sz="0" w:space="0" w:color="auto"/>
                    <w:bottom w:val="none" w:sz="0" w:space="0" w:color="auto"/>
                    <w:right w:val="none" w:sz="0" w:space="0" w:color="auto"/>
                  </w:divBdr>
                </w:div>
                <w:div w:id="1460224254">
                  <w:marLeft w:val="640"/>
                  <w:marRight w:val="0"/>
                  <w:marTop w:val="0"/>
                  <w:marBottom w:val="0"/>
                  <w:divBdr>
                    <w:top w:val="none" w:sz="0" w:space="0" w:color="auto"/>
                    <w:left w:val="none" w:sz="0" w:space="0" w:color="auto"/>
                    <w:bottom w:val="none" w:sz="0" w:space="0" w:color="auto"/>
                    <w:right w:val="none" w:sz="0" w:space="0" w:color="auto"/>
                  </w:divBdr>
                </w:div>
                <w:div w:id="1166364549">
                  <w:marLeft w:val="640"/>
                  <w:marRight w:val="0"/>
                  <w:marTop w:val="0"/>
                  <w:marBottom w:val="0"/>
                  <w:divBdr>
                    <w:top w:val="none" w:sz="0" w:space="0" w:color="auto"/>
                    <w:left w:val="none" w:sz="0" w:space="0" w:color="auto"/>
                    <w:bottom w:val="none" w:sz="0" w:space="0" w:color="auto"/>
                    <w:right w:val="none" w:sz="0" w:space="0" w:color="auto"/>
                  </w:divBdr>
                </w:div>
                <w:div w:id="1821774135">
                  <w:marLeft w:val="640"/>
                  <w:marRight w:val="0"/>
                  <w:marTop w:val="0"/>
                  <w:marBottom w:val="0"/>
                  <w:divBdr>
                    <w:top w:val="none" w:sz="0" w:space="0" w:color="auto"/>
                    <w:left w:val="none" w:sz="0" w:space="0" w:color="auto"/>
                    <w:bottom w:val="none" w:sz="0" w:space="0" w:color="auto"/>
                    <w:right w:val="none" w:sz="0" w:space="0" w:color="auto"/>
                  </w:divBdr>
                </w:div>
                <w:div w:id="1555199166">
                  <w:marLeft w:val="640"/>
                  <w:marRight w:val="0"/>
                  <w:marTop w:val="0"/>
                  <w:marBottom w:val="0"/>
                  <w:divBdr>
                    <w:top w:val="none" w:sz="0" w:space="0" w:color="auto"/>
                    <w:left w:val="none" w:sz="0" w:space="0" w:color="auto"/>
                    <w:bottom w:val="none" w:sz="0" w:space="0" w:color="auto"/>
                    <w:right w:val="none" w:sz="0" w:space="0" w:color="auto"/>
                  </w:divBdr>
                </w:div>
                <w:div w:id="271059348">
                  <w:marLeft w:val="640"/>
                  <w:marRight w:val="0"/>
                  <w:marTop w:val="0"/>
                  <w:marBottom w:val="0"/>
                  <w:divBdr>
                    <w:top w:val="none" w:sz="0" w:space="0" w:color="auto"/>
                    <w:left w:val="none" w:sz="0" w:space="0" w:color="auto"/>
                    <w:bottom w:val="none" w:sz="0" w:space="0" w:color="auto"/>
                    <w:right w:val="none" w:sz="0" w:space="0" w:color="auto"/>
                  </w:divBdr>
                </w:div>
                <w:div w:id="188111446">
                  <w:marLeft w:val="640"/>
                  <w:marRight w:val="0"/>
                  <w:marTop w:val="0"/>
                  <w:marBottom w:val="0"/>
                  <w:divBdr>
                    <w:top w:val="none" w:sz="0" w:space="0" w:color="auto"/>
                    <w:left w:val="none" w:sz="0" w:space="0" w:color="auto"/>
                    <w:bottom w:val="none" w:sz="0" w:space="0" w:color="auto"/>
                    <w:right w:val="none" w:sz="0" w:space="0" w:color="auto"/>
                  </w:divBdr>
                </w:div>
                <w:div w:id="12730941">
                  <w:marLeft w:val="640"/>
                  <w:marRight w:val="0"/>
                  <w:marTop w:val="0"/>
                  <w:marBottom w:val="0"/>
                  <w:divBdr>
                    <w:top w:val="none" w:sz="0" w:space="0" w:color="auto"/>
                    <w:left w:val="none" w:sz="0" w:space="0" w:color="auto"/>
                    <w:bottom w:val="none" w:sz="0" w:space="0" w:color="auto"/>
                    <w:right w:val="none" w:sz="0" w:space="0" w:color="auto"/>
                  </w:divBdr>
                </w:div>
                <w:div w:id="878470032">
                  <w:marLeft w:val="640"/>
                  <w:marRight w:val="0"/>
                  <w:marTop w:val="0"/>
                  <w:marBottom w:val="0"/>
                  <w:divBdr>
                    <w:top w:val="none" w:sz="0" w:space="0" w:color="auto"/>
                    <w:left w:val="none" w:sz="0" w:space="0" w:color="auto"/>
                    <w:bottom w:val="none" w:sz="0" w:space="0" w:color="auto"/>
                    <w:right w:val="none" w:sz="0" w:space="0" w:color="auto"/>
                  </w:divBdr>
                </w:div>
                <w:div w:id="579146060">
                  <w:marLeft w:val="640"/>
                  <w:marRight w:val="0"/>
                  <w:marTop w:val="0"/>
                  <w:marBottom w:val="0"/>
                  <w:divBdr>
                    <w:top w:val="none" w:sz="0" w:space="0" w:color="auto"/>
                    <w:left w:val="none" w:sz="0" w:space="0" w:color="auto"/>
                    <w:bottom w:val="none" w:sz="0" w:space="0" w:color="auto"/>
                    <w:right w:val="none" w:sz="0" w:space="0" w:color="auto"/>
                  </w:divBdr>
                </w:div>
                <w:div w:id="2032143999">
                  <w:marLeft w:val="640"/>
                  <w:marRight w:val="0"/>
                  <w:marTop w:val="0"/>
                  <w:marBottom w:val="0"/>
                  <w:divBdr>
                    <w:top w:val="none" w:sz="0" w:space="0" w:color="auto"/>
                    <w:left w:val="none" w:sz="0" w:space="0" w:color="auto"/>
                    <w:bottom w:val="none" w:sz="0" w:space="0" w:color="auto"/>
                    <w:right w:val="none" w:sz="0" w:space="0" w:color="auto"/>
                  </w:divBdr>
                </w:div>
                <w:div w:id="819267618">
                  <w:marLeft w:val="640"/>
                  <w:marRight w:val="0"/>
                  <w:marTop w:val="0"/>
                  <w:marBottom w:val="0"/>
                  <w:divBdr>
                    <w:top w:val="none" w:sz="0" w:space="0" w:color="auto"/>
                    <w:left w:val="none" w:sz="0" w:space="0" w:color="auto"/>
                    <w:bottom w:val="none" w:sz="0" w:space="0" w:color="auto"/>
                    <w:right w:val="none" w:sz="0" w:space="0" w:color="auto"/>
                  </w:divBdr>
                </w:div>
                <w:div w:id="1740009343">
                  <w:marLeft w:val="640"/>
                  <w:marRight w:val="0"/>
                  <w:marTop w:val="0"/>
                  <w:marBottom w:val="0"/>
                  <w:divBdr>
                    <w:top w:val="none" w:sz="0" w:space="0" w:color="auto"/>
                    <w:left w:val="none" w:sz="0" w:space="0" w:color="auto"/>
                    <w:bottom w:val="none" w:sz="0" w:space="0" w:color="auto"/>
                    <w:right w:val="none" w:sz="0" w:space="0" w:color="auto"/>
                  </w:divBdr>
                </w:div>
                <w:div w:id="1621064746">
                  <w:marLeft w:val="640"/>
                  <w:marRight w:val="0"/>
                  <w:marTop w:val="0"/>
                  <w:marBottom w:val="0"/>
                  <w:divBdr>
                    <w:top w:val="none" w:sz="0" w:space="0" w:color="auto"/>
                    <w:left w:val="none" w:sz="0" w:space="0" w:color="auto"/>
                    <w:bottom w:val="none" w:sz="0" w:space="0" w:color="auto"/>
                    <w:right w:val="none" w:sz="0" w:space="0" w:color="auto"/>
                  </w:divBdr>
                </w:div>
                <w:div w:id="389036676">
                  <w:marLeft w:val="640"/>
                  <w:marRight w:val="0"/>
                  <w:marTop w:val="0"/>
                  <w:marBottom w:val="0"/>
                  <w:divBdr>
                    <w:top w:val="none" w:sz="0" w:space="0" w:color="auto"/>
                    <w:left w:val="none" w:sz="0" w:space="0" w:color="auto"/>
                    <w:bottom w:val="none" w:sz="0" w:space="0" w:color="auto"/>
                    <w:right w:val="none" w:sz="0" w:space="0" w:color="auto"/>
                  </w:divBdr>
                </w:div>
                <w:div w:id="983851056">
                  <w:marLeft w:val="640"/>
                  <w:marRight w:val="0"/>
                  <w:marTop w:val="0"/>
                  <w:marBottom w:val="0"/>
                  <w:divBdr>
                    <w:top w:val="none" w:sz="0" w:space="0" w:color="auto"/>
                    <w:left w:val="none" w:sz="0" w:space="0" w:color="auto"/>
                    <w:bottom w:val="none" w:sz="0" w:space="0" w:color="auto"/>
                    <w:right w:val="none" w:sz="0" w:space="0" w:color="auto"/>
                  </w:divBdr>
                </w:div>
                <w:div w:id="478112473">
                  <w:marLeft w:val="640"/>
                  <w:marRight w:val="0"/>
                  <w:marTop w:val="0"/>
                  <w:marBottom w:val="0"/>
                  <w:divBdr>
                    <w:top w:val="none" w:sz="0" w:space="0" w:color="auto"/>
                    <w:left w:val="none" w:sz="0" w:space="0" w:color="auto"/>
                    <w:bottom w:val="none" w:sz="0" w:space="0" w:color="auto"/>
                    <w:right w:val="none" w:sz="0" w:space="0" w:color="auto"/>
                  </w:divBdr>
                </w:div>
              </w:divsChild>
            </w:div>
            <w:div w:id="1555236909">
              <w:marLeft w:val="0"/>
              <w:marRight w:val="0"/>
              <w:marTop w:val="0"/>
              <w:marBottom w:val="0"/>
              <w:divBdr>
                <w:top w:val="none" w:sz="0" w:space="0" w:color="auto"/>
                <w:left w:val="none" w:sz="0" w:space="0" w:color="auto"/>
                <w:bottom w:val="none" w:sz="0" w:space="0" w:color="auto"/>
                <w:right w:val="none" w:sz="0" w:space="0" w:color="auto"/>
              </w:divBdr>
              <w:divsChild>
                <w:div w:id="315845408">
                  <w:marLeft w:val="640"/>
                  <w:marRight w:val="0"/>
                  <w:marTop w:val="0"/>
                  <w:marBottom w:val="0"/>
                  <w:divBdr>
                    <w:top w:val="none" w:sz="0" w:space="0" w:color="auto"/>
                    <w:left w:val="none" w:sz="0" w:space="0" w:color="auto"/>
                    <w:bottom w:val="none" w:sz="0" w:space="0" w:color="auto"/>
                    <w:right w:val="none" w:sz="0" w:space="0" w:color="auto"/>
                  </w:divBdr>
                </w:div>
                <w:div w:id="1452867620">
                  <w:marLeft w:val="640"/>
                  <w:marRight w:val="0"/>
                  <w:marTop w:val="0"/>
                  <w:marBottom w:val="0"/>
                  <w:divBdr>
                    <w:top w:val="none" w:sz="0" w:space="0" w:color="auto"/>
                    <w:left w:val="none" w:sz="0" w:space="0" w:color="auto"/>
                    <w:bottom w:val="none" w:sz="0" w:space="0" w:color="auto"/>
                    <w:right w:val="none" w:sz="0" w:space="0" w:color="auto"/>
                  </w:divBdr>
                </w:div>
                <w:div w:id="1791970794">
                  <w:marLeft w:val="640"/>
                  <w:marRight w:val="0"/>
                  <w:marTop w:val="0"/>
                  <w:marBottom w:val="0"/>
                  <w:divBdr>
                    <w:top w:val="none" w:sz="0" w:space="0" w:color="auto"/>
                    <w:left w:val="none" w:sz="0" w:space="0" w:color="auto"/>
                    <w:bottom w:val="none" w:sz="0" w:space="0" w:color="auto"/>
                    <w:right w:val="none" w:sz="0" w:space="0" w:color="auto"/>
                  </w:divBdr>
                </w:div>
                <w:div w:id="1954628435">
                  <w:marLeft w:val="640"/>
                  <w:marRight w:val="0"/>
                  <w:marTop w:val="0"/>
                  <w:marBottom w:val="0"/>
                  <w:divBdr>
                    <w:top w:val="none" w:sz="0" w:space="0" w:color="auto"/>
                    <w:left w:val="none" w:sz="0" w:space="0" w:color="auto"/>
                    <w:bottom w:val="none" w:sz="0" w:space="0" w:color="auto"/>
                    <w:right w:val="none" w:sz="0" w:space="0" w:color="auto"/>
                  </w:divBdr>
                </w:div>
                <w:div w:id="1754548603">
                  <w:marLeft w:val="640"/>
                  <w:marRight w:val="0"/>
                  <w:marTop w:val="0"/>
                  <w:marBottom w:val="0"/>
                  <w:divBdr>
                    <w:top w:val="none" w:sz="0" w:space="0" w:color="auto"/>
                    <w:left w:val="none" w:sz="0" w:space="0" w:color="auto"/>
                    <w:bottom w:val="none" w:sz="0" w:space="0" w:color="auto"/>
                    <w:right w:val="none" w:sz="0" w:space="0" w:color="auto"/>
                  </w:divBdr>
                </w:div>
                <w:div w:id="421611796">
                  <w:marLeft w:val="640"/>
                  <w:marRight w:val="0"/>
                  <w:marTop w:val="0"/>
                  <w:marBottom w:val="0"/>
                  <w:divBdr>
                    <w:top w:val="none" w:sz="0" w:space="0" w:color="auto"/>
                    <w:left w:val="none" w:sz="0" w:space="0" w:color="auto"/>
                    <w:bottom w:val="none" w:sz="0" w:space="0" w:color="auto"/>
                    <w:right w:val="none" w:sz="0" w:space="0" w:color="auto"/>
                  </w:divBdr>
                </w:div>
                <w:div w:id="1494833130">
                  <w:marLeft w:val="640"/>
                  <w:marRight w:val="0"/>
                  <w:marTop w:val="0"/>
                  <w:marBottom w:val="0"/>
                  <w:divBdr>
                    <w:top w:val="none" w:sz="0" w:space="0" w:color="auto"/>
                    <w:left w:val="none" w:sz="0" w:space="0" w:color="auto"/>
                    <w:bottom w:val="none" w:sz="0" w:space="0" w:color="auto"/>
                    <w:right w:val="none" w:sz="0" w:space="0" w:color="auto"/>
                  </w:divBdr>
                </w:div>
                <w:div w:id="1936790205">
                  <w:marLeft w:val="640"/>
                  <w:marRight w:val="0"/>
                  <w:marTop w:val="0"/>
                  <w:marBottom w:val="0"/>
                  <w:divBdr>
                    <w:top w:val="none" w:sz="0" w:space="0" w:color="auto"/>
                    <w:left w:val="none" w:sz="0" w:space="0" w:color="auto"/>
                    <w:bottom w:val="none" w:sz="0" w:space="0" w:color="auto"/>
                    <w:right w:val="none" w:sz="0" w:space="0" w:color="auto"/>
                  </w:divBdr>
                </w:div>
                <w:div w:id="64692299">
                  <w:marLeft w:val="640"/>
                  <w:marRight w:val="0"/>
                  <w:marTop w:val="0"/>
                  <w:marBottom w:val="0"/>
                  <w:divBdr>
                    <w:top w:val="none" w:sz="0" w:space="0" w:color="auto"/>
                    <w:left w:val="none" w:sz="0" w:space="0" w:color="auto"/>
                    <w:bottom w:val="none" w:sz="0" w:space="0" w:color="auto"/>
                    <w:right w:val="none" w:sz="0" w:space="0" w:color="auto"/>
                  </w:divBdr>
                </w:div>
                <w:div w:id="1159075731">
                  <w:marLeft w:val="640"/>
                  <w:marRight w:val="0"/>
                  <w:marTop w:val="0"/>
                  <w:marBottom w:val="0"/>
                  <w:divBdr>
                    <w:top w:val="none" w:sz="0" w:space="0" w:color="auto"/>
                    <w:left w:val="none" w:sz="0" w:space="0" w:color="auto"/>
                    <w:bottom w:val="none" w:sz="0" w:space="0" w:color="auto"/>
                    <w:right w:val="none" w:sz="0" w:space="0" w:color="auto"/>
                  </w:divBdr>
                </w:div>
                <w:div w:id="733432262">
                  <w:marLeft w:val="640"/>
                  <w:marRight w:val="0"/>
                  <w:marTop w:val="0"/>
                  <w:marBottom w:val="0"/>
                  <w:divBdr>
                    <w:top w:val="none" w:sz="0" w:space="0" w:color="auto"/>
                    <w:left w:val="none" w:sz="0" w:space="0" w:color="auto"/>
                    <w:bottom w:val="none" w:sz="0" w:space="0" w:color="auto"/>
                    <w:right w:val="none" w:sz="0" w:space="0" w:color="auto"/>
                  </w:divBdr>
                </w:div>
                <w:div w:id="1562598710">
                  <w:marLeft w:val="640"/>
                  <w:marRight w:val="0"/>
                  <w:marTop w:val="0"/>
                  <w:marBottom w:val="0"/>
                  <w:divBdr>
                    <w:top w:val="none" w:sz="0" w:space="0" w:color="auto"/>
                    <w:left w:val="none" w:sz="0" w:space="0" w:color="auto"/>
                    <w:bottom w:val="none" w:sz="0" w:space="0" w:color="auto"/>
                    <w:right w:val="none" w:sz="0" w:space="0" w:color="auto"/>
                  </w:divBdr>
                </w:div>
                <w:div w:id="1818524620">
                  <w:marLeft w:val="640"/>
                  <w:marRight w:val="0"/>
                  <w:marTop w:val="0"/>
                  <w:marBottom w:val="0"/>
                  <w:divBdr>
                    <w:top w:val="none" w:sz="0" w:space="0" w:color="auto"/>
                    <w:left w:val="none" w:sz="0" w:space="0" w:color="auto"/>
                    <w:bottom w:val="none" w:sz="0" w:space="0" w:color="auto"/>
                    <w:right w:val="none" w:sz="0" w:space="0" w:color="auto"/>
                  </w:divBdr>
                </w:div>
                <w:div w:id="1412695151">
                  <w:marLeft w:val="640"/>
                  <w:marRight w:val="0"/>
                  <w:marTop w:val="0"/>
                  <w:marBottom w:val="0"/>
                  <w:divBdr>
                    <w:top w:val="none" w:sz="0" w:space="0" w:color="auto"/>
                    <w:left w:val="none" w:sz="0" w:space="0" w:color="auto"/>
                    <w:bottom w:val="none" w:sz="0" w:space="0" w:color="auto"/>
                    <w:right w:val="none" w:sz="0" w:space="0" w:color="auto"/>
                  </w:divBdr>
                </w:div>
                <w:div w:id="1397435741">
                  <w:marLeft w:val="640"/>
                  <w:marRight w:val="0"/>
                  <w:marTop w:val="0"/>
                  <w:marBottom w:val="0"/>
                  <w:divBdr>
                    <w:top w:val="none" w:sz="0" w:space="0" w:color="auto"/>
                    <w:left w:val="none" w:sz="0" w:space="0" w:color="auto"/>
                    <w:bottom w:val="none" w:sz="0" w:space="0" w:color="auto"/>
                    <w:right w:val="none" w:sz="0" w:space="0" w:color="auto"/>
                  </w:divBdr>
                </w:div>
                <w:div w:id="158204374">
                  <w:marLeft w:val="640"/>
                  <w:marRight w:val="0"/>
                  <w:marTop w:val="0"/>
                  <w:marBottom w:val="0"/>
                  <w:divBdr>
                    <w:top w:val="none" w:sz="0" w:space="0" w:color="auto"/>
                    <w:left w:val="none" w:sz="0" w:space="0" w:color="auto"/>
                    <w:bottom w:val="none" w:sz="0" w:space="0" w:color="auto"/>
                    <w:right w:val="none" w:sz="0" w:space="0" w:color="auto"/>
                  </w:divBdr>
                </w:div>
                <w:div w:id="1584030892">
                  <w:marLeft w:val="640"/>
                  <w:marRight w:val="0"/>
                  <w:marTop w:val="0"/>
                  <w:marBottom w:val="0"/>
                  <w:divBdr>
                    <w:top w:val="none" w:sz="0" w:space="0" w:color="auto"/>
                    <w:left w:val="none" w:sz="0" w:space="0" w:color="auto"/>
                    <w:bottom w:val="none" w:sz="0" w:space="0" w:color="auto"/>
                    <w:right w:val="none" w:sz="0" w:space="0" w:color="auto"/>
                  </w:divBdr>
                </w:div>
                <w:div w:id="873615254">
                  <w:marLeft w:val="640"/>
                  <w:marRight w:val="0"/>
                  <w:marTop w:val="0"/>
                  <w:marBottom w:val="0"/>
                  <w:divBdr>
                    <w:top w:val="none" w:sz="0" w:space="0" w:color="auto"/>
                    <w:left w:val="none" w:sz="0" w:space="0" w:color="auto"/>
                    <w:bottom w:val="none" w:sz="0" w:space="0" w:color="auto"/>
                    <w:right w:val="none" w:sz="0" w:space="0" w:color="auto"/>
                  </w:divBdr>
                </w:div>
              </w:divsChild>
            </w:div>
            <w:div w:id="66726772">
              <w:marLeft w:val="0"/>
              <w:marRight w:val="0"/>
              <w:marTop w:val="0"/>
              <w:marBottom w:val="0"/>
              <w:divBdr>
                <w:top w:val="none" w:sz="0" w:space="0" w:color="auto"/>
                <w:left w:val="none" w:sz="0" w:space="0" w:color="auto"/>
                <w:bottom w:val="none" w:sz="0" w:space="0" w:color="auto"/>
                <w:right w:val="none" w:sz="0" w:space="0" w:color="auto"/>
              </w:divBdr>
              <w:divsChild>
                <w:div w:id="135800664">
                  <w:marLeft w:val="640"/>
                  <w:marRight w:val="0"/>
                  <w:marTop w:val="0"/>
                  <w:marBottom w:val="0"/>
                  <w:divBdr>
                    <w:top w:val="none" w:sz="0" w:space="0" w:color="auto"/>
                    <w:left w:val="none" w:sz="0" w:space="0" w:color="auto"/>
                    <w:bottom w:val="none" w:sz="0" w:space="0" w:color="auto"/>
                    <w:right w:val="none" w:sz="0" w:space="0" w:color="auto"/>
                  </w:divBdr>
                </w:div>
                <w:div w:id="1568998705">
                  <w:marLeft w:val="640"/>
                  <w:marRight w:val="0"/>
                  <w:marTop w:val="0"/>
                  <w:marBottom w:val="0"/>
                  <w:divBdr>
                    <w:top w:val="none" w:sz="0" w:space="0" w:color="auto"/>
                    <w:left w:val="none" w:sz="0" w:space="0" w:color="auto"/>
                    <w:bottom w:val="none" w:sz="0" w:space="0" w:color="auto"/>
                    <w:right w:val="none" w:sz="0" w:space="0" w:color="auto"/>
                  </w:divBdr>
                </w:div>
                <w:div w:id="1997878086">
                  <w:marLeft w:val="640"/>
                  <w:marRight w:val="0"/>
                  <w:marTop w:val="0"/>
                  <w:marBottom w:val="0"/>
                  <w:divBdr>
                    <w:top w:val="none" w:sz="0" w:space="0" w:color="auto"/>
                    <w:left w:val="none" w:sz="0" w:space="0" w:color="auto"/>
                    <w:bottom w:val="none" w:sz="0" w:space="0" w:color="auto"/>
                    <w:right w:val="none" w:sz="0" w:space="0" w:color="auto"/>
                  </w:divBdr>
                </w:div>
                <w:div w:id="505562866">
                  <w:marLeft w:val="640"/>
                  <w:marRight w:val="0"/>
                  <w:marTop w:val="0"/>
                  <w:marBottom w:val="0"/>
                  <w:divBdr>
                    <w:top w:val="none" w:sz="0" w:space="0" w:color="auto"/>
                    <w:left w:val="none" w:sz="0" w:space="0" w:color="auto"/>
                    <w:bottom w:val="none" w:sz="0" w:space="0" w:color="auto"/>
                    <w:right w:val="none" w:sz="0" w:space="0" w:color="auto"/>
                  </w:divBdr>
                </w:div>
                <w:div w:id="451828239">
                  <w:marLeft w:val="640"/>
                  <w:marRight w:val="0"/>
                  <w:marTop w:val="0"/>
                  <w:marBottom w:val="0"/>
                  <w:divBdr>
                    <w:top w:val="none" w:sz="0" w:space="0" w:color="auto"/>
                    <w:left w:val="none" w:sz="0" w:space="0" w:color="auto"/>
                    <w:bottom w:val="none" w:sz="0" w:space="0" w:color="auto"/>
                    <w:right w:val="none" w:sz="0" w:space="0" w:color="auto"/>
                  </w:divBdr>
                </w:div>
                <w:div w:id="44112609">
                  <w:marLeft w:val="640"/>
                  <w:marRight w:val="0"/>
                  <w:marTop w:val="0"/>
                  <w:marBottom w:val="0"/>
                  <w:divBdr>
                    <w:top w:val="none" w:sz="0" w:space="0" w:color="auto"/>
                    <w:left w:val="none" w:sz="0" w:space="0" w:color="auto"/>
                    <w:bottom w:val="none" w:sz="0" w:space="0" w:color="auto"/>
                    <w:right w:val="none" w:sz="0" w:space="0" w:color="auto"/>
                  </w:divBdr>
                </w:div>
                <w:div w:id="335501101">
                  <w:marLeft w:val="640"/>
                  <w:marRight w:val="0"/>
                  <w:marTop w:val="0"/>
                  <w:marBottom w:val="0"/>
                  <w:divBdr>
                    <w:top w:val="none" w:sz="0" w:space="0" w:color="auto"/>
                    <w:left w:val="none" w:sz="0" w:space="0" w:color="auto"/>
                    <w:bottom w:val="none" w:sz="0" w:space="0" w:color="auto"/>
                    <w:right w:val="none" w:sz="0" w:space="0" w:color="auto"/>
                  </w:divBdr>
                </w:div>
                <w:div w:id="955133628">
                  <w:marLeft w:val="640"/>
                  <w:marRight w:val="0"/>
                  <w:marTop w:val="0"/>
                  <w:marBottom w:val="0"/>
                  <w:divBdr>
                    <w:top w:val="none" w:sz="0" w:space="0" w:color="auto"/>
                    <w:left w:val="none" w:sz="0" w:space="0" w:color="auto"/>
                    <w:bottom w:val="none" w:sz="0" w:space="0" w:color="auto"/>
                    <w:right w:val="none" w:sz="0" w:space="0" w:color="auto"/>
                  </w:divBdr>
                </w:div>
                <w:div w:id="95492194">
                  <w:marLeft w:val="640"/>
                  <w:marRight w:val="0"/>
                  <w:marTop w:val="0"/>
                  <w:marBottom w:val="0"/>
                  <w:divBdr>
                    <w:top w:val="none" w:sz="0" w:space="0" w:color="auto"/>
                    <w:left w:val="none" w:sz="0" w:space="0" w:color="auto"/>
                    <w:bottom w:val="none" w:sz="0" w:space="0" w:color="auto"/>
                    <w:right w:val="none" w:sz="0" w:space="0" w:color="auto"/>
                  </w:divBdr>
                </w:div>
                <w:div w:id="1960378795">
                  <w:marLeft w:val="640"/>
                  <w:marRight w:val="0"/>
                  <w:marTop w:val="0"/>
                  <w:marBottom w:val="0"/>
                  <w:divBdr>
                    <w:top w:val="none" w:sz="0" w:space="0" w:color="auto"/>
                    <w:left w:val="none" w:sz="0" w:space="0" w:color="auto"/>
                    <w:bottom w:val="none" w:sz="0" w:space="0" w:color="auto"/>
                    <w:right w:val="none" w:sz="0" w:space="0" w:color="auto"/>
                  </w:divBdr>
                </w:div>
                <w:div w:id="3292183">
                  <w:marLeft w:val="640"/>
                  <w:marRight w:val="0"/>
                  <w:marTop w:val="0"/>
                  <w:marBottom w:val="0"/>
                  <w:divBdr>
                    <w:top w:val="none" w:sz="0" w:space="0" w:color="auto"/>
                    <w:left w:val="none" w:sz="0" w:space="0" w:color="auto"/>
                    <w:bottom w:val="none" w:sz="0" w:space="0" w:color="auto"/>
                    <w:right w:val="none" w:sz="0" w:space="0" w:color="auto"/>
                  </w:divBdr>
                </w:div>
                <w:div w:id="1109814566">
                  <w:marLeft w:val="640"/>
                  <w:marRight w:val="0"/>
                  <w:marTop w:val="0"/>
                  <w:marBottom w:val="0"/>
                  <w:divBdr>
                    <w:top w:val="none" w:sz="0" w:space="0" w:color="auto"/>
                    <w:left w:val="none" w:sz="0" w:space="0" w:color="auto"/>
                    <w:bottom w:val="none" w:sz="0" w:space="0" w:color="auto"/>
                    <w:right w:val="none" w:sz="0" w:space="0" w:color="auto"/>
                  </w:divBdr>
                </w:div>
                <w:div w:id="514459962">
                  <w:marLeft w:val="640"/>
                  <w:marRight w:val="0"/>
                  <w:marTop w:val="0"/>
                  <w:marBottom w:val="0"/>
                  <w:divBdr>
                    <w:top w:val="none" w:sz="0" w:space="0" w:color="auto"/>
                    <w:left w:val="none" w:sz="0" w:space="0" w:color="auto"/>
                    <w:bottom w:val="none" w:sz="0" w:space="0" w:color="auto"/>
                    <w:right w:val="none" w:sz="0" w:space="0" w:color="auto"/>
                  </w:divBdr>
                </w:div>
                <w:div w:id="1702591400">
                  <w:marLeft w:val="640"/>
                  <w:marRight w:val="0"/>
                  <w:marTop w:val="0"/>
                  <w:marBottom w:val="0"/>
                  <w:divBdr>
                    <w:top w:val="none" w:sz="0" w:space="0" w:color="auto"/>
                    <w:left w:val="none" w:sz="0" w:space="0" w:color="auto"/>
                    <w:bottom w:val="none" w:sz="0" w:space="0" w:color="auto"/>
                    <w:right w:val="none" w:sz="0" w:space="0" w:color="auto"/>
                  </w:divBdr>
                </w:div>
                <w:div w:id="157884259">
                  <w:marLeft w:val="640"/>
                  <w:marRight w:val="0"/>
                  <w:marTop w:val="0"/>
                  <w:marBottom w:val="0"/>
                  <w:divBdr>
                    <w:top w:val="none" w:sz="0" w:space="0" w:color="auto"/>
                    <w:left w:val="none" w:sz="0" w:space="0" w:color="auto"/>
                    <w:bottom w:val="none" w:sz="0" w:space="0" w:color="auto"/>
                    <w:right w:val="none" w:sz="0" w:space="0" w:color="auto"/>
                  </w:divBdr>
                </w:div>
                <w:div w:id="399060001">
                  <w:marLeft w:val="640"/>
                  <w:marRight w:val="0"/>
                  <w:marTop w:val="0"/>
                  <w:marBottom w:val="0"/>
                  <w:divBdr>
                    <w:top w:val="none" w:sz="0" w:space="0" w:color="auto"/>
                    <w:left w:val="none" w:sz="0" w:space="0" w:color="auto"/>
                    <w:bottom w:val="none" w:sz="0" w:space="0" w:color="auto"/>
                    <w:right w:val="none" w:sz="0" w:space="0" w:color="auto"/>
                  </w:divBdr>
                </w:div>
                <w:div w:id="133764473">
                  <w:marLeft w:val="640"/>
                  <w:marRight w:val="0"/>
                  <w:marTop w:val="0"/>
                  <w:marBottom w:val="0"/>
                  <w:divBdr>
                    <w:top w:val="none" w:sz="0" w:space="0" w:color="auto"/>
                    <w:left w:val="none" w:sz="0" w:space="0" w:color="auto"/>
                    <w:bottom w:val="none" w:sz="0" w:space="0" w:color="auto"/>
                    <w:right w:val="none" w:sz="0" w:space="0" w:color="auto"/>
                  </w:divBdr>
                </w:div>
                <w:div w:id="2136019681">
                  <w:marLeft w:val="640"/>
                  <w:marRight w:val="0"/>
                  <w:marTop w:val="0"/>
                  <w:marBottom w:val="0"/>
                  <w:divBdr>
                    <w:top w:val="none" w:sz="0" w:space="0" w:color="auto"/>
                    <w:left w:val="none" w:sz="0" w:space="0" w:color="auto"/>
                    <w:bottom w:val="none" w:sz="0" w:space="0" w:color="auto"/>
                    <w:right w:val="none" w:sz="0" w:space="0" w:color="auto"/>
                  </w:divBdr>
                </w:div>
                <w:div w:id="1367952640">
                  <w:marLeft w:val="640"/>
                  <w:marRight w:val="0"/>
                  <w:marTop w:val="0"/>
                  <w:marBottom w:val="0"/>
                  <w:divBdr>
                    <w:top w:val="none" w:sz="0" w:space="0" w:color="auto"/>
                    <w:left w:val="none" w:sz="0" w:space="0" w:color="auto"/>
                    <w:bottom w:val="none" w:sz="0" w:space="0" w:color="auto"/>
                    <w:right w:val="none" w:sz="0" w:space="0" w:color="auto"/>
                  </w:divBdr>
                </w:div>
              </w:divsChild>
            </w:div>
            <w:div w:id="693775767">
              <w:marLeft w:val="0"/>
              <w:marRight w:val="0"/>
              <w:marTop w:val="0"/>
              <w:marBottom w:val="0"/>
              <w:divBdr>
                <w:top w:val="none" w:sz="0" w:space="0" w:color="auto"/>
                <w:left w:val="none" w:sz="0" w:space="0" w:color="auto"/>
                <w:bottom w:val="none" w:sz="0" w:space="0" w:color="auto"/>
                <w:right w:val="none" w:sz="0" w:space="0" w:color="auto"/>
              </w:divBdr>
              <w:divsChild>
                <w:div w:id="1461261134">
                  <w:marLeft w:val="640"/>
                  <w:marRight w:val="0"/>
                  <w:marTop w:val="0"/>
                  <w:marBottom w:val="0"/>
                  <w:divBdr>
                    <w:top w:val="none" w:sz="0" w:space="0" w:color="auto"/>
                    <w:left w:val="none" w:sz="0" w:space="0" w:color="auto"/>
                    <w:bottom w:val="none" w:sz="0" w:space="0" w:color="auto"/>
                    <w:right w:val="none" w:sz="0" w:space="0" w:color="auto"/>
                  </w:divBdr>
                </w:div>
                <w:div w:id="1865165284">
                  <w:marLeft w:val="640"/>
                  <w:marRight w:val="0"/>
                  <w:marTop w:val="0"/>
                  <w:marBottom w:val="0"/>
                  <w:divBdr>
                    <w:top w:val="none" w:sz="0" w:space="0" w:color="auto"/>
                    <w:left w:val="none" w:sz="0" w:space="0" w:color="auto"/>
                    <w:bottom w:val="none" w:sz="0" w:space="0" w:color="auto"/>
                    <w:right w:val="none" w:sz="0" w:space="0" w:color="auto"/>
                  </w:divBdr>
                </w:div>
                <w:div w:id="644431213">
                  <w:marLeft w:val="640"/>
                  <w:marRight w:val="0"/>
                  <w:marTop w:val="0"/>
                  <w:marBottom w:val="0"/>
                  <w:divBdr>
                    <w:top w:val="none" w:sz="0" w:space="0" w:color="auto"/>
                    <w:left w:val="none" w:sz="0" w:space="0" w:color="auto"/>
                    <w:bottom w:val="none" w:sz="0" w:space="0" w:color="auto"/>
                    <w:right w:val="none" w:sz="0" w:space="0" w:color="auto"/>
                  </w:divBdr>
                </w:div>
                <w:div w:id="676691036">
                  <w:marLeft w:val="640"/>
                  <w:marRight w:val="0"/>
                  <w:marTop w:val="0"/>
                  <w:marBottom w:val="0"/>
                  <w:divBdr>
                    <w:top w:val="none" w:sz="0" w:space="0" w:color="auto"/>
                    <w:left w:val="none" w:sz="0" w:space="0" w:color="auto"/>
                    <w:bottom w:val="none" w:sz="0" w:space="0" w:color="auto"/>
                    <w:right w:val="none" w:sz="0" w:space="0" w:color="auto"/>
                  </w:divBdr>
                </w:div>
                <w:div w:id="1591235401">
                  <w:marLeft w:val="640"/>
                  <w:marRight w:val="0"/>
                  <w:marTop w:val="0"/>
                  <w:marBottom w:val="0"/>
                  <w:divBdr>
                    <w:top w:val="none" w:sz="0" w:space="0" w:color="auto"/>
                    <w:left w:val="none" w:sz="0" w:space="0" w:color="auto"/>
                    <w:bottom w:val="none" w:sz="0" w:space="0" w:color="auto"/>
                    <w:right w:val="none" w:sz="0" w:space="0" w:color="auto"/>
                  </w:divBdr>
                </w:div>
                <w:div w:id="1017004844">
                  <w:marLeft w:val="640"/>
                  <w:marRight w:val="0"/>
                  <w:marTop w:val="0"/>
                  <w:marBottom w:val="0"/>
                  <w:divBdr>
                    <w:top w:val="none" w:sz="0" w:space="0" w:color="auto"/>
                    <w:left w:val="none" w:sz="0" w:space="0" w:color="auto"/>
                    <w:bottom w:val="none" w:sz="0" w:space="0" w:color="auto"/>
                    <w:right w:val="none" w:sz="0" w:space="0" w:color="auto"/>
                  </w:divBdr>
                </w:div>
                <w:div w:id="421537351">
                  <w:marLeft w:val="640"/>
                  <w:marRight w:val="0"/>
                  <w:marTop w:val="0"/>
                  <w:marBottom w:val="0"/>
                  <w:divBdr>
                    <w:top w:val="none" w:sz="0" w:space="0" w:color="auto"/>
                    <w:left w:val="none" w:sz="0" w:space="0" w:color="auto"/>
                    <w:bottom w:val="none" w:sz="0" w:space="0" w:color="auto"/>
                    <w:right w:val="none" w:sz="0" w:space="0" w:color="auto"/>
                  </w:divBdr>
                </w:div>
                <w:div w:id="320155814">
                  <w:marLeft w:val="640"/>
                  <w:marRight w:val="0"/>
                  <w:marTop w:val="0"/>
                  <w:marBottom w:val="0"/>
                  <w:divBdr>
                    <w:top w:val="none" w:sz="0" w:space="0" w:color="auto"/>
                    <w:left w:val="none" w:sz="0" w:space="0" w:color="auto"/>
                    <w:bottom w:val="none" w:sz="0" w:space="0" w:color="auto"/>
                    <w:right w:val="none" w:sz="0" w:space="0" w:color="auto"/>
                  </w:divBdr>
                </w:div>
                <w:div w:id="1409571648">
                  <w:marLeft w:val="640"/>
                  <w:marRight w:val="0"/>
                  <w:marTop w:val="0"/>
                  <w:marBottom w:val="0"/>
                  <w:divBdr>
                    <w:top w:val="none" w:sz="0" w:space="0" w:color="auto"/>
                    <w:left w:val="none" w:sz="0" w:space="0" w:color="auto"/>
                    <w:bottom w:val="none" w:sz="0" w:space="0" w:color="auto"/>
                    <w:right w:val="none" w:sz="0" w:space="0" w:color="auto"/>
                  </w:divBdr>
                </w:div>
                <w:div w:id="1126239574">
                  <w:marLeft w:val="640"/>
                  <w:marRight w:val="0"/>
                  <w:marTop w:val="0"/>
                  <w:marBottom w:val="0"/>
                  <w:divBdr>
                    <w:top w:val="none" w:sz="0" w:space="0" w:color="auto"/>
                    <w:left w:val="none" w:sz="0" w:space="0" w:color="auto"/>
                    <w:bottom w:val="none" w:sz="0" w:space="0" w:color="auto"/>
                    <w:right w:val="none" w:sz="0" w:space="0" w:color="auto"/>
                  </w:divBdr>
                </w:div>
                <w:div w:id="1833329061">
                  <w:marLeft w:val="640"/>
                  <w:marRight w:val="0"/>
                  <w:marTop w:val="0"/>
                  <w:marBottom w:val="0"/>
                  <w:divBdr>
                    <w:top w:val="none" w:sz="0" w:space="0" w:color="auto"/>
                    <w:left w:val="none" w:sz="0" w:space="0" w:color="auto"/>
                    <w:bottom w:val="none" w:sz="0" w:space="0" w:color="auto"/>
                    <w:right w:val="none" w:sz="0" w:space="0" w:color="auto"/>
                  </w:divBdr>
                </w:div>
                <w:div w:id="675616782">
                  <w:marLeft w:val="640"/>
                  <w:marRight w:val="0"/>
                  <w:marTop w:val="0"/>
                  <w:marBottom w:val="0"/>
                  <w:divBdr>
                    <w:top w:val="none" w:sz="0" w:space="0" w:color="auto"/>
                    <w:left w:val="none" w:sz="0" w:space="0" w:color="auto"/>
                    <w:bottom w:val="none" w:sz="0" w:space="0" w:color="auto"/>
                    <w:right w:val="none" w:sz="0" w:space="0" w:color="auto"/>
                  </w:divBdr>
                </w:div>
                <w:div w:id="500465077">
                  <w:marLeft w:val="640"/>
                  <w:marRight w:val="0"/>
                  <w:marTop w:val="0"/>
                  <w:marBottom w:val="0"/>
                  <w:divBdr>
                    <w:top w:val="none" w:sz="0" w:space="0" w:color="auto"/>
                    <w:left w:val="none" w:sz="0" w:space="0" w:color="auto"/>
                    <w:bottom w:val="none" w:sz="0" w:space="0" w:color="auto"/>
                    <w:right w:val="none" w:sz="0" w:space="0" w:color="auto"/>
                  </w:divBdr>
                </w:div>
                <w:div w:id="584191045">
                  <w:marLeft w:val="640"/>
                  <w:marRight w:val="0"/>
                  <w:marTop w:val="0"/>
                  <w:marBottom w:val="0"/>
                  <w:divBdr>
                    <w:top w:val="none" w:sz="0" w:space="0" w:color="auto"/>
                    <w:left w:val="none" w:sz="0" w:space="0" w:color="auto"/>
                    <w:bottom w:val="none" w:sz="0" w:space="0" w:color="auto"/>
                    <w:right w:val="none" w:sz="0" w:space="0" w:color="auto"/>
                  </w:divBdr>
                </w:div>
                <w:div w:id="1088889770">
                  <w:marLeft w:val="640"/>
                  <w:marRight w:val="0"/>
                  <w:marTop w:val="0"/>
                  <w:marBottom w:val="0"/>
                  <w:divBdr>
                    <w:top w:val="none" w:sz="0" w:space="0" w:color="auto"/>
                    <w:left w:val="none" w:sz="0" w:space="0" w:color="auto"/>
                    <w:bottom w:val="none" w:sz="0" w:space="0" w:color="auto"/>
                    <w:right w:val="none" w:sz="0" w:space="0" w:color="auto"/>
                  </w:divBdr>
                </w:div>
                <w:div w:id="1926643285">
                  <w:marLeft w:val="640"/>
                  <w:marRight w:val="0"/>
                  <w:marTop w:val="0"/>
                  <w:marBottom w:val="0"/>
                  <w:divBdr>
                    <w:top w:val="none" w:sz="0" w:space="0" w:color="auto"/>
                    <w:left w:val="none" w:sz="0" w:space="0" w:color="auto"/>
                    <w:bottom w:val="none" w:sz="0" w:space="0" w:color="auto"/>
                    <w:right w:val="none" w:sz="0" w:space="0" w:color="auto"/>
                  </w:divBdr>
                </w:div>
                <w:div w:id="722026302">
                  <w:marLeft w:val="640"/>
                  <w:marRight w:val="0"/>
                  <w:marTop w:val="0"/>
                  <w:marBottom w:val="0"/>
                  <w:divBdr>
                    <w:top w:val="none" w:sz="0" w:space="0" w:color="auto"/>
                    <w:left w:val="none" w:sz="0" w:space="0" w:color="auto"/>
                    <w:bottom w:val="none" w:sz="0" w:space="0" w:color="auto"/>
                    <w:right w:val="none" w:sz="0" w:space="0" w:color="auto"/>
                  </w:divBdr>
                </w:div>
                <w:div w:id="1083333303">
                  <w:marLeft w:val="640"/>
                  <w:marRight w:val="0"/>
                  <w:marTop w:val="0"/>
                  <w:marBottom w:val="0"/>
                  <w:divBdr>
                    <w:top w:val="none" w:sz="0" w:space="0" w:color="auto"/>
                    <w:left w:val="none" w:sz="0" w:space="0" w:color="auto"/>
                    <w:bottom w:val="none" w:sz="0" w:space="0" w:color="auto"/>
                    <w:right w:val="none" w:sz="0" w:space="0" w:color="auto"/>
                  </w:divBdr>
                </w:div>
                <w:div w:id="1803497374">
                  <w:marLeft w:val="640"/>
                  <w:marRight w:val="0"/>
                  <w:marTop w:val="0"/>
                  <w:marBottom w:val="0"/>
                  <w:divBdr>
                    <w:top w:val="none" w:sz="0" w:space="0" w:color="auto"/>
                    <w:left w:val="none" w:sz="0" w:space="0" w:color="auto"/>
                    <w:bottom w:val="none" w:sz="0" w:space="0" w:color="auto"/>
                    <w:right w:val="none" w:sz="0" w:space="0" w:color="auto"/>
                  </w:divBdr>
                </w:div>
              </w:divsChild>
            </w:div>
            <w:div w:id="1438139619">
              <w:marLeft w:val="0"/>
              <w:marRight w:val="0"/>
              <w:marTop w:val="0"/>
              <w:marBottom w:val="0"/>
              <w:divBdr>
                <w:top w:val="none" w:sz="0" w:space="0" w:color="auto"/>
                <w:left w:val="none" w:sz="0" w:space="0" w:color="auto"/>
                <w:bottom w:val="none" w:sz="0" w:space="0" w:color="auto"/>
                <w:right w:val="none" w:sz="0" w:space="0" w:color="auto"/>
              </w:divBdr>
              <w:divsChild>
                <w:div w:id="2126389634">
                  <w:marLeft w:val="640"/>
                  <w:marRight w:val="0"/>
                  <w:marTop w:val="0"/>
                  <w:marBottom w:val="0"/>
                  <w:divBdr>
                    <w:top w:val="none" w:sz="0" w:space="0" w:color="auto"/>
                    <w:left w:val="none" w:sz="0" w:space="0" w:color="auto"/>
                    <w:bottom w:val="none" w:sz="0" w:space="0" w:color="auto"/>
                    <w:right w:val="none" w:sz="0" w:space="0" w:color="auto"/>
                  </w:divBdr>
                </w:div>
                <w:div w:id="1004358232">
                  <w:marLeft w:val="640"/>
                  <w:marRight w:val="0"/>
                  <w:marTop w:val="0"/>
                  <w:marBottom w:val="0"/>
                  <w:divBdr>
                    <w:top w:val="none" w:sz="0" w:space="0" w:color="auto"/>
                    <w:left w:val="none" w:sz="0" w:space="0" w:color="auto"/>
                    <w:bottom w:val="none" w:sz="0" w:space="0" w:color="auto"/>
                    <w:right w:val="none" w:sz="0" w:space="0" w:color="auto"/>
                  </w:divBdr>
                </w:div>
                <w:div w:id="1125733480">
                  <w:marLeft w:val="640"/>
                  <w:marRight w:val="0"/>
                  <w:marTop w:val="0"/>
                  <w:marBottom w:val="0"/>
                  <w:divBdr>
                    <w:top w:val="none" w:sz="0" w:space="0" w:color="auto"/>
                    <w:left w:val="none" w:sz="0" w:space="0" w:color="auto"/>
                    <w:bottom w:val="none" w:sz="0" w:space="0" w:color="auto"/>
                    <w:right w:val="none" w:sz="0" w:space="0" w:color="auto"/>
                  </w:divBdr>
                </w:div>
                <w:div w:id="1890920162">
                  <w:marLeft w:val="640"/>
                  <w:marRight w:val="0"/>
                  <w:marTop w:val="0"/>
                  <w:marBottom w:val="0"/>
                  <w:divBdr>
                    <w:top w:val="none" w:sz="0" w:space="0" w:color="auto"/>
                    <w:left w:val="none" w:sz="0" w:space="0" w:color="auto"/>
                    <w:bottom w:val="none" w:sz="0" w:space="0" w:color="auto"/>
                    <w:right w:val="none" w:sz="0" w:space="0" w:color="auto"/>
                  </w:divBdr>
                </w:div>
                <w:div w:id="210069815">
                  <w:marLeft w:val="640"/>
                  <w:marRight w:val="0"/>
                  <w:marTop w:val="0"/>
                  <w:marBottom w:val="0"/>
                  <w:divBdr>
                    <w:top w:val="none" w:sz="0" w:space="0" w:color="auto"/>
                    <w:left w:val="none" w:sz="0" w:space="0" w:color="auto"/>
                    <w:bottom w:val="none" w:sz="0" w:space="0" w:color="auto"/>
                    <w:right w:val="none" w:sz="0" w:space="0" w:color="auto"/>
                  </w:divBdr>
                </w:div>
                <w:div w:id="1336029001">
                  <w:marLeft w:val="640"/>
                  <w:marRight w:val="0"/>
                  <w:marTop w:val="0"/>
                  <w:marBottom w:val="0"/>
                  <w:divBdr>
                    <w:top w:val="none" w:sz="0" w:space="0" w:color="auto"/>
                    <w:left w:val="none" w:sz="0" w:space="0" w:color="auto"/>
                    <w:bottom w:val="none" w:sz="0" w:space="0" w:color="auto"/>
                    <w:right w:val="none" w:sz="0" w:space="0" w:color="auto"/>
                  </w:divBdr>
                </w:div>
                <w:div w:id="1028026572">
                  <w:marLeft w:val="640"/>
                  <w:marRight w:val="0"/>
                  <w:marTop w:val="0"/>
                  <w:marBottom w:val="0"/>
                  <w:divBdr>
                    <w:top w:val="none" w:sz="0" w:space="0" w:color="auto"/>
                    <w:left w:val="none" w:sz="0" w:space="0" w:color="auto"/>
                    <w:bottom w:val="none" w:sz="0" w:space="0" w:color="auto"/>
                    <w:right w:val="none" w:sz="0" w:space="0" w:color="auto"/>
                  </w:divBdr>
                </w:div>
                <w:div w:id="1684553373">
                  <w:marLeft w:val="640"/>
                  <w:marRight w:val="0"/>
                  <w:marTop w:val="0"/>
                  <w:marBottom w:val="0"/>
                  <w:divBdr>
                    <w:top w:val="none" w:sz="0" w:space="0" w:color="auto"/>
                    <w:left w:val="none" w:sz="0" w:space="0" w:color="auto"/>
                    <w:bottom w:val="none" w:sz="0" w:space="0" w:color="auto"/>
                    <w:right w:val="none" w:sz="0" w:space="0" w:color="auto"/>
                  </w:divBdr>
                </w:div>
                <w:div w:id="1890458990">
                  <w:marLeft w:val="640"/>
                  <w:marRight w:val="0"/>
                  <w:marTop w:val="0"/>
                  <w:marBottom w:val="0"/>
                  <w:divBdr>
                    <w:top w:val="none" w:sz="0" w:space="0" w:color="auto"/>
                    <w:left w:val="none" w:sz="0" w:space="0" w:color="auto"/>
                    <w:bottom w:val="none" w:sz="0" w:space="0" w:color="auto"/>
                    <w:right w:val="none" w:sz="0" w:space="0" w:color="auto"/>
                  </w:divBdr>
                </w:div>
                <w:div w:id="1064062154">
                  <w:marLeft w:val="640"/>
                  <w:marRight w:val="0"/>
                  <w:marTop w:val="0"/>
                  <w:marBottom w:val="0"/>
                  <w:divBdr>
                    <w:top w:val="none" w:sz="0" w:space="0" w:color="auto"/>
                    <w:left w:val="none" w:sz="0" w:space="0" w:color="auto"/>
                    <w:bottom w:val="none" w:sz="0" w:space="0" w:color="auto"/>
                    <w:right w:val="none" w:sz="0" w:space="0" w:color="auto"/>
                  </w:divBdr>
                </w:div>
                <w:div w:id="1802528880">
                  <w:marLeft w:val="640"/>
                  <w:marRight w:val="0"/>
                  <w:marTop w:val="0"/>
                  <w:marBottom w:val="0"/>
                  <w:divBdr>
                    <w:top w:val="none" w:sz="0" w:space="0" w:color="auto"/>
                    <w:left w:val="none" w:sz="0" w:space="0" w:color="auto"/>
                    <w:bottom w:val="none" w:sz="0" w:space="0" w:color="auto"/>
                    <w:right w:val="none" w:sz="0" w:space="0" w:color="auto"/>
                  </w:divBdr>
                </w:div>
                <w:div w:id="1326058039">
                  <w:marLeft w:val="640"/>
                  <w:marRight w:val="0"/>
                  <w:marTop w:val="0"/>
                  <w:marBottom w:val="0"/>
                  <w:divBdr>
                    <w:top w:val="none" w:sz="0" w:space="0" w:color="auto"/>
                    <w:left w:val="none" w:sz="0" w:space="0" w:color="auto"/>
                    <w:bottom w:val="none" w:sz="0" w:space="0" w:color="auto"/>
                    <w:right w:val="none" w:sz="0" w:space="0" w:color="auto"/>
                  </w:divBdr>
                </w:div>
                <w:div w:id="1103839584">
                  <w:marLeft w:val="640"/>
                  <w:marRight w:val="0"/>
                  <w:marTop w:val="0"/>
                  <w:marBottom w:val="0"/>
                  <w:divBdr>
                    <w:top w:val="none" w:sz="0" w:space="0" w:color="auto"/>
                    <w:left w:val="none" w:sz="0" w:space="0" w:color="auto"/>
                    <w:bottom w:val="none" w:sz="0" w:space="0" w:color="auto"/>
                    <w:right w:val="none" w:sz="0" w:space="0" w:color="auto"/>
                  </w:divBdr>
                </w:div>
                <w:div w:id="1492714115">
                  <w:marLeft w:val="640"/>
                  <w:marRight w:val="0"/>
                  <w:marTop w:val="0"/>
                  <w:marBottom w:val="0"/>
                  <w:divBdr>
                    <w:top w:val="none" w:sz="0" w:space="0" w:color="auto"/>
                    <w:left w:val="none" w:sz="0" w:space="0" w:color="auto"/>
                    <w:bottom w:val="none" w:sz="0" w:space="0" w:color="auto"/>
                    <w:right w:val="none" w:sz="0" w:space="0" w:color="auto"/>
                  </w:divBdr>
                </w:div>
                <w:div w:id="592859163">
                  <w:marLeft w:val="640"/>
                  <w:marRight w:val="0"/>
                  <w:marTop w:val="0"/>
                  <w:marBottom w:val="0"/>
                  <w:divBdr>
                    <w:top w:val="none" w:sz="0" w:space="0" w:color="auto"/>
                    <w:left w:val="none" w:sz="0" w:space="0" w:color="auto"/>
                    <w:bottom w:val="none" w:sz="0" w:space="0" w:color="auto"/>
                    <w:right w:val="none" w:sz="0" w:space="0" w:color="auto"/>
                  </w:divBdr>
                </w:div>
                <w:div w:id="583419202">
                  <w:marLeft w:val="640"/>
                  <w:marRight w:val="0"/>
                  <w:marTop w:val="0"/>
                  <w:marBottom w:val="0"/>
                  <w:divBdr>
                    <w:top w:val="none" w:sz="0" w:space="0" w:color="auto"/>
                    <w:left w:val="none" w:sz="0" w:space="0" w:color="auto"/>
                    <w:bottom w:val="none" w:sz="0" w:space="0" w:color="auto"/>
                    <w:right w:val="none" w:sz="0" w:space="0" w:color="auto"/>
                  </w:divBdr>
                </w:div>
                <w:div w:id="20791009">
                  <w:marLeft w:val="640"/>
                  <w:marRight w:val="0"/>
                  <w:marTop w:val="0"/>
                  <w:marBottom w:val="0"/>
                  <w:divBdr>
                    <w:top w:val="none" w:sz="0" w:space="0" w:color="auto"/>
                    <w:left w:val="none" w:sz="0" w:space="0" w:color="auto"/>
                    <w:bottom w:val="none" w:sz="0" w:space="0" w:color="auto"/>
                    <w:right w:val="none" w:sz="0" w:space="0" w:color="auto"/>
                  </w:divBdr>
                </w:div>
                <w:div w:id="6717422">
                  <w:marLeft w:val="640"/>
                  <w:marRight w:val="0"/>
                  <w:marTop w:val="0"/>
                  <w:marBottom w:val="0"/>
                  <w:divBdr>
                    <w:top w:val="none" w:sz="0" w:space="0" w:color="auto"/>
                    <w:left w:val="none" w:sz="0" w:space="0" w:color="auto"/>
                    <w:bottom w:val="none" w:sz="0" w:space="0" w:color="auto"/>
                    <w:right w:val="none" w:sz="0" w:space="0" w:color="auto"/>
                  </w:divBdr>
                </w:div>
                <w:div w:id="2078045080">
                  <w:marLeft w:val="640"/>
                  <w:marRight w:val="0"/>
                  <w:marTop w:val="0"/>
                  <w:marBottom w:val="0"/>
                  <w:divBdr>
                    <w:top w:val="none" w:sz="0" w:space="0" w:color="auto"/>
                    <w:left w:val="none" w:sz="0" w:space="0" w:color="auto"/>
                    <w:bottom w:val="none" w:sz="0" w:space="0" w:color="auto"/>
                    <w:right w:val="none" w:sz="0" w:space="0" w:color="auto"/>
                  </w:divBdr>
                </w:div>
              </w:divsChild>
            </w:div>
            <w:div w:id="305547862">
              <w:marLeft w:val="0"/>
              <w:marRight w:val="0"/>
              <w:marTop w:val="0"/>
              <w:marBottom w:val="0"/>
              <w:divBdr>
                <w:top w:val="none" w:sz="0" w:space="0" w:color="auto"/>
                <w:left w:val="none" w:sz="0" w:space="0" w:color="auto"/>
                <w:bottom w:val="none" w:sz="0" w:space="0" w:color="auto"/>
                <w:right w:val="none" w:sz="0" w:space="0" w:color="auto"/>
              </w:divBdr>
              <w:divsChild>
                <w:div w:id="5911982">
                  <w:marLeft w:val="640"/>
                  <w:marRight w:val="0"/>
                  <w:marTop w:val="0"/>
                  <w:marBottom w:val="0"/>
                  <w:divBdr>
                    <w:top w:val="none" w:sz="0" w:space="0" w:color="auto"/>
                    <w:left w:val="none" w:sz="0" w:space="0" w:color="auto"/>
                    <w:bottom w:val="none" w:sz="0" w:space="0" w:color="auto"/>
                    <w:right w:val="none" w:sz="0" w:space="0" w:color="auto"/>
                  </w:divBdr>
                </w:div>
                <w:div w:id="1287659746">
                  <w:marLeft w:val="640"/>
                  <w:marRight w:val="0"/>
                  <w:marTop w:val="0"/>
                  <w:marBottom w:val="0"/>
                  <w:divBdr>
                    <w:top w:val="none" w:sz="0" w:space="0" w:color="auto"/>
                    <w:left w:val="none" w:sz="0" w:space="0" w:color="auto"/>
                    <w:bottom w:val="none" w:sz="0" w:space="0" w:color="auto"/>
                    <w:right w:val="none" w:sz="0" w:space="0" w:color="auto"/>
                  </w:divBdr>
                </w:div>
                <w:div w:id="918950968">
                  <w:marLeft w:val="640"/>
                  <w:marRight w:val="0"/>
                  <w:marTop w:val="0"/>
                  <w:marBottom w:val="0"/>
                  <w:divBdr>
                    <w:top w:val="none" w:sz="0" w:space="0" w:color="auto"/>
                    <w:left w:val="none" w:sz="0" w:space="0" w:color="auto"/>
                    <w:bottom w:val="none" w:sz="0" w:space="0" w:color="auto"/>
                    <w:right w:val="none" w:sz="0" w:space="0" w:color="auto"/>
                  </w:divBdr>
                </w:div>
                <w:div w:id="390929891">
                  <w:marLeft w:val="640"/>
                  <w:marRight w:val="0"/>
                  <w:marTop w:val="0"/>
                  <w:marBottom w:val="0"/>
                  <w:divBdr>
                    <w:top w:val="none" w:sz="0" w:space="0" w:color="auto"/>
                    <w:left w:val="none" w:sz="0" w:space="0" w:color="auto"/>
                    <w:bottom w:val="none" w:sz="0" w:space="0" w:color="auto"/>
                    <w:right w:val="none" w:sz="0" w:space="0" w:color="auto"/>
                  </w:divBdr>
                </w:div>
                <w:div w:id="1835604018">
                  <w:marLeft w:val="640"/>
                  <w:marRight w:val="0"/>
                  <w:marTop w:val="0"/>
                  <w:marBottom w:val="0"/>
                  <w:divBdr>
                    <w:top w:val="none" w:sz="0" w:space="0" w:color="auto"/>
                    <w:left w:val="none" w:sz="0" w:space="0" w:color="auto"/>
                    <w:bottom w:val="none" w:sz="0" w:space="0" w:color="auto"/>
                    <w:right w:val="none" w:sz="0" w:space="0" w:color="auto"/>
                  </w:divBdr>
                </w:div>
                <w:div w:id="2055277474">
                  <w:marLeft w:val="640"/>
                  <w:marRight w:val="0"/>
                  <w:marTop w:val="0"/>
                  <w:marBottom w:val="0"/>
                  <w:divBdr>
                    <w:top w:val="none" w:sz="0" w:space="0" w:color="auto"/>
                    <w:left w:val="none" w:sz="0" w:space="0" w:color="auto"/>
                    <w:bottom w:val="none" w:sz="0" w:space="0" w:color="auto"/>
                    <w:right w:val="none" w:sz="0" w:space="0" w:color="auto"/>
                  </w:divBdr>
                </w:div>
                <w:div w:id="1594119563">
                  <w:marLeft w:val="640"/>
                  <w:marRight w:val="0"/>
                  <w:marTop w:val="0"/>
                  <w:marBottom w:val="0"/>
                  <w:divBdr>
                    <w:top w:val="none" w:sz="0" w:space="0" w:color="auto"/>
                    <w:left w:val="none" w:sz="0" w:space="0" w:color="auto"/>
                    <w:bottom w:val="none" w:sz="0" w:space="0" w:color="auto"/>
                    <w:right w:val="none" w:sz="0" w:space="0" w:color="auto"/>
                  </w:divBdr>
                </w:div>
                <w:div w:id="126824780">
                  <w:marLeft w:val="640"/>
                  <w:marRight w:val="0"/>
                  <w:marTop w:val="0"/>
                  <w:marBottom w:val="0"/>
                  <w:divBdr>
                    <w:top w:val="none" w:sz="0" w:space="0" w:color="auto"/>
                    <w:left w:val="none" w:sz="0" w:space="0" w:color="auto"/>
                    <w:bottom w:val="none" w:sz="0" w:space="0" w:color="auto"/>
                    <w:right w:val="none" w:sz="0" w:space="0" w:color="auto"/>
                  </w:divBdr>
                </w:div>
                <w:div w:id="950746294">
                  <w:marLeft w:val="640"/>
                  <w:marRight w:val="0"/>
                  <w:marTop w:val="0"/>
                  <w:marBottom w:val="0"/>
                  <w:divBdr>
                    <w:top w:val="none" w:sz="0" w:space="0" w:color="auto"/>
                    <w:left w:val="none" w:sz="0" w:space="0" w:color="auto"/>
                    <w:bottom w:val="none" w:sz="0" w:space="0" w:color="auto"/>
                    <w:right w:val="none" w:sz="0" w:space="0" w:color="auto"/>
                  </w:divBdr>
                </w:div>
                <w:div w:id="1163623888">
                  <w:marLeft w:val="640"/>
                  <w:marRight w:val="0"/>
                  <w:marTop w:val="0"/>
                  <w:marBottom w:val="0"/>
                  <w:divBdr>
                    <w:top w:val="none" w:sz="0" w:space="0" w:color="auto"/>
                    <w:left w:val="none" w:sz="0" w:space="0" w:color="auto"/>
                    <w:bottom w:val="none" w:sz="0" w:space="0" w:color="auto"/>
                    <w:right w:val="none" w:sz="0" w:space="0" w:color="auto"/>
                  </w:divBdr>
                </w:div>
                <w:div w:id="154296941">
                  <w:marLeft w:val="640"/>
                  <w:marRight w:val="0"/>
                  <w:marTop w:val="0"/>
                  <w:marBottom w:val="0"/>
                  <w:divBdr>
                    <w:top w:val="none" w:sz="0" w:space="0" w:color="auto"/>
                    <w:left w:val="none" w:sz="0" w:space="0" w:color="auto"/>
                    <w:bottom w:val="none" w:sz="0" w:space="0" w:color="auto"/>
                    <w:right w:val="none" w:sz="0" w:space="0" w:color="auto"/>
                  </w:divBdr>
                </w:div>
                <w:div w:id="1755013705">
                  <w:marLeft w:val="640"/>
                  <w:marRight w:val="0"/>
                  <w:marTop w:val="0"/>
                  <w:marBottom w:val="0"/>
                  <w:divBdr>
                    <w:top w:val="none" w:sz="0" w:space="0" w:color="auto"/>
                    <w:left w:val="none" w:sz="0" w:space="0" w:color="auto"/>
                    <w:bottom w:val="none" w:sz="0" w:space="0" w:color="auto"/>
                    <w:right w:val="none" w:sz="0" w:space="0" w:color="auto"/>
                  </w:divBdr>
                </w:div>
                <w:div w:id="369306916">
                  <w:marLeft w:val="640"/>
                  <w:marRight w:val="0"/>
                  <w:marTop w:val="0"/>
                  <w:marBottom w:val="0"/>
                  <w:divBdr>
                    <w:top w:val="none" w:sz="0" w:space="0" w:color="auto"/>
                    <w:left w:val="none" w:sz="0" w:space="0" w:color="auto"/>
                    <w:bottom w:val="none" w:sz="0" w:space="0" w:color="auto"/>
                    <w:right w:val="none" w:sz="0" w:space="0" w:color="auto"/>
                  </w:divBdr>
                </w:div>
                <w:div w:id="723483841">
                  <w:marLeft w:val="640"/>
                  <w:marRight w:val="0"/>
                  <w:marTop w:val="0"/>
                  <w:marBottom w:val="0"/>
                  <w:divBdr>
                    <w:top w:val="none" w:sz="0" w:space="0" w:color="auto"/>
                    <w:left w:val="none" w:sz="0" w:space="0" w:color="auto"/>
                    <w:bottom w:val="none" w:sz="0" w:space="0" w:color="auto"/>
                    <w:right w:val="none" w:sz="0" w:space="0" w:color="auto"/>
                  </w:divBdr>
                </w:div>
                <w:div w:id="294454921">
                  <w:marLeft w:val="640"/>
                  <w:marRight w:val="0"/>
                  <w:marTop w:val="0"/>
                  <w:marBottom w:val="0"/>
                  <w:divBdr>
                    <w:top w:val="none" w:sz="0" w:space="0" w:color="auto"/>
                    <w:left w:val="none" w:sz="0" w:space="0" w:color="auto"/>
                    <w:bottom w:val="none" w:sz="0" w:space="0" w:color="auto"/>
                    <w:right w:val="none" w:sz="0" w:space="0" w:color="auto"/>
                  </w:divBdr>
                </w:div>
                <w:div w:id="506408887">
                  <w:marLeft w:val="640"/>
                  <w:marRight w:val="0"/>
                  <w:marTop w:val="0"/>
                  <w:marBottom w:val="0"/>
                  <w:divBdr>
                    <w:top w:val="none" w:sz="0" w:space="0" w:color="auto"/>
                    <w:left w:val="none" w:sz="0" w:space="0" w:color="auto"/>
                    <w:bottom w:val="none" w:sz="0" w:space="0" w:color="auto"/>
                    <w:right w:val="none" w:sz="0" w:space="0" w:color="auto"/>
                  </w:divBdr>
                </w:div>
                <w:div w:id="1920939970">
                  <w:marLeft w:val="640"/>
                  <w:marRight w:val="0"/>
                  <w:marTop w:val="0"/>
                  <w:marBottom w:val="0"/>
                  <w:divBdr>
                    <w:top w:val="none" w:sz="0" w:space="0" w:color="auto"/>
                    <w:left w:val="none" w:sz="0" w:space="0" w:color="auto"/>
                    <w:bottom w:val="none" w:sz="0" w:space="0" w:color="auto"/>
                    <w:right w:val="none" w:sz="0" w:space="0" w:color="auto"/>
                  </w:divBdr>
                </w:div>
                <w:div w:id="570233575">
                  <w:marLeft w:val="640"/>
                  <w:marRight w:val="0"/>
                  <w:marTop w:val="0"/>
                  <w:marBottom w:val="0"/>
                  <w:divBdr>
                    <w:top w:val="none" w:sz="0" w:space="0" w:color="auto"/>
                    <w:left w:val="none" w:sz="0" w:space="0" w:color="auto"/>
                    <w:bottom w:val="none" w:sz="0" w:space="0" w:color="auto"/>
                    <w:right w:val="none" w:sz="0" w:space="0" w:color="auto"/>
                  </w:divBdr>
                </w:div>
                <w:div w:id="1364481643">
                  <w:marLeft w:val="640"/>
                  <w:marRight w:val="0"/>
                  <w:marTop w:val="0"/>
                  <w:marBottom w:val="0"/>
                  <w:divBdr>
                    <w:top w:val="none" w:sz="0" w:space="0" w:color="auto"/>
                    <w:left w:val="none" w:sz="0" w:space="0" w:color="auto"/>
                    <w:bottom w:val="none" w:sz="0" w:space="0" w:color="auto"/>
                    <w:right w:val="none" w:sz="0" w:space="0" w:color="auto"/>
                  </w:divBdr>
                </w:div>
              </w:divsChild>
            </w:div>
            <w:div w:id="858471072">
              <w:marLeft w:val="0"/>
              <w:marRight w:val="0"/>
              <w:marTop w:val="0"/>
              <w:marBottom w:val="0"/>
              <w:divBdr>
                <w:top w:val="none" w:sz="0" w:space="0" w:color="auto"/>
                <w:left w:val="none" w:sz="0" w:space="0" w:color="auto"/>
                <w:bottom w:val="none" w:sz="0" w:space="0" w:color="auto"/>
                <w:right w:val="none" w:sz="0" w:space="0" w:color="auto"/>
              </w:divBdr>
              <w:divsChild>
                <w:div w:id="972754503">
                  <w:marLeft w:val="640"/>
                  <w:marRight w:val="0"/>
                  <w:marTop w:val="0"/>
                  <w:marBottom w:val="0"/>
                  <w:divBdr>
                    <w:top w:val="none" w:sz="0" w:space="0" w:color="auto"/>
                    <w:left w:val="none" w:sz="0" w:space="0" w:color="auto"/>
                    <w:bottom w:val="none" w:sz="0" w:space="0" w:color="auto"/>
                    <w:right w:val="none" w:sz="0" w:space="0" w:color="auto"/>
                  </w:divBdr>
                </w:div>
                <w:div w:id="918101538">
                  <w:marLeft w:val="640"/>
                  <w:marRight w:val="0"/>
                  <w:marTop w:val="0"/>
                  <w:marBottom w:val="0"/>
                  <w:divBdr>
                    <w:top w:val="none" w:sz="0" w:space="0" w:color="auto"/>
                    <w:left w:val="none" w:sz="0" w:space="0" w:color="auto"/>
                    <w:bottom w:val="none" w:sz="0" w:space="0" w:color="auto"/>
                    <w:right w:val="none" w:sz="0" w:space="0" w:color="auto"/>
                  </w:divBdr>
                </w:div>
                <w:div w:id="314187176">
                  <w:marLeft w:val="640"/>
                  <w:marRight w:val="0"/>
                  <w:marTop w:val="0"/>
                  <w:marBottom w:val="0"/>
                  <w:divBdr>
                    <w:top w:val="none" w:sz="0" w:space="0" w:color="auto"/>
                    <w:left w:val="none" w:sz="0" w:space="0" w:color="auto"/>
                    <w:bottom w:val="none" w:sz="0" w:space="0" w:color="auto"/>
                    <w:right w:val="none" w:sz="0" w:space="0" w:color="auto"/>
                  </w:divBdr>
                </w:div>
                <w:div w:id="48503776">
                  <w:marLeft w:val="640"/>
                  <w:marRight w:val="0"/>
                  <w:marTop w:val="0"/>
                  <w:marBottom w:val="0"/>
                  <w:divBdr>
                    <w:top w:val="none" w:sz="0" w:space="0" w:color="auto"/>
                    <w:left w:val="none" w:sz="0" w:space="0" w:color="auto"/>
                    <w:bottom w:val="none" w:sz="0" w:space="0" w:color="auto"/>
                    <w:right w:val="none" w:sz="0" w:space="0" w:color="auto"/>
                  </w:divBdr>
                </w:div>
                <w:div w:id="1266306199">
                  <w:marLeft w:val="640"/>
                  <w:marRight w:val="0"/>
                  <w:marTop w:val="0"/>
                  <w:marBottom w:val="0"/>
                  <w:divBdr>
                    <w:top w:val="none" w:sz="0" w:space="0" w:color="auto"/>
                    <w:left w:val="none" w:sz="0" w:space="0" w:color="auto"/>
                    <w:bottom w:val="none" w:sz="0" w:space="0" w:color="auto"/>
                    <w:right w:val="none" w:sz="0" w:space="0" w:color="auto"/>
                  </w:divBdr>
                </w:div>
                <w:div w:id="206766876">
                  <w:marLeft w:val="640"/>
                  <w:marRight w:val="0"/>
                  <w:marTop w:val="0"/>
                  <w:marBottom w:val="0"/>
                  <w:divBdr>
                    <w:top w:val="none" w:sz="0" w:space="0" w:color="auto"/>
                    <w:left w:val="none" w:sz="0" w:space="0" w:color="auto"/>
                    <w:bottom w:val="none" w:sz="0" w:space="0" w:color="auto"/>
                    <w:right w:val="none" w:sz="0" w:space="0" w:color="auto"/>
                  </w:divBdr>
                </w:div>
                <w:div w:id="1139616714">
                  <w:marLeft w:val="640"/>
                  <w:marRight w:val="0"/>
                  <w:marTop w:val="0"/>
                  <w:marBottom w:val="0"/>
                  <w:divBdr>
                    <w:top w:val="none" w:sz="0" w:space="0" w:color="auto"/>
                    <w:left w:val="none" w:sz="0" w:space="0" w:color="auto"/>
                    <w:bottom w:val="none" w:sz="0" w:space="0" w:color="auto"/>
                    <w:right w:val="none" w:sz="0" w:space="0" w:color="auto"/>
                  </w:divBdr>
                </w:div>
                <w:div w:id="1929457710">
                  <w:marLeft w:val="640"/>
                  <w:marRight w:val="0"/>
                  <w:marTop w:val="0"/>
                  <w:marBottom w:val="0"/>
                  <w:divBdr>
                    <w:top w:val="none" w:sz="0" w:space="0" w:color="auto"/>
                    <w:left w:val="none" w:sz="0" w:space="0" w:color="auto"/>
                    <w:bottom w:val="none" w:sz="0" w:space="0" w:color="auto"/>
                    <w:right w:val="none" w:sz="0" w:space="0" w:color="auto"/>
                  </w:divBdr>
                </w:div>
                <w:div w:id="779226184">
                  <w:marLeft w:val="640"/>
                  <w:marRight w:val="0"/>
                  <w:marTop w:val="0"/>
                  <w:marBottom w:val="0"/>
                  <w:divBdr>
                    <w:top w:val="none" w:sz="0" w:space="0" w:color="auto"/>
                    <w:left w:val="none" w:sz="0" w:space="0" w:color="auto"/>
                    <w:bottom w:val="none" w:sz="0" w:space="0" w:color="auto"/>
                    <w:right w:val="none" w:sz="0" w:space="0" w:color="auto"/>
                  </w:divBdr>
                </w:div>
                <w:div w:id="694044662">
                  <w:marLeft w:val="640"/>
                  <w:marRight w:val="0"/>
                  <w:marTop w:val="0"/>
                  <w:marBottom w:val="0"/>
                  <w:divBdr>
                    <w:top w:val="none" w:sz="0" w:space="0" w:color="auto"/>
                    <w:left w:val="none" w:sz="0" w:space="0" w:color="auto"/>
                    <w:bottom w:val="none" w:sz="0" w:space="0" w:color="auto"/>
                    <w:right w:val="none" w:sz="0" w:space="0" w:color="auto"/>
                  </w:divBdr>
                </w:div>
                <w:div w:id="1578057498">
                  <w:marLeft w:val="640"/>
                  <w:marRight w:val="0"/>
                  <w:marTop w:val="0"/>
                  <w:marBottom w:val="0"/>
                  <w:divBdr>
                    <w:top w:val="none" w:sz="0" w:space="0" w:color="auto"/>
                    <w:left w:val="none" w:sz="0" w:space="0" w:color="auto"/>
                    <w:bottom w:val="none" w:sz="0" w:space="0" w:color="auto"/>
                    <w:right w:val="none" w:sz="0" w:space="0" w:color="auto"/>
                  </w:divBdr>
                </w:div>
                <w:div w:id="1701472991">
                  <w:marLeft w:val="640"/>
                  <w:marRight w:val="0"/>
                  <w:marTop w:val="0"/>
                  <w:marBottom w:val="0"/>
                  <w:divBdr>
                    <w:top w:val="none" w:sz="0" w:space="0" w:color="auto"/>
                    <w:left w:val="none" w:sz="0" w:space="0" w:color="auto"/>
                    <w:bottom w:val="none" w:sz="0" w:space="0" w:color="auto"/>
                    <w:right w:val="none" w:sz="0" w:space="0" w:color="auto"/>
                  </w:divBdr>
                </w:div>
                <w:div w:id="2066836301">
                  <w:marLeft w:val="640"/>
                  <w:marRight w:val="0"/>
                  <w:marTop w:val="0"/>
                  <w:marBottom w:val="0"/>
                  <w:divBdr>
                    <w:top w:val="none" w:sz="0" w:space="0" w:color="auto"/>
                    <w:left w:val="none" w:sz="0" w:space="0" w:color="auto"/>
                    <w:bottom w:val="none" w:sz="0" w:space="0" w:color="auto"/>
                    <w:right w:val="none" w:sz="0" w:space="0" w:color="auto"/>
                  </w:divBdr>
                </w:div>
                <w:div w:id="339309468">
                  <w:marLeft w:val="640"/>
                  <w:marRight w:val="0"/>
                  <w:marTop w:val="0"/>
                  <w:marBottom w:val="0"/>
                  <w:divBdr>
                    <w:top w:val="none" w:sz="0" w:space="0" w:color="auto"/>
                    <w:left w:val="none" w:sz="0" w:space="0" w:color="auto"/>
                    <w:bottom w:val="none" w:sz="0" w:space="0" w:color="auto"/>
                    <w:right w:val="none" w:sz="0" w:space="0" w:color="auto"/>
                  </w:divBdr>
                </w:div>
                <w:div w:id="1266116732">
                  <w:marLeft w:val="640"/>
                  <w:marRight w:val="0"/>
                  <w:marTop w:val="0"/>
                  <w:marBottom w:val="0"/>
                  <w:divBdr>
                    <w:top w:val="none" w:sz="0" w:space="0" w:color="auto"/>
                    <w:left w:val="none" w:sz="0" w:space="0" w:color="auto"/>
                    <w:bottom w:val="none" w:sz="0" w:space="0" w:color="auto"/>
                    <w:right w:val="none" w:sz="0" w:space="0" w:color="auto"/>
                  </w:divBdr>
                </w:div>
                <w:div w:id="219560768">
                  <w:marLeft w:val="640"/>
                  <w:marRight w:val="0"/>
                  <w:marTop w:val="0"/>
                  <w:marBottom w:val="0"/>
                  <w:divBdr>
                    <w:top w:val="none" w:sz="0" w:space="0" w:color="auto"/>
                    <w:left w:val="none" w:sz="0" w:space="0" w:color="auto"/>
                    <w:bottom w:val="none" w:sz="0" w:space="0" w:color="auto"/>
                    <w:right w:val="none" w:sz="0" w:space="0" w:color="auto"/>
                  </w:divBdr>
                </w:div>
                <w:div w:id="74669486">
                  <w:marLeft w:val="640"/>
                  <w:marRight w:val="0"/>
                  <w:marTop w:val="0"/>
                  <w:marBottom w:val="0"/>
                  <w:divBdr>
                    <w:top w:val="none" w:sz="0" w:space="0" w:color="auto"/>
                    <w:left w:val="none" w:sz="0" w:space="0" w:color="auto"/>
                    <w:bottom w:val="none" w:sz="0" w:space="0" w:color="auto"/>
                    <w:right w:val="none" w:sz="0" w:space="0" w:color="auto"/>
                  </w:divBdr>
                </w:div>
                <w:div w:id="726952286">
                  <w:marLeft w:val="640"/>
                  <w:marRight w:val="0"/>
                  <w:marTop w:val="0"/>
                  <w:marBottom w:val="0"/>
                  <w:divBdr>
                    <w:top w:val="none" w:sz="0" w:space="0" w:color="auto"/>
                    <w:left w:val="none" w:sz="0" w:space="0" w:color="auto"/>
                    <w:bottom w:val="none" w:sz="0" w:space="0" w:color="auto"/>
                    <w:right w:val="none" w:sz="0" w:space="0" w:color="auto"/>
                  </w:divBdr>
                </w:div>
                <w:div w:id="894580573">
                  <w:marLeft w:val="640"/>
                  <w:marRight w:val="0"/>
                  <w:marTop w:val="0"/>
                  <w:marBottom w:val="0"/>
                  <w:divBdr>
                    <w:top w:val="none" w:sz="0" w:space="0" w:color="auto"/>
                    <w:left w:val="none" w:sz="0" w:space="0" w:color="auto"/>
                    <w:bottom w:val="none" w:sz="0" w:space="0" w:color="auto"/>
                    <w:right w:val="none" w:sz="0" w:space="0" w:color="auto"/>
                  </w:divBdr>
                </w:div>
              </w:divsChild>
            </w:div>
            <w:div w:id="134952809">
              <w:marLeft w:val="0"/>
              <w:marRight w:val="0"/>
              <w:marTop w:val="0"/>
              <w:marBottom w:val="0"/>
              <w:divBdr>
                <w:top w:val="none" w:sz="0" w:space="0" w:color="auto"/>
                <w:left w:val="none" w:sz="0" w:space="0" w:color="auto"/>
                <w:bottom w:val="none" w:sz="0" w:space="0" w:color="auto"/>
                <w:right w:val="none" w:sz="0" w:space="0" w:color="auto"/>
              </w:divBdr>
              <w:divsChild>
                <w:div w:id="1501896078">
                  <w:marLeft w:val="640"/>
                  <w:marRight w:val="0"/>
                  <w:marTop w:val="0"/>
                  <w:marBottom w:val="0"/>
                  <w:divBdr>
                    <w:top w:val="none" w:sz="0" w:space="0" w:color="auto"/>
                    <w:left w:val="none" w:sz="0" w:space="0" w:color="auto"/>
                    <w:bottom w:val="none" w:sz="0" w:space="0" w:color="auto"/>
                    <w:right w:val="none" w:sz="0" w:space="0" w:color="auto"/>
                  </w:divBdr>
                </w:div>
                <w:div w:id="1690989878">
                  <w:marLeft w:val="640"/>
                  <w:marRight w:val="0"/>
                  <w:marTop w:val="0"/>
                  <w:marBottom w:val="0"/>
                  <w:divBdr>
                    <w:top w:val="none" w:sz="0" w:space="0" w:color="auto"/>
                    <w:left w:val="none" w:sz="0" w:space="0" w:color="auto"/>
                    <w:bottom w:val="none" w:sz="0" w:space="0" w:color="auto"/>
                    <w:right w:val="none" w:sz="0" w:space="0" w:color="auto"/>
                  </w:divBdr>
                </w:div>
                <w:div w:id="404180363">
                  <w:marLeft w:val="640"/>
                  <w:marRight w:val="0"/>
                  <w:marTop w:val="0"/>
                  <w:marBottom w:val="0"/>
                  <w:divBdr>
                    <w:top w:val="none" w:sz="0" w:space="0" w:color="auto"/>
                    <w:left w:val="none" w:sz="0" w:space="0" w:color="auto"/>
                    <w:bottom w:val="none" w:sz="0" w:space="0" w:color="auto"/>
                    <w:right w:val="none" w:sz="0" w:space="0" w:color="auto"/>
                  </w:divBdr>
                </w:div>
                <w:div w:id="1046249461">
                  <w:marLeft w:val="640"/>
                  <w:marRight w:val="0"/>
                  <w:marTop w:val="0"/>
                  <w:marBottom w:val="0"/>
                  <w:divBdr>
                    <w:top w:val="none" w:sz="0" w:space="0" w:color="auto"/>
                    <w:left w:val="none" w:sz="0" w:space="0" w:color="auto"/>
                    <w:bottom w:val="none" w:sz="0" w:space="0" w:color="auto"/>
                    <w:right w:val="none" w:sz="0" w:space="0" w:color="auto"/>
                  </w:divBdr>
                </w:div>
                <w:div w:id="529954630">
                  <w:marLeft w:val="640"/>
                  <w:marRight w:val="0"/>
                  <w:marTop w:val="0"/>
                  <w:marBottom w:val="0"/>
                  <w:divBdr>
                    <w:top w:val="none" w:sz="0" w:space="0" w:color="auto"/>
                    <w:left w:val="none" w:sz="0" w:space="0" w:color="auto"/>
                    <w:bottom w:val="none" w:sz="0" w:space="0" w:color="auto"/>
                    <w:right w:val="none" w:sz="0" w:space="0" w:color="auto"/>
                  </w:divBdr>
                </w:div>
                <w:div w:id="1316060069">
                  <w:marLeft w:val="640"/>
                  <w:marRight w:val="0"/>
                  <w:marTop w:val="0"/>
                  <w:marBottom w:val="0"/>
                  <w:divBdr>
                    <w:top w:val="none" w:sz="0" w:space="0" w:color="auto"/>
                    <w:left w:val="none" w:sz="0" w:space="0" w:color="auto"/>
                    <w:bottom w:val="none" w:sz="0" w:space="0" w:color="auto"/>
                    <w:right w:val="none" w:sz="0" w:space="0" w:color="auto"/>
                  </w:divBdr>
                </w:div>
                <w:div w:id="1397242669">
                  <w:marLeft w:val="640"/>
                  <w:marRight w:val="0"/>
                  <w:marTop w:val="0"/>
                  <w:marBottom w:val="0"/>
                  <w:divBdr>
                    <w:top w:val="none" w:sz="0" w:space="0" w:color="auto"/>
                    <w:left w:val="none" w:sz="0" w:space="0" w:color="auto"/>
                    <w:bottom w:val="none" w:sz="0" w:space="0" w:color="auto"/>
                    <w:right w:val="none" w:sz="0" w:space="0" w:color="auto"/>
                  </w:divBdr>
                </w:div>
                <w:div w:id="546600305">
                  <w:marLeft w:val="640"/>
                  <w:marRight w:val="0"/>
                  <w:marTop w:val="0"/>
                  <w:marBottom w:val="0"/>
                  <w:divBdr>
                    <w:top w:val="none" w:sz="0" w:space="0" w:color="auto"/>
                    <w:left w:val="none" w:sz="0" w:space="0" w:color="auto"/>
                    <w:bottom w:val="none" w:sz="0" w:space="0" w:color="auto"/>
                    <w:right w:val="none" w:sz="0" w:space="0" w:color="auto"/>
                  </w:divBdr>
                </w:div>
                <w:div w:id="500465507">
                  <w:marLeft w:val="640"/>
                  <w:marRight w:val="0"/>
                  <w:marTop w:val="0"/>
                  <w:marBottom w:val="0"/>
                  <w:divBdr>
                    <w:top w:val="none" w:sz="0" w:space="0" w:color="auto"/>
                    <w:left w:val="none" w:sz="0" w:space="0" w:color="auto"/>
                    <w:bottom w:val="none" w:sz="0" w:space="0" w:color="auto"/>
                    <w:right w:val="none" w:sz="0" w:space="0" w:color="auto"/>
                  </w:divBdr>
                </w:div>
                <w:div w:id="582642217">
                  <w:marLeft w:val="640"/>
                  <w:marRight w:val="0"/>
                  <w:marTop w:val="0"/>
                  <w:marBottom w:val="0"/>
                  <w:divBdr>
                    <w:top w:val="none" w:sz="0" w:space="0" w:color="auto"/>
                    <w:left w:val="none" w:sz="0" w:space="0" w:color="auto"/>
                    <w:bottom w:val="none" w:sz="0" w:space="0" w:color="auto"/>
                    <w:right w:val="none" w:sz="0" w:space="0" w:color="auto"/>
                  </w:divBdr>
                </w:div>
                <w:div w:id="1087578511">
                  <w:marLeft w:val="640"/>
                  <w:marRight w:val="0"/>
                  <w:marTop w:val="0"/>
                  <w:marBottom w:val="0"/>
                  <w:divBdr>
                    <w:top w:val="none" w:sz="0" w:space="0" w:color="auto"/>
                    <w:left w:val="none" w:sz="0" w:space="0" w:color="auto"/>
                    <w:bottom w:val="none" w:sz="0" w:space="0" w:color="auto"/>
                    <w:right w:val="none" w:sz="0" w:space="0" w:color="auto"/>
                  </w:divBdr>
                </w:div>
                <w:div w:id="826821107">
                  <w:marLeft w:val="640"/>
                  <w:marRight w:val="0"/>
                  <w:marTop w:val="0"/>
                  <w:marBottom w:val="0"/>
                  <w:divBdr>
                    <w:top w:val="none" w:sz="0" w:space="0" w:color="auto"/>
                    <w:left w:val="none" w:sz="0" w:space="0" w:color="auto"/>
                    <w:bottom w:val="none" w:sz="0" w:space="0" w:color="auto"/>
                    <w:right w:val="none" w:sz="0" w:space="0" w:color="auto"/>
                  </w:divBdr>
                </w:div>
                <w:div w:id="1120762269">
                  <w:marLeft w:val="640"/>
                  <w:marRight w:val="0"/>
                  <w:marTop w:val="0"/>
                  <w:marBottom w:val="0"/>
                  <w:divBdr>
                    <w:top w:val="none" w:sz="0" w:space="0" w:color="auto"/>
                    <w:left w:val="none" w:sz="0" w:space="0" w:color="auto"/>
                    <w:bottom w:val="none" w:sz="0" w:space="0" w:color="auto"/>
                    <w:right w:val="none" w:sz="0" w:space="0" w:color="auto"/>
                  </w:divBdr>
                </w:div>
                <w:div w:id="1985960237">
                  <w:marLeft w:val="640"/>
                  <w:marRight w:val="0"/>
                  <w:marTop w:val="0"/>
                  <w:marBottom w:val="0"/>
                  <w:divBdr>
                    <w:top w:val="none" w:sz="0" w:space="0" w:color="auto"/>
                    <w:left w:val="none" w:sz="0" w:space="0" w:color="auto"/>
                    <w:bottom w:val="none" w:sz="0" w:space="0" w:color="auto"/>
                    <w:right w:val="none" w:sz="0" w:space="0" w:color="auto"/>
                  </w:divBdr>
                </w:div>
                <w:div w:id="1960263251">
                  <w:marLeft w:val="640"/>
                  <w:marRight w:val="0"/>
                  <w:marTop w:val="0"/>
                  <w:marBottom w:val="0"/>
                  <w:divBdr>
                    <w:top w:val="none" w:sz="0" w:space="0" w:color="auto"/>
                    <w:left w:val="none" w:sz="0" w:space="0" w:color="auto"/>
                    <w:bottom w:val="none" w:sz="0" w:space="0" w:color="auto"/>
                    <w:right w:val="none" w:sz="0" w:space="0" w:color="auto"/>
                  </w:divBdr>
                </w:div>
                <w:div w:id="176434662">
                  <w:marLeft w:val="640"/>
                  <w:marRight w:val="0"/>
                  <w:marTop w:val="0"/>
                  <w:marBottom w:val="0"/>
                  <w:divBdr>
                    <w:top w:val="none" w:sz="0" w:space="0" w:color="auto"/>
                    <w:left w:val="none" w:sz="0" w:space="0" w:color="auto"/>
                    <w:bottom w:val="none" w:sz="0" w:space="0" w:color="auto"/>
                    <w:right w:val="none" w:sz="0" w:space="0" w:color="auto"/>
                  </w:divBdr>
                </w:div>
                <w:div w:id="184252727">
                  <w:marLeft w:val="640"/>
                  <w:marRight w:val="0"/>
                  <w:marTop w:val="0"/>
                  <w:marBottom w:val="0"/>
                  <w:divBdr>
                    <w:top w:val="none" w:sz="0" w:space="0" w:color="auto"/>
                    <w:left w:val="none" w:sz="0" w:space="0" w:color="auto"/>
                    <w:bottom w:val="none" w:sz="0" w:space="0" w:color="auto"/>
                    <w:right w:val="none" w:sz="0" w:space="0" w:color="auto"/>
                  </w:divBdr>
                </w:div>
                <w:div w:id="520552601">
                  <w:marLeft w:val="640"/>
                  <w:marRight w:val="0"/>
                  <w:marTop w:val="0"/>
                  <w:marBottom w:val="0"/>
                  <w:divBdr>
                    <w:top w:val="none" w:sz="0" w:space="0" w:color="auto"/>
                    <w:left w:val="none" w:sz="0" w:space="0" w:color="auto"/>
                    <w:bottom w:val="none" w:sz="0" w:space="0" w:color="auto"/>
                    <w:right w:val="none" w:sz="0" w:space="0" w:color="auto"/>
                  </w:divBdr>
                </w:div>
                <w:div w:id="1569341960">
                  <w:marLeft w:val="640"/>
                  <w:marRight w:val="0"/>
                  <w:marTop w:val="0"/>
                  <w:marBottom w:val="0"/>
                  <w:divBdr>
                    <w:top w:val="none" w:sz="0" w:space="0" w:color="auto"/>
                    <w:left w:val="none" w:sz="0" w:space="0" w:color="auto"/>
                    <w:bottom w:val="none" w:sz="0" w:space="0" w:color="auto"/>
                    <w:right w:val="none" w:sz="0" w:space="0" w:color="auto"/>
                  </w:divBdr>
                </w:div>
                <w:div w:id="1034573966">
                  <w:marLeft w:val="640"/>
                  <w:marRight w:val="0"/>
                  <w:marTop w:val="0"/>
                  <w:marBottom w:val="0"/>
                  <w:divBdr>
                    <w:top w:val="none" w:sz="0" w:space="0" w:color="auto"/>
                    <w:left w:val="none" w:sz="0" w:space="0" w:color="auto"/>
                    <w:bottom w:val="none" w:sz="0" w:space="0" w:color="auto"/>
                    <w:right w:val="none" w:sz="0" w:space="0" w:color="auto"/>
                  </w:divBdr>
                </w:div>
              </w:divsChild>
            </w:div>
            <w:div w:id="6369495">
              <w:marLeft w:val="0"/>
              <w:marRight w:val="0"/>
              <w:marTop w:val="0"/>
              <w:marBottom w:val="0"/>
              <w:divBdr>
                <w:top w:val="none" w:sz="0" w:space="0" w:color="auto"/>
                <w:left w:val="none" w:sz="0" w:space="0" w:color="auto"/>
                <w:bottom w:val="none" w:sz="0" w:space="0" w:color="auto"/>
                <w:right w:val="none" w:sz="0" w:space="0" w:color="auto"/>
              </w:divBdr>
              <w:divsChild>
                <w:div w:id="2010908542">
                  <w:marLeft w:val="640"/>
                  <w:marRight w:val="0"/>
                  <w:marTop w:val="0"/>
                  <w:marBottom w:val="0"/>
                  <w:divBdr>
                    <w:top w:val="none" w:sz="0" w:space="0" w:color="auto"/>
                    <w:left w:val="none" w:sz="0" w:space="0" w:color="auto"/>
                    <w:bottom w:val="none" w:sz="0" w:space="0" w:color="auto"/>
                    <w:right w:val="none" w:sz="0" w:space="0" w:color="auto"/>
                  </w:divBdr>
                </w:div>
                <w:div w:id="1716001234">
                  <w:marLeft w:val="640"/>
                  <w:marRight w:val="0"/>
                  <w:marTop w:val="0"/>
                  <w:marBottom w:val="0"/>
                  <w:divBdr>
                    <w:top w:val="none" w:sz="0" w:space="0" w:color="auto"/>
                    <w:left w:val="none" w:sz="0" w:space="0" w:color="auto"/>
                    <w:bottom w:val="none" w:sz="0" w:space="0" w:color="auto"/>
                    <w:right w:val="none" w:sz="0" w:space="0" w:color="auto"/>
                  </w:divBdr>
                </w:div>
                <w:div w:id="1693723335">
                  <w:marLeft w:val="640"/>
                  <w:marRight w:val="0"/>
                  <w:marTop w:val="0"/>
                  <w:marBottom w:val="0"/>
                  <w:divBdr>
                    <w:top w:val="none" w:sz="0" w:space="0" w:color="auto"/>
                    <w:left w:val="none" w:sz="0" w:space="0" w:color="auto"/>
                    <w:bottom w:val="none" w:sz="0" w:space="0" w:color="auto"/>
                    <w:right w:val="none" w:sz="0" w:space="0" w:color="auto"/>
                  </w:divBdr>
                </w:div>
                <w:div w:id="678042202">
                  <w:marLeft w:val="640"/>
                  <w:marRight w:val="0"/>
                  <w:marTop w:val="0"/>
                  <w:marBottom w:val="0"/>
                  <w:divBdr>
                    <w:top w:val="none" w:sz="0" w:space="0" w:color="auto"/>
                    <w:left w:val="none" w:sz="0" w:space="0" w:color="auto"/>
                    <w:bottom w:val="none" w:sz="0" w:space="0" w:color="auto"/>
                    <w:right w:val="none" w:sz="0" w:space="0" w:color="auto"/>
                  </w:divBdr>
                </w:div>
                <w:div w:id="936057680">
                  <w:marLeft w:val="640"/>
                  <w:marRight w:val="0"/>
                  <w:marTop w:val="0"/>
                  <w:marBottom w:val="0"/>
                  <w:divBdr>
                    <w:top w:val="none" w:sz="0" w:space="0" w:color="auto"/>
                    <w:left w:val="none" w:sz="0" w:space="0" w:color="auto"/>
                    <w:bottom w:val="none" w:sz="0" w:space="0" w:color="auto"/>
                    <w:right w:val="none" w:sz="0" w:space="0" w:color="auto"/>
                  </w:divBdr>
                </w:div>
                <w:div w:id="1548756311">
                  <w:marLeft w:val="640"/>
                  <w:marRight w:val="0"/>
                  <w:marTop w:val="0"/>
                  <w:marBottom w:val="0"/>
                  <w:divBdr>
                    <w:top w:val="none" w:sz="0" w:space="0" w:color="auto"/>
                    <w:left w:val="none" w:sz="0" w:space="0" w:color="auto"/>
                    <w:bottom w:val="none" w:sz="0" w:space="0" w:color="auto"/>
                    <w:right w:val="none" w:sz="0" w:space="0" w:color="auto"/>
                  </w:divBdr>
                </w:div>
                <w:div w:id="1363020641">
                  <w:marLeft w:val="640"/>
                  <w:marRight w:val="0"/>
                  <w:marTop w:val="0"/>
                  <w:marBottom w:val="0"/>
                  <w:divBdr>
                    <w:top w:val="none" w:sz="0" w:space="0" w:color="auto"/>
                    <w:left w:val="none" w:sz="0" w:space="0" w:color="auto"/>
                    <w:bottom w:val="none" w:sz="0" w:space="0" w:color="auto"/>
                    <w:right w:val="none" w:sz="0" w:space="0" w:color="auto"/>
                  </w:divBdr>
                </w:div>
                <w:div w:id="970355699">
                  <w:marLeft w:val="640"/>
                  <w:marRight w:val="0"/>
                  <w:marTop w:val="0"/>
                  <w:marBottom w:val="0"/>
                  <w:divBdr>
                    <w:top w:val="none" w:sz="0" w:space="0" w:color="auto"/>
                    <w:left w:val="none" w:sz="0" w:space="0" w:color="auto"/>
                    <w:bottom w:val="none" w:sz="0" w:space="0" w:color="auto"/>
                    <w:right w:val="none" w:sz="0" w:space="0" w:color="auto"/>
                  </w:divBdr>
                </w:div>
                <w:div w:id="1786346103">
                  <w:marLeft w:val="640"/>
                  <w:marRight w:val="0"/>
                  <w:marTop w:val="0"/>
                  <w:marBottom w:val="0"/>
                  <w:divBdr>
                    <w:top w:val="none" w:sz="0" w:space="0" w:color="auto"/>
                    <w:left w:val="none" w:sz="0" w:space="0" w:color="auto"/>
                    <w:bottom w:val="none" w:sz="0" w:space="0" w:color="auto"/>
                    <w:right w:val="none" w:sz="0" w:space="0" w:color="auto"/>
                  </w:divBdr>
                </w:div>
                <w:div w:id="142934428">
                  <w:marLeft w:val="640"/>
                  <w:marRight w:val="0"/>
                  <w:marTop w:val="0"/>
                  <w:marBottom w:val="0"/>
                  <w:divBdr>
                    <w:top w:val="none" w:sz="0" w:space="0" w:color="auto"/>
                    <w:left w:val="none" w:sz="0" w:space="0" w:color="auto"/>
                    <w:bottom w:val="none" w:sz="0" w:space="0" w:color="auto"/>
                    <w:right w:val="none" w:sz="0" w:space="0" w:color="auto"/>
                  </w:divBdr>
                </w:div>
                <w:div w:id="1359282977">
                  <w:marLeft w:val="640"/>
                  <w:marRight w:val="0"/>
                  <w:marTop w:val="0"/>
                  <w:marBottom w:val="0"/>
                  <w:divBdr>
                    <w:top w:val="none" w:sz="0" w:space="0" w:color="auto"/>
                    <w:left w:val="none" w:sz="0" w:space="0" w:color="auto"/>
                    <w:bottom w:val="none" w:sz="0" w:space="0" w:color="auto"/>
                    <w:right w:val="none" w:sz="0" w:space="0" w:color="auto"/>
                  </w:divBdr>
                </w:div>
                <w:div w:id="1090270695">
                  <w:marLeft w:val="640"/>
                  <w:marRight w:val="0"/>
                  <w:marTop w:val="0"/>
                  <w:marBottom w:val="0"/>
                  <w:divBdr>
                    <w:top w:val="none" w:sz="0" w:space="0" w:color="auto"/>
                    <w:left w:val="none" w:sz="0" w:space="0" w:color="auto"/>
                    <w:bottom w:val="none" w:sz="0" w:space="0" w:color="auto"/>
                    <w:right w:val="none" w:sz="0" w:space="0" w:color="auto"/>
                  </w:divBdr>
                </w:div>
                <w:div w:id="1588886612">
                  <w:marLeft w:val="640"/>
                  <w:marRight w:val="0"/>
                  <w:marTop w:val="0"/>
                  <w:marBottom w:val="0"/>
                  <w:divBdr>
                    <w:top w:val="none" w:sz="0" w:space="0" w:color="auto"/>
                    <w:left w:val="none" w:sz="0" w:space="0" w:color="auto"/>
                    <w:bottom w:val="none" w:sz="0" w:space="0" w:color="auto"/>
                    <w:right w:val="none" w:sz="0" w:space="0" w:color="auto"/>
                  </w:divBdr>
                </w:div>
                <w:div w:id="1016272537">
                  <w:marLeft w:val="640"/>
                  <w:marRight w:val="0"/>
                  <w:marTop w:val="0"/>
                  <w:marBottom w:val="0"/>
                  <w:divBdr>
                    <w:top w:val="none" w:sz="0" w:space="0" w:color="auto"/>
                    <w:left w:val="none" w:sz="0" w:space="0" w:color="auto"/>
                    <w:bottom w:val="none" w:sz="0" w:space="0" w:color="auto"/>
                    <w:right w:val="none" w:sz="0" w:space="0" w:color="auto"/>
                  </w:divBdr>
                </w:div>
                <w:div w:id="2048019370">
                  <w:marLeft w:val="640"/>
                  <w:marRight w:val="0"/>
                  <w:marTop w:val="0"/>
                  <w:marBottom w:val="0"/>
                  <w:divBdr>
                    <w:top w:val="none" w:sz="0" w:space="0" w:color="auto"/>
                    <w:left w:val="none" w:sz="0" w:space="0" w:color="auto"/>
                    <w:bottom w:val="none" w:sz="0" w:space="0" w:color="auto"/>
                    <w:right w:val="none" w:sz="0" w:space="0" w:color="auto"/>
                  </w:divBdr>
                </w:div>
                <w:div w:id="470943208">
                  <w:marLeft w:val="640"/>
                  <w:marRight w:val="0"/>
                  <w:marTop w:val="0"/>
                  <w:marBottom w:val="0"/>
                  <w:divBdr>
                    <w:top w:val="none" w:sz="0" w:space="0" w:color="auto"/>
                    <w:left w:val="none" w:sz="0" w:space="0" w:color="auto"/>
                    <w:bottom w:val="none" w:sz="0" w:space="0" w:color="auto"/>
                    <w:right w:val="none" w:sz="0" w:space="0" w:color="auto"/>
                  </w:divBdr>
                </w:div>
                <w:div w:id="1230727305">
                  <w:marLeft w:val="640"/>
                  <w:marRight w:val="0"/>
                  <w:marTop w:val="0"/>
                  <w:marBottom w:val="0"/>
                  <w:divBdr>
                    <w:top w:val="none" w:sz="0" w:space="0" w:color="auto"/>
                    <w:left w:val="none" w:sz="0" w:space="0" w:color="auto"/>
                    <w:bottom w:val="none" w:sz="0" w:space="0" w:color="auto"/>
                    <w:right w:val="none" w:sz="0" w:space="0" w:color="auto"/>
                  </w:divBdr>
                </w:div>
                <w:div w:id="2003774610">
                  <w:marLeft w:val="640"/>
                  <w:marRight w:val="0"/>
                  <w:marTop w:val="0"/>
                  <w:marBottom w:val="0"/>
                  <w:divBdr>
                    <w:top w:val="none" w:sz="0" w:space="0" w:color="auto"/>
                    <w:left w:val="none" w:sz="0" w:space="0" w:color="auto"/>
                    <w:bottom w:val="none" w:sz="0" w:space="0" w:color="auto"/>
                    <w:right w:val="none" w:sz="0" w:space="0" w:color="auto"/>
                  </w:divBdr>
                </w:div>
                <w:div w:id="2022775310">
                  <w:marLeft w:val="640"/>
                  <w:marRight w:val="0"/>
                  <w:marTop w:val="0"/>
                  <w:marBottom w:val="0"/>
                  <w:divBdr>
                    <w:top w:val="none" w:sz="0" w:space="0" w:color="auto"/>
                    <w:left w:val="none" w:sz="0" w:space="0" w:color="auto"/>
                    <w:bottom w:val="none" w:sz="0" w:space="0" w:color="auto"/>
                    <w:right w:val="none" w:sz="0" w:space="0" w:color="auto"/>
                  </w:divBdr>
                </w:div>
              </w:divsChild>
            </w:div>
            <w:div w:id="894773949">
              <w:marLeft w:val="0"/>
              <w:marRight w:val="0"/>
              <w:marTop w:val="0"/>
              <w:marBottom w:val="0"/>
              <w:divBdr>
                <w:top w:val="none" w:sz="0" w:space="0" w:color="auto"/>
                <w:left w:val="none" w:sz="0" w:space="0" w:color="auto"/>
                <w:bottom w:val="none" w:sz="0" w:space="0" w:color="auto"/>
                <w:right w:val="none" w:sz="0" w:space="0" w:color="auto"/>
              </w:divBdr>
              <w:divsChild>
                <w:div w:id="1534076045">
                  <w:marLeft w:val="640"/>
                  <w:marRight w:val="0"/>
                  <w:marTop w:val="0"/>
                  <w:marBottom w:val="0"/>
                  <w:divBdr>
                    <w:top w:val="none" w:sz="0" w:space="0" w:color="auto"/>
                    <w:left w:val="none" w:sz="0" w:space="0" w:color="auto"/>
                    <w:bottom w:val="none" w:sz="0" w:space="0" w:color="auto"/>
                    <w:right w:val="none" w:sz="0" w:space="0" w:color="auto"/>
                  </w:divBdr>
                </w:div>
                <w:div w:id="1428039560">
                  <w:marLeft w:val="640"/>
                  <w:marRight w:val="0"/>
                  <w:marTop w:val="0"/>
                  <w:marBottom w:val="0"/>
                  <w:divBdr>
                    <w:top w:val="none" w:sz="0" w:space="0" w:color="auto"/>
                    <w:left w:val="none" w:sz="0" w:space="0" w:color="auto"/>
                    <w:bottom w:val="none" w:sz="0" w:space="0" w:color="auto"/>
                    <w:right w:val="none" w:sz="0" w:space="0" w:color="auto"/>
                  </w:divBdr>
                </w:div>
                <w:div w:id="1769305731">
                  <w:marLeft w:val="640"/>
                  <w:marRight w:val="0"/>
                  <w:marTop w:val="0"/>
                  <w:marBottom w:val="0"/>
                  <w:divBdr>
                    <w:top w:val="none" w:sz="0" w:space="0" w:color="auto"/>
                    <w:left w:val="none" w:sz="0" w:space="0" w:color="auto"/>
                    <w:bottom w:val="none" w:sz="0" w:space="0" w:color="auto"/>
                    <w:right w:val="none" w:sz="0" w:space="0" w:color="auto"/>
                  </w:divBdr>
                </w:div>
                <w:div w:id="816647487">
                  <w:marLeft w:val="640"/>
                  <w:marRight w:val="0"/>
                  <w:marTop w:val="0"/>
                  <w:marBottom w:val="0"/>
                  <w:divBdr>
                    <w:top w:val="none" w:sz="0" w:space="0" w:color="auto"/>
                    <w:left w:val="none" w:sz="0" w:space="0" w:color="auto"/>
                    <w:bottom w:val="none" w:sz="0" w:space="0" w:color="auto"/>
                    <w:right w:val="none" w:sz="0" w:space="0" w:color="auto"/>
                  </w:divBdr>
                </w:div>
                <w:div w:id="549459473">
                  <w:marLeft w:val="640"/>
                  <w:marRight w:val="0"/>
                  <w:marTop w:val="0"/>
                  <w:marBottom w:val="0"/>
                  <w:divBdr>
                    <w:top w:val="none" w:sz="0" w:space="0" w:color="auto"/>
                    <w:left w:val="none" w:sz="0" w:space="0" w:color="auto"/>
                    <w:bottom w:val="none" w:sz="0" w:space="0" w:color="auto"/>
                    <w:right w:val="none" w:sz="0" w:space="0" w:color="auto"/>
                  </w:divBdr>
                </w:div>
                <w:div w:id="1279527547">
                  <w:marLeft w:val="640"/>
                  <w:marRight w:val="0"/>
                  <w:marTop w:val="0"/>
                  <w:marBottom w:val="0"/>
                  <w:divBdr>
                    <w:top w:val="none" w:sz="0" w:space="0" w:color="auto"/>
                    <w:left w:val="none" w:sz="0" w:space="0" w:color="auto"/>
                    <w:bottom w:val="none" w:sz="0" w:space="0" w:color="auto"/>
                    <w:right w:val="none" w:sz="0" w:space="0" w:color="auto"/>
                  </w:divBdr>
                </w:div>
                <w:div w:id="1775514895">
                  <w:marLeft w:val="640"/>
                  <w:marRight w:val="0"/>
                  <w:marTop w:val="0"/>
                  <w:marBottom w:val="0"/>
                  <w:divBdr>
                    <w:top w:val="none" w:sz="0" w:space="0" w:color="auto"/>
                    <w:left w:val="none" w:sz="0" w:space="0" w:color="auto"/>
                    <w:bottom w:val="none" w:sz="0" w:space="0" w:color="auto"/>
                    <w:right w:val="none" w:sz="0" w:space="0" w:color="auto"/>
                  </w:divBdr>
                </w:div>
                <w:div w:id="1877618968">
                  <w:marLeft w:val="640"/>
                  <w:marRight w:val="0"/>
                  <w:marTop w:val="0"/>
                  <w:marBottom w:val="0"/>
                  <w:divBdr>
                    <w:top w:val="none" w:sz="0" w:space="0" w:color="auto"/>
                    <w:left w:val="none" w:sz="0" w:space="0" w:color="auto"/>
                    <w:bottom w:val="none" w:sz="0" w:space="0" w:color="auto"/>
                    <w:right w:val="none" w:sz="0" w:space="0" w:color="auto"/>
                  </w:divBdr>
                </w:div>
                <w:div w:id="1013410639">
                  <w:marLeft w:val="640"/>
                  <w:marRight w:val="0"/>
                  <w:marTop w:val="0"/>
                  <w:marBottom w:val="0"/>
                  <w:divBdr>
                    <w:top w:val="none" w:sz="0" w:space="0" w:color="auto"/>
                    <w:left w:val="none" w:sz="0" w:space="0" w:color="auto"/>
                    <w:bottom w:val="none" w:sz="0" w:space="0" w:color="auto"/>
                    <w:right w:val="none" w:sz="0" w:space="0" w:color="auto"/>
                  </w:divBdr>
                </w:div>
                <w:div w:id="536888705">
                  <w:marLeft w:val="640"/>
                  <w:marRight w:val="0"/>
                  <w:marTop w:val="0"/>
                  <w:marBottom w:val="0"/>
                  <w:divBdr>
                    <w:top w:val="none" w:sz="0" w:space="0" w:color="auto"/>
                    <w:left w:val="none" w:sz="0" w:space="0" w:color="auto"/>
                    <w:bottom w:val="none" w:sz="0" w:space="0" w:color="auto"/>
                    <w:right w:val="none" w:sz="0" w:space="0" w:color="auto"/>
                  </w:divBdr>
                </w:div>
                <w:div w:id="1484159758">
                  <w:marLeft w:val="640"/>
                  <w:marRight w:val="0"/>
                  <w:marTop w:val="0"/>
                  <w:marBottom w:val="0"/>
                  <w:divBdr>
                    <w:top w:val="none" w:sz="0" w:space="0" w:color="auto"/>
                    <w:left w:val="none" w:sz="0" w:space="0" w:color="auto"/>
                    <w:bottom w:val="none" w:sz="0" w:space="0" w:color="auto"/>
                    <w:right w:val="none" w:sz="0" w:space="0" w:color="auto"/>
                  </w:divBdr>
                </w:div>
                <w:div w:id="1871337556">
                  <w:marLeft w:val="640"/>
                  <w:marRight w:val="0"/>
                  <w:marTop w:val="0"/>
                  <w:marBottom w:val="0"/>
                  <w:divBdr>
                    <w:top w:val="none" w:sz="0" w:space="0" w:color="auto"/>
                    <w:left w:val="none" w:sz="0" w:space="0" w:color="auto"/>
                    <w:bottom w:val="none" w:sz="0" w:space="0" w:color="auto"/>
                    <w:right w:val="none" w:sz="0" w:space="0" w:color="auto"/>
                  </w:divBdr>
                </w:div>
                <w:div w:id="471336271">
                  <w:marLeft w:val="640"/>
                  <w:marRight w:val="0"/>
                  <w:marTop w:val="0"/>
                  <w:marBottom w:val="0"/>
                  <w:divBdr>
                    <w:top w:val="none" w:sz="0" w:space="0" w:color="auto"/>
                    <w:left w:val="none" w:sz="0" w:space="0" w:color="auto"/>
                    <w:bottom w:val="none" w:sz="0" w:space="0" w:color="auto"/>
                    <w:right w:val="none" w:sz="0" w:space="0" w:color="auto"/>
                  </w:divBdr>
                </w:div>
                <w:div w:id="2113547939">
                  <w:marLeft w:val="640"/>
                  <w:marRight w:val="0"/>
                  <w:marTop w:val="0"/>
                  <w:marBottom w:val="0"/>
                  <w:divBdr>
                    <w:top w:val="none" w:sz="0" w:space="0" w:color="auto"/>
                    <w:left w:val="none" w:sz="0" w:space="0" w:color="auto"/>
                    <w:bottom w:val="none" w:sz="0" w:space="0" w:color="auto"/>
                    <w:right w:val="none" w:sz="0" w:space="0" w:color="auto"/>
                  </w:divBdr>
                </w:div>
                <w:div w:id="1598712746">
                  <w:marLeft w:val="640"/>
                  <w:marRight w:val="0"/>
                  <w:marTop w:val="0"/>
                  <w:marBottom w:val="0"/>
                  <w:divBdr>
                    <w:top w:val="none" w:sz="0" w:space="0" w:color="auto"/>
                    <w:left w:val="none" w:sz="0" w:space="0" w:color="auto"/>
                    <w:bottom w:val="none" w:sz="0" w:space="0" w:color="auto"/>
                    <w:right w:val="none" w:sz="0" w:space="0" w:color="auto"/>
                  </w:divBdr>
                </w:div>
                <w:div w:id="47384609">
                  <w:marLeft w:val="640"/>
                  <w:marRight w:val="0"/>
                  <w:marTop w:val="0"/>
                  <w:marBottom w:val="0"/>
                  <w:divBdr>
                    <w:top w:val="none" w:sz="0" w:space="0" w:color="auto"/>
                    <w:left w:val="none" w:sz="0" w:space="0" w:color="auto"/>
                    <w:bottom w:val="none" w:sz="0" w:space="0" w:color="auto"/>
                    <w:right w:val="none" w:sz="0" w:space="0" w:color="auto"/>
                  </w:divBdr>
                </w:div>
                <w:div w:id="1963919869">
                  <w:marLeft w:val="640"/>
                  <w:marRight w:val="0"/>
                  <w:marTop w:val="0"/>
                  <w:marBottom w:val="0"/>
                  <w:divBdr>
                    <w:top w:val="none" w:sz="0" w:space="0" w:color="auto"/>
                    <w:left w:val="none" w:sz="0" w:space="0" w:color="auto"/>
                    <w:bottom w:val="none" w:sz="0" w:space="0" w:color="auto"/>
                    <w:right w:val="none" w:sz="0" w:space="0" w:color="auto"/>
                  </w:divBdr>
                </w:div>
                <w:div w:id="351760622">
                  <w:marLeft w:val="640"/>
                  <w:marRight w:val="0"/>
                  <w:marTop w:val="0"/>
                  <w:marBottom w:val="0"/>
                  <w:divBdr>
                    <w:top w:val="none" w:sz="0" w:space="0" w:color="auto"/>
                    <w:left w:val="none" w:sz="0" w:space="0" w:color="auto"/>
                    <w:bottom w:val="none" w:sz="0" w:space="0" w:color="auto"/>
                    <w:right w:val="none" w:sz="0" w:space="0" w:color="auto"/>
                  </w:divBdr>
                </w:div>
                <w:div w:id="387193188">
                  <w:marLeft w:val="640"/>
                  <w:marRight w:val="0"/>
                  <w:marTop w:val="0"/>
                  <w:marBottom w:val="0"/>
                  <w:divBdr>
                    <w:top w:val="none" w:sz="0" w:space="0" w:color="auto"/>
                    <w:left w:val="none" w:sz="0" w:space="0" w:color="auto"/>
                    <w:bottom w:val="none" w:sz="0" w:space="0" w:color="auto"/>
                    <w:right w:val="none" w:sz="0" w:space="0" w:color="auto"/>
                  </w:divBdr>
                </w:div>
              </w:divsChild>
            </w:div>
            <w:div w:id="1206059600">
              <w:marLeft w:val="0"/>
              <w:marRight w:val="0"/>
              <w:marTop w:val="0"/>
              <w:marBottom w:val="0"/>
              <w:divBdr>
                <w:top w:val="none" w:sz="0" w:space="0" w:color="auto"/>
                <w:left w:val="none" w:sz="0" w:space="0" w:color="auto"/>
                <w:bottom w:val="none" w:sz="0" w:space="0" w:color="auto"/>
                <w:right w:val="none" w:sz="0" w:space="0" w:color="auto"/>
              </w:divBdr>
              <w:divsChild>
                <w:div w:id="1366325477">
                  <w:marLeft w:val="640"/>
                  <w:marRight w:val="0"/>
                  <w:marTop w:val="0"/>
                  <w:marBottom w:val="0"/>
                  <w:divBdr>
                    <w:top w:val="none" w:sz="0" w:space="0" w:color="auto"/>
                    <w:left w:val="none" w:sz="0" w:space="0" w:color="auto"/>
                    <w:bottom w:val="none" w:sz="0" w:space="0" w:color="auto"/>
                    <w:right w:val="none" w:sz="0" w:space="0" w:color="auto"/>
                  </w:divBdr>
                </w:div>
                <w:div w:id="714937061">
                  <w:marLeft w:val="640"/>
                  <w:marRight w:val="0"/>
                  <w:marTop w:val="0"/>
                  <w:marBottom w:val="0"/>
                  <w:divBdr>
                    <w:top w:val="none" w:sz="0" w:space="0" w:color="auto"/>
                    <w:left w:val="none" w:sz="0" w:space="0" w:color="auto"/>
                    <w:bottom w:val="none" w:sz="0" w:space="0" w:color="auto"/>
                    <w:right w:val="none" w:sz="0" w:space="0" w:color="auto"/>
                  </w:divBdr>
                </w:div>
                <w:div w:id="637956147">
                  <w:marLeft w:val="640"/>
                  <w:marRight w:val="0"/>
                  <w:marTop w:val="0"/>
                  <w:marBottom w:val="0"/>
                  <w:divBdr>
                    <w:top w:val="none" w:sz="0" w:space="0" w:color="auto"/>
                    <w:left w:val="none" w:sz="0" w:space="0" w:color="auto"/>
                    <w:bottom w:val="none" w:sz="0" w:space="0" w:color="auto"/>
                    <w:right w:val="none" w:sz="0" w:space="0" w:color="auto"/>
                  </w:divBdr>
                </w:div>
                <w:div w:id="942415505">
                  <w:marLeft w:val="640"/>
                  <w:marRight w:val="0"/>
                  <w:marTop w:val="0"/>
                  <w:marBottom w:val="0"/>
                  <w:divBdr>
                    <w:top w:val="none" w:sz="0" w:space="0" w:color="auto"/>
                    <w:left w:val="none" w:sz="0" w:space="0" w:color="auto"/>
                    <w:bottom w:val="none" w:sz="0" w:space="0" w:color="auto"/>
                    <w:right w:val="none" w:sz="0" w:space="0" w:color="auto"/>
                  </w:divBdr>
                </w:div>
                <w:div w:id="745228974">
                  <w:marLeft w:val="640"/>
                  <w:marRight w:val="0"/>
                  <w:marTop w:val="0"/>
                  <w:marBottom w:val="0"/>
                  <w:divBdr>
                    <w:top w:val="none" w:sz="0" w:space="0" w:color="auto"/>
                    <w:left w:val="none" w:sz="0" w:space="0" w:color="auto"/>
                    <w:bottom w:val="none" w:sz="0" w:space="0" w:color="auto"/>
                    <w:right w:val="none" w:sz="0" w:space="0" w:color="auto"/>
                  </w:divBdr>
                </w:div>
                <w:div w:id="1352493210">
                  <w:marLeft w:val="640"/>
                  <w:marRight w:val="0"/>
                  <w:marTop w:val="0"/>
                  <w:marBottom w:val="0"/>
                  <w:divBdr>
                    <w:top w:val="none" w:sz="0" w:space="0" w:color="auto"/>
                    <w:left w:val="none" w:sz="0" w:space="0" w:color="auto"/>
                    <w:bottom w:val="none" w:sz="0" w:space="0" w:color="auto"/>
                    <w:right w:val="none" w:sz="0" w:space="0" w:color="auto"/>
                  </w:divBdr>
                </w:div>
                <w:div w:id="1729762901">
                  <w:marLeft w:val="640"/>
                  <w:marRight w:val="0"/>
                  <w:marTop w:val="0"/>
                  <w:marBottom w:val="0"/>
                  <w:divBdr>
                    <w:top w:val="none" w:sz="0" w:space="0" w:color="auto"/>
                    <w:left w:val="none" w:sz="0" w:space="0" w:color="auto"/>
                    <w:bottom w:val="none" w:sz="0" w:space="0" w:color="auto"/>
                    <w:right w:val="none" w:sz="0" w:space="0" w:color="auto"/>
                  </w:divBdr>
                </w:div>
                <w:div w:id="3165790">
                  <w:marLeft w:val="640"/>
                  <w:marRight w:val="0"/>
                  <w:marTop w:val="0"/>
                  <w:marBottom w:val="0"/>
                  <w:divBdr>
                    <w:top w:val="none" w:sz="0" w:space="0" w:color="auto"/>
                    <w:left w:val="none" w:sz="0" w:space="0" w:color="auto"/>
                    <w:bottom w:val="none" w:sz="0" w:space="0" w:color="auto"/>
                    <w:right w:val="none" w:sz="0" w:space="0" w:color="auto"/>
                  </w:divBdr>
                </w:div>
                <w:div w:id="1614897630">
                  <w:marLeft w:val="640"/>
                  <w:marRight w:val="0"/>
                  <w:marTop w:val="0"/>
                  <w:marBottom w:val="0"/>
                  <w:divBdr>
                    <w:top w:val="none" w:sz="0" w:space="0" w:color="auto"/>
                    <w:left w:val="none" w:sz="0" w:space="0" w:color="auto"/>
                    <w:bottom w:val="none" w:sz="0" w:space="0" w:color="auto"/>
                    <w:right w:val="none" w:sz="0" w:space="0" w:color="auto"/>
                  </w:divBdr>
                </w:div>
                <w:div w:id="1581673680">
                  <w:marLeft w:val="640"/>
                  <w:marRight w:val="0"/>
                  <w:marTop w:val="0"/>
                  <w:marBottom w:val="0"/>
                  <w:divBdr>
                    <w:top w:val="none" w:sz="0" w:space="0" w:color="auto"/>
                    <w:left w:val="none" w:sz="0" w:space="0" w:color="auto"/>
                    <w:bottom w:val="none" w:sz="0" w:space="0" w:color="auto"/>
                    <w:right w:val="none" w:sz="0" w:space="0" w:color="auto"/>
                  </w:divBdr>
                </w:div>
                <w:div w:id="832993521">
                  <w:marLeft w:val="640"/>
                  <w:marRight w:val="0"/>
                  <w:marTop w:val="0"/>
                  <w:marBottom w:val="0"/>
                  <w:divBdr>
                    <w:top w:val="none" w:sz="0" w:space="0" w:color="auto"/>
                    <w:left w:val="none" w:sz="0" w:space="0" w:color="auto"/>
                    <w:bottom w:val="none" w:sz="0" w:space="0" w:color="auto"/>
                    <w:right w:val="none" w:sz="0" w:space="0" w:color="auto"/>
                  </w:divBdr>
                </w:div>
                <w:div w:id="1555308986">
                  <w:marLeft w:val="640"/>
                  <w:marRight w:val="0"/>
                  <w:marTop w:val="0"/>
                  <w:marBottom w:val="0"/>
                  <w:divBdr>
                    <w:top w:val="none" w:sz="0" w:space="0" w:color="auto"/>
                    <w:left w:val="none" w:sz="0" w:space="0" w:color="auto"/>
                    <w:bottom w:val="none" w:sz="0" w:space="0" w:color="auto"/>
                    <w:right w:val="none" w:sz="0" w:space="0" w:color="auto"/>
                  </w:divBdr>
                </w:div>
                <w:div w:id="1461802587">
                  <w:marLeft w:val="640"/>
                  <w:marRight w:val="0"/>
                  <w:marTop w:val="0"/>
                  <w:marBottom w:val="0"/>
                  <w:divBdr>
                    <w:top w:val="none" w:sz="0" w:space="0" w:color="auto"/>
                    <w:left w:val="none" w:sz="0" w:space="0" w:color="auto"/>
                    <w:bottom w:val="none" w:sz="0" w:space="0" w:color="auto"/>
                    <w:right w:val="none" w:sz="0" w:space="0" w:color="auto"/>
                  </w:divBdr>
                </w:div>
                <w:div w:id="916213245">
                  <w:marLeft w:val="640"/>
                  <w:marRight w:val="0"/>
                  <w:marTop w:val="0"/>
                  <w:marBottom w:val="0"/>
                  <w:divBdr>
                    <w:top w:val="none" w:sz="0" w:space="0" w:color="auto"/>
                    <w:left w:val="none" w:sz="0" w:space="0" w:color="auto"/>
                    <w:bottom w:val="none" w:sz="0" w:space="0" w:color="auto"/>
                    <w:right w:val="none" w:sz="0" w:space="0" w:color="auto"/>
                  </w:divBdr>
                </w:div>
                <w:div w:id="1921065494">
                  <w:marLeft w:val="640"/>
                  <w:marRight w:val="0"/>
                  <w:marTop w:val="0"/>
                  <w:marBottom w:val="0"/>
                  <w:divBdr>
                    <w:top w:val="none" w:sz="0" w:space="0" w:color="auto"/>
                    <w:left w:val="none" w:sz="0" w:space="0" w:color="auto"/>
                    <w:bottom w:val="none" w:sz="0" w:space="0" w:color="auto"/>
                    <w:right w:val="none" w:sz="0" w:space="0" w:color="auto"/>
                  </w:divBdr>
                </w:div>
                <w:div w:id="1800298846">
                  <w:marLeft w:val="640"/>
                  <w:marRight w:val="0"/>
                  <w:marTop w:val="0"/>
                  <w:marBottom w:val="0"/>
                  <w:divBdr>
                    <w:top w:val="none" w:sz="0" w:space="0" w:color="auto"/>
                    <w:left w:val="none" w:sz="0" w:space="0" w:color="auto"/>
                    <w:bottom w:val="none" w:sz="0" w:space="0" w:color="auto"/>
                    <w:right w:val="none" w:sz="0" w:space="0" w:color="auto"/>
                  </w:divBdr>
                </w:div>
                <w:div w:id="869805502">
                  <w:marLeft w:val="640"/>
                  <w:marRight w:val="0"/>
                  <w:marTop w:val="0"/>
                  <w:marBottom w:val="0"/>
                  <w:divBdr>
                    <w:top w:val="none" w:sz="0" w:space="0" w:color="auto"/>
                    <w:left w:val="none" w:sz="0" w:space="0" w:color="auto"/>
                    <w:bottom w:val="none" w:sz="0" w:space="0" w:color="auto"/>
                    <w:right w:val="none" w:sz="0" w:space="0" w:color="auto"/>
                  </w:divBdr>
                </w:div>
                <w:div w:id="146242669">
                  <w:marLeft w:val="640"/>
                  <w:marRight w:val="0"/>
                  <w:marTop w:val="0"/>
                  <w:marBottom w:val="0"/>
                  <w:divBdr>
                    <w:top w:val="none" w:sz="0" w:space="0" w:color="auto"/>
                    <w:left w:val="none" w:sz="0" w:space="0" w:color="auto"/>
                    <w:bottom w:val="none" w:sz="0" w:space="0" w:color="auto"/>
                    <w:right w:val="none" w:sz="0" w:space="0" w:color="auto"/>
                  </w:divBdr>
                </w:div>
                <w:div w:id="872617463">
                  <w:marLeft w:val="640"/>
                  <w:marRight w:val="0"/>
                  <w:marTop w:val="0"/>
                  <w:marBottom w:val="0"/>
                  <w:divBdr>
                    <w:top w:val="none" w:sz="0" w:space="0" w:color="auto"/>
                    <w:left w:val="none" w:sz="0" w:space="0" w:color="auto"/>
                    <w:bottom w:val="none" w:sz="0" w:space="0" w:color="auto"/>
                    <w:right w:val="none" w:sz="0" w:space="0" w:color="auto"/>
                  </w:divBdr>
                </w:div>
              </w:divsChild>
            </w:div>
            <w:div w:id="1150362724">
              <w:marLeft w:val="0"/>
              <w:marRight w:val="0"/>
              <w:marTop w:val="0"/>
              <w:marBottom w:val="0"/>
              <w:divBdr>
                <w:top w:val="none" w:sz="0" w:space="0" w:color="auto"/>
                <w:left w:val="none" w:sz="0" w:space="0" w:color="auto"/>
                <w:bottom w:val="none" w:sz="0" w:space="0" w:color="auto"/>
                <w:right w:val="none" w:sz="0" w:space="0" w:color="auto"/>
              </w:divBdr>
              <w:divsChild>
                <w:div w:id="237908495">
                  <w:marLeft w:val="640"/>
                  <w:marRight w:val="0"/>
                  <w:marTop w:val="0"/>
                  <w:marBottom w:val="0"/>
                  <w:divBdr>
                    <w:top w:val="none" w:sz="0" w:space="0" w:color="auto"/>
                    <w:left w:val="none" w:sz="0" w:space="0" w:color="auto"/>
                    <w:bottom w:val="none" w:sz="0" w:space="0" w:color="auto"/>
                    <w:right w:val="none" w:sz="0" w:space="0" w:color="auto"/>
                  </w:divBdr>
                </w:div>
                <w:div w:id="1003977015">
                  <w:marLeft w:val="640"/>
                  <w:marRight w:val="0"/>
                  <w:marTop w:val="0"/>
                  <w:marBottom w:val="0"/>
                  <w:divBdr>
                    <w:top w:val="none" w:sz="0" w:space="0" w:color="auto"/>
                    <w:left w:val="none" w:sz="0" w:space="0" w:color="auto"/>
                    <w:bottom w:val="none" w:sz="0" w:space="0" w:color="auto"/>
                    <w:right w:val="none" w:sz="0" w:space="0" w:color="auto"/>
                  </w:divBdr>
                </w:div>
                <w:div w:id="1366371763">
                  <w:marLeft w:val="640"/>
                  <w:marRight w:val="0"/>
                  <w:marTop w:val="0"/>
                  <w:marBottom w:val="0"/>
                  <w:divBdr>
                    <w:top w:val="none" w:sz="0" w:space="0" w:color="auto"/>
                    <w:left w:val="none" w:sz="0" w:space="0" w:color="auto"/>
                    <w:bottom w:val="none" w:sz="0" w:space="0" w:color="auto"/>
                    <w:right w:val="none" w:sz="0" w:space="0" w:color="auto"/>
                  </w:divBdr>
                </w:div>
                <w:div w:id="403532888">
                  <w:marLeft w:val="640"/>
                  <w:marRight w:val="0"/>
                  <w:marTop w:val="0"/>
                  <w:marBottom w:val="0"/>
                  <w:divBdr>
                    <w:top w:val="none" w:sz="0" w:space="0" w:color="auto"/>
                    <w:left w:val="none" w:sz="0" w:space="0" w:color="auto"/>
                    <w:bottom w:val="none" w:sz="0" w:space="0" w:color="auto"/>
                    <w:right w:val="none" w:sz="0" w:space="0" w:color="auto"/>
                  </w:divBdr>
                </w:div>
                <w:div w:id="719208662">
                  <w:marLeft w:val="640"/>
                  <w:marRight w:val="0"/>
                  <w:marTop w:val="0"/>
                  <w:marBottom w:val="0"/>
                  <w:divBdr>
                    <w:top w:val="none" w:sz="0" w:space="0" w:color="auto"/>
                    <w:left w:val="none" w:sz="0" w:space="0" w:color="auto"/>
                    <w:bottom w:val="none" w:sz="0" w:space="0" w:color="auto"/>
                    <w:right w:val="none" w:sz="0" w:space="0" w:color="auto"/>
                  </w:divBdr>
                </w:div>
                <w:div w:id="1086801145">
                  <w:marLeft w:val="640"/>
                  <w:marRight w:val="0"/>
                  <w:marTop w:val="0"/>
                  <w:marBottom w:val="0"/>
                  <w:divBdr>
                    <w:top w:val="none" w:sz="0" w:space="0" w:color="auto"/>
                    <w:left w:val="none" w:sz="0" w:space="0" w:color="auto"/>
                    <w:bottom w:val="none" w:sz="0" w:space="0" w:color="auto"/>
                    <w:right w:val="none" w:sz="0" w:space="0" w:color="auto"/>
                  </w:divBdr>
                </w:div>
                <w:div w:id="2071493966">
                  <w:marLeft w:val="640"/>
                  <w:marRight w:val="0"/>
                  <w:marTop w:val="0"/>
                  <w:marBottom w:val="0"/>
                  <w:divBdr>
                    <w:top w:val="none" w:sz="0" w:space="0" w:color="auto"/>
                    <w:left w:val="none" w:sz="0" w:space="0" w:color="auto"/>
                    <w:bottom w:val="none" w:sz="0" w:space="0" w:color="auto"/>
                    <w:right w:val="none" w:sz="0" w:space="0" w:color="auto"/>
                  </w:divBdr>
                </w:div>
                <w:div w:id="879628617">
                  <w:marLeft w:val="640"/>
                  <w:marRight w:val="0"/>
                  <w:marTop w:val="0"/>
                  <w:marBottom w:val="0"/>
                  <w:divBdr>
                    <w:top w:val="none" w:sz="0" w:space="0" w:color="auto"/>
                    <w:left w:val="none" w:sz="0" w:space="0" w:color="auto"/>
                    <w:bottom w:val="none" w:sz="0" w:space="0" w:color="auto"/>
                    <w:right w:val="none" w:sz="0" w:space="0" w:color="auto"/>
                  </w:divBdr>
                </w:div>
                <w:div w:id="55862823">
                  <w:marLeft w:val="640"/>
                  <w:marRight w:val="0"/>
                  <w:marTop w:val="0"/>
                  <w:marBottom w:val="0"/>
                  <w:divBdr>
                    <w:top w:val="none" w:sz="0" w:space="0" w:color="auto"/>
                    <w:left w:val="none" w:sz="0" w:space="0" w:color="auto"/>
                    <w:bottom w:val="none" w:sz="0" w:space="0" w:color="auto"/>
                    <w:right w:val="none" w:sz="0" w:space="0" w:color="auto"/>
                  </w:divBdr>
                </w:div>
                <w:div w:id="2062249080">
                  <w:marLeft w:val="640"/>
                  <w:marRight w:val="0"/>
                  <w:marTop w:val="0"/>
                  <w:marBottom w:val="0"/>
                  <w:divBdr>
                    <w:top w:val="none" w:sz="0" w:space="0" w:color="auto"/>
                    <w:left w:val="none" w:sz="0" w:space="0" w:color="auto"/>
                    <w:bottom w:val="none" w:sz="0" w:space="0" w:color="auto"/>
                    <w:right w:val="none" w:sz="0" w:space="0" w:color="auto"/>
                  </w:divBdr>
                </w:div>
                <w:div w:id="199444502">
                  <w:marLeft w:val="640"/>
                  <w:marRight w:val="0"/>
                  <w:marTop w:val="0"/>
                  <w:marBottom w:val="0"/>
                  <w:divBdr>
                    <w:top w:val="none" w:sz="0" w:space="0" w:color="auto"/>
                    <w:left w:val="none" w:sz="0" w:space="0" w:color="auto"/>
                    <w:bottom w:val="none" w:sz="0" w:space="0" w:color="auto"/>
                    <w:right w:val="none" w:sz="0" w:space="0" w:color="auto"/>
                  </w:divBdr>
                </w:div>
                <w:div w:id="1517577480">
                  <w:marLeft w:val="640"/>
                  <w:marRight w:val="0"/>
                  <w:marTop w:val="0"/>
                  <w:marBottom w:val="0"/>
                  <w:divBdr>
                    <w:top w:val="none" w:sz="0" w:space="0" w:color="auto"/>
                    <w:left w:val="none" w:sz="0" w:space="0" w:color="auto"/>
                    <w:bottom w:val="none" w:sz="0" w:space="0" w:color="auto"/>
                    <w:right w:val="none" w:sz="0" w:space="0" w:color="auto"/>
                  </w:divBdr>
                </w:div>
                <w:div w:id="1966151784">
                  <w:marLeft w:val="640"/>
                  <w:marRight w:val="0"/>
                  <w:marTop w:val="0"/>
                  <w:marBottom w:val="0"/>
                  <w:divBdr>
                    <w:top w:val="none" w:sz="0" w:space="0" w:color="auto"/>
                    <w:left w:val="none" w:sz="0" w:space="0" w:color="auto"/>
                    <w:bottom w:val="none" w:sz="0" w:space="0" w:color="auto"/>
                    <w:right w:val="none" w:sz="0" w:space="0" w:color="auto"/>
                  </w:divBdr>
                </w:div>
                <w:div w:id="1891644416">
                  <w:marLeft w:val="640"/>
                  <w:marRight w:val="0"/>
                  <w:marTop w:val="0"/>
                  <w:marBottom w:val="0"/>
                  <w:divBdr>
                    <w:top w:val="none" w:sz="0" w:space="0" w:color="auto"/>
                    <w:left w:val="none" w:sz="0" w:space="0" w:color="auto"/>
                    <w:bottom w:val="none" w:sz="0" w:space="0" w:color="auto"/>
                    <w:right w:val="none" w:sz="0" w:space="0" w:color="auto"/>
                  </w:divBdr>
                </w:div>
                <w:div w:id="1337462219">
                  <w:marLeft w:val="640"/>
                  <w:marRight w:val="0"/>
                  <w:marTop w:val="0"/>
                  <w:marBottom w:val="0"/>
                  <w:divBdr>
                    <w:top w:val="none" w:sz="0" w:space="0" w:color="auto"/>
                    <w:left w:val="none" w:sz="0" w:space="0" w:color="auto"/>
                    <w:bottom w:val="none" w:sz="0" w:space="0" w:color="auto"/>
                    <w:right w:val="none" w:sz="0" w:space="0" w:color="auto"/>
                  </w:divBdr>
                </w:div>
                <w:div w:id="1648390349">
                  <w:marLeft w:val="640"/>
                  <w:marRight w:val="0"/>
                  <w:marTop w:val="0"/>
                  <w:marBottom w:val="0"/>
                  <w:divBdr>
                    <w:top w:val="none" w:sz="0" w:space="0" w:color="auto"/>
                    <w:left w:val="none" w:sz="0" w:space="0" w:color="auto"/>
                    <w:bottom w:val="none" w:sz="0" w:space="0" w:color="auto"/>
                    <w:right w:val="none" w:sz="0" w:space="0" w:color="auto"/>
                  </w:divBdr>
                </w:div>
                <w:div w:id="937518581">
                  <w:marLeft w:val="640"/>
                  <w:marRight w:val="0"/>
                  <w:marTop w:val="0"/>
                  <w:marBottom w:val="0"/>
                  <w:divBdr>
                    <w:top w:val="none" w:sz="0" w:space="0" w:color="auto"/>
                    <w:left w:val="none" w:sz="0" w:space="0" w:color="auto"/>
                    <w:bottom w:val="none" w:sz="0" w:space="0" w:color="auto"/>
                    <w:right w:val="none" w:sz="0" w:space="0" w:color="auto"/>
                  </w:divBdr>
                </w:div>
                <w:div w:id="965816104">
                  <w:marLeft w:val="640"/>
                  <w:marRight w:val="0"/>
                  <w:marTop w:val="0"/>
                  <w:marBottom w:val="0"/>
                  <w:divBdr>
                    <w:top w:val="none" w:sz="0" w:space="0" w:color="auto"/>
                    <w:left w:val="none" w:sz="0" w:space="0" w:color="auto"/>
                    <w:bottom w:val="none" w:sz="0" w:space="0" w:color="auto"/>
                    <w:right w:val="none" w:sz="0" w:space="0" w:color="auto"/>
                  </w:divBdr>
                </w:div>
                <w:div w:id="687752403">
                  <w:marLeft w:val="640"/>
                  <w:marRight w:val="0"/>
                  <w:marTop w:val="0"/>
                  <w:marBottom w:val="0"/>
                  <w:divBdr>
                    <w:top w:val="none" w:sz="0" w:space="0" w:color="auto"/>
                    <w:left w:val="none" w:sz="0" w:space="0" w:color="auto"/>
                    <w:bottom w:val="none" w:sz="0" w:space="0" w:color="auto"/>
                    <w:right w:val="none" w:sz="0" w:space="0" w:color="auto"/>
                  </w:divBdr>
                </w:div>
              </w:divsChild>
            </w:div>
            <w:div w:id="528419725">
              <w:marLeft w:val="0"/>
              <w:marRight w:val="0"/>
              <w:marTop w:val="0"/>
              <w:marBottom w:val="0"/>
              <w:divBdr>
                <w:top w:val="none" w:sz="0" w:space="0" w:color="auto"/>
                <w:left w:val="none" w:sz="0" w:space="0" w:color="auto"/>
                <w:bottom w:val="none" w:sz="0" w:space="0" w:color="auto"/>
                <w:right w:val="none" w:sz="0" w:space="0" w:color="auto"/>
              </w:divBdr>
              <w:divsChild>
                <w:div w:id="448858994">
                  <w:marLeft w:val="640"/>
                  <w:marRight w:val="0"/>
                  <w:marTop w:val="0"/>
                  <w:marBottom w:val="0"/>
                  <w:divBdr>
                    <w:top w:val="none" w:sz="0" w:space="0" w:color="auto"/>
                    <w:left w:val="none" w:sz="0" w:space="0" w:color="auto"/>
                    <w:bottom w:val="none" w:sz="0" w:space="0" w:color="auto"/>
                    <w:right w:val="none" w:sz="0" w:space="0" w:color="auto"/>
                  </w:divBdr>
                </w:div>
                <w:div w:id="1978218337">
                  <w:marLeft w:val="640"/>
                  <w:marRight w:val="0"/>
                  <w:marTop w:val="0"/>
                  <w:marBottom w:val="0"/>
                  <w:divBdr>
                    <w:top w:val="none" w:sz="0" w:space="0" w:color="auto"/>
                    <w:left w:val="none" w:sz="0" w:space="0" w:color="auto"/>
                    <w:bottom w:val="none" w:sz="0" w:space="0" w:color="auto"/>
                    <w:right w:val="none" w:sz="0" w:space="0" w:color="auto"/>
                  </w:divBdr>
                </w:div>
                <w:div w:id="2047833941">
                  <w:marLeft w:val="640"/>
                  <w:marRight w:val="0"/>
                  <w:marTop w:val="0"/>
                  <w:marBottom w:val="0"/>
                  <w:divBdr>
                    <w:top w:val="none" w:sz="0" w:space="0" w:color="auto"/>
                    <w:left w:val="none" w:sz="0" w:space="0" w:color="auto"/>
                    <w:bottom w:val="none" w:sz="0" w:space="0" w:color="auto"/>
                    <w:right w:val="none" w:sz="0" w:space="0" w:color="auto"/>
                  </w:divBdr>
                </w:div>
                <w:div w:id="730661642">
                  <w:marLeft w:val="640"/>
                  <w:marRight w:val="0"/>
                  <w:marTop w:val="0"/>
                  <w:marBottom w:val="0"/>
                  <w:divBdr>
                    <w:top w:val="none" w:sz="0" w:space="0" w:color="auto"/>
                    <w:left w:val="none" w:sz="0" w:space="0" w:color="auto"/>
                    <w:bottom w:val="none" w:sz="0" w:space="0" w:color="auto"/>
                    <w:right w:val="none" w:sz="0" w:space="0" w:color="auto"/>
                  </w:divBdr>
                </w:div>
                <w:div w:id="991519062">
                  <w:marLeft w:val="640"/>
                  <w:marRight w:val="0"/>
                  <w:marTop w:val="0"/>
                  <w:marBottom w:val="0"/>
                  <w:divBdr>
                    <w:top w:val="none" w:sz="0" w:space="0" w:color="auto"/>
                    <w:left w:val="none" w:sz="0" w:space="0" w:color="auto"/>
                    <w:bottom w:val="none" w:sz="0" w:space="0" w:color="auto"/>
                    <w:right w:val="none" w:sz="0" w:space="0" w:color="auto"/>
                  </w:divBdr>
                </w:div>
                <w:div w:id="1013218606">
                  <w:marLeft w:val="640"/>
                  <w:marRight w:val="0"/>
                  <w:marTop w:val="0"/>
                  <w:marBottom w:val="0"/>
                  <w:divBdr>
                    <w:top w:val="none" w:sz="0" w:space="0" w:color="auto"/>
                    <w:left w:val="none" w:sz="0" w:space="0" w:color="auto"/>
                    <w:bottom w:val="none" w:sz="0" w:space="0" w:color="auto"/>
                    <w:right w:val="none" w:sz="0" w:space="0" w:color="auto"/>
                  </w:divBdr>
                </w:div>
                <w:div w:id="1440373866">
                  <w:marLeft w:val="640"/>
                  <w:marRight w:val="0"/>
                  <w:marTop w:val="0"/>
                  <w:marBottom w:val="0"/>
                  <w:divBdr>
                    <w:top w:val="none" w:sz="0" w:space="0" w:color="auto"/>
                    <w:left w:val="none" w:sz="0" w:space="0" w:color="auto"/>
                    <w:bottom w:val="none" w:sz="0" w:space="0" w:color="auto"/>
                    <w:right w:val="none" w:sz="0" w:space="0" w:color="auto"/>
                  </w:divBdr>
                </w:div>
                <w:div w:id="265892941">
                  <w:marLeft w:val="640"/>
                  <w:marRight w:val="0"/>
                  <w:marTop w:val="0"/>
                  <w:marBottom w:val="0"/>
                  <w:divBdr>
                    <w:top w:val="none" w:sz="0" w:space="0" w:color="auto"/>
                    <w:left w:val="none" w:sz="0" w:space="0" w:color="auto"/>
                    <w:bottom w:val="none" w:sz="0" w:space="0" w:color="auto"/>
                    <w:right w:val="none" w:sz="0" w:space="0" w:color="auto"/>
                  </w:divBdr>
                </w:div>
                <w:div w:id="1604726223">
                  <w:marLeft w:val="640"/>
                  <w:marRight w:val="0"/>
                  <w:marTop w:val="0"/>
                  <w:marBottom w:val="0"/>
                  <w:divBdr>
                    <w:top w:val="none" w:sz="0" w:space="0" w:color="auto"/>
                    <w:left w:val="none" w:sz="0" w:space="0" w:color="auto"/>
                    <w:bottom w:val="none" w:sz="0" w:space="0" w:color="auto"/>
                    <w:right w:val="none" w:sz="0" w:space="0" w:color="auto"/>
                  </w:divBdr>
                </w:div>
                <w:div w:id="2123838943">
                  <w:marLeft w:val="640"/>
                  <w:marRight w:val="0"/>
                  <w:marTop w:val="0"/>
                  <w:marBottom w:val="0"/>
                  <w:divBdr>
                    <w:top w:val="none" w:sz="0" w:space="0" w:color="auto"/>
                    <w:left w:val="none" w:sz="0" w:space="0" w:color="auto"/>
                    <w:bottom w:val="none" w:sz="0" w:space="0" w:color="auto"/>
                    <w:right w:val="none" w:sz="0" w:space="0" w:color="auto"/>
                  </w:divBdr>
                </w:div>
                <w:div w:id="707683418">
                  <w:marLeft w:val="640"/>
                  <w:marRight w:val="0"/>
                  <w:marTop w:val="0"/>
                  <w:marBottom w:val="0"/>
                  <w:divBdr>
                    <w:top w:val="none" w:sz="0" w:space="0" w:color="auto"/>
                    <w:left w:val="none" w:sz="0" w:space="0" w:color="auto"/>
                    <w:bottom w:val="none" w:sz="0" w:space="0" w:color="auto"/>
                    <w:right w:val="none" w:sz="0" w:space="0" w:color="auto"/>
                  </w:divBdr>
                </w:div>
                <w:div w:id="844511318">
                  <w:marLeft w:val="640"/>
                  <w:marRight w:val="0"/>
                  <w:marTop w:val="0"/>
                  <w:marBottom w:val="0"/>
                  <w:divBdr>
                    <w:top w:val="none" w:sz="0" w:space="0" w:color="auto"/>
                    <w:left w:val="none" w:sz="0" w:space="0" w:color="auto"/>
                    <w:bottom w:val="none" w:sz="0" w:space="0" w:color="auto"/>
                    <w:right w:val="none" w:sz="0" w:space="0" w:color="auto"/>
                  </w:divBdr>
                </w:div>
                <w:div w:id="829834620">
                  <w:marLeft w:val="640"/>
                  <w:marRight w:val="0"/>
                  <w:marTop w:val="0"/>
                  <w:marBottom w:val="0"/>
                  <w:divBdr>
                    <w:top w:val="none" w:sz="0" w:space="0" w:color="auto"/>
                    <w:left w:val="none" w:sz="0" w:space="0" w:color="auto"/>
                    <w:bottom w:val="none" w:sz="0" w:space="0" w:color="auto"/>
                    <w:right w:val="none" w:sz="0" w:space="0" w:color="auto"/>
                  </w:divBdr>
                </w:div>
                <w:div w:id="2057387588">
                  <w:marLeft w:val="640"/>
                  <w:marRight w:val="0"/>
                  <w:marTop w:val="0"/>
                  <w:marBottom w:val="0"/>
                  <w:divBdr>
                    <w:top w:val="none" w:sz="0" w:space="0" w:color="auto"/>
                    <w:left w:val="none" w:sz="0" w:space="0" w:color="auto"/>
                    <w:bottom w:val="none" w:sz="0" w:space="0" w:color="auto"/>
                    <w:right w:val="none" w:sz="0" w:space="0" w:color="auto"/>
                  </w:divBdr>
                </w:div>
                <w:div w:id="1060984728">
                  <w:marLeft w:val="640"/>
                  <w:marRight w:val="0"/>
                  <w:marTop w:val="0"/>
                  <w:marBottom w:val="0"/>
                  <w:divBdr>
                    <w:top w:val="none" w:sz="0" w:space="0" w:color="auto"/>
                    <w:left w:val="none" w:sz="0" w:space="0" w:color="auto"/>
                    <w:bottom w:val="none" w:sz="0" w:space="0" w:color="auto"/>
                    <w:right w:val="none" w:sz="0" w:space="0" w:color="auto"/>
                  </w:divBdr>
                </w:div>
                <w:div w:id="981351284">
                  <w:marLeft w:val="640"/>
                  <w:marRight w:val="0"/>
                  <w:marTop w:val="0"/>
                  <w:marBottom w:val="0"/>
                  <w:divBdr>
                    <w:top w:val="none" w:sz="0" w:space="0" w:color="auto"/>
                    <w:left w:val="none" w:sz="0" w:space="0" w:color="auto"/>
                    <w:bottom w:val="none" w:sz="0" w:space="0" w:color="auto"/>
                    <w:right w:val="none" w:sz="0" w:space="0" w:color="auto"/>
                  </w:divBdr>
                </w:div>
                <w:div w:id="1484393610">
                  <w:marLeft w:val="640"/>
                  <w:marRight w:val="0"/>
                  <w:marTop w:val="0"/>
                  <w:marBottom w:val="0"/>
                  <w:divBdr>
                    <w:top w:val="none" w:sz="0" w:space="0" w:color="auto"/>
                    <w:left w:val="none" w:sz="0" w:space="0" w:color="auto"/>
                    <w:bottom w:val="none" w:sz="0" w:space="0" w:color="auto"/>
                    <w:right w:val="none" w:sz="0" w:space="0" w:color="auto"/>
                  </w:divBdr>
                </w:div>
                <w:div w:id="1019896732">
                  <w:marLeft w:val="640"/>
                  <w:marRight w:val="0"/>
                  <w:marTop w:val="0"/>
                  <w:marBottom w:val="0"/>
                  <w:divBdr>
                    <w:top w:val="none" w:sz="0" w:space="0" w:color="auto"/>
                    <w:left w:val="none" w:sz="0" w:space="0" w:color="auto"/>
                    <w:bottom w:val="none" w:sz="0" w:space="0" w:color="auto"/>
                    <w:right w:val="none" w:sz="0" w:space="0" w:color="auto"/>
                  </w:divBdr>
                </w:div>
                <w:div w:id="863785903">
                  <w:marLeft w:val="640"/>
                  <w:marRight w:val="0"/>
                  <w:marTop w:val="0"/>
                  <w:marBottom w:val="0"/>
                  <w:divBdr>
                    <w:top w:val="none" w:sz="0" w:space="0" w:color="auto"/>
                    <w:left w:val="none" w:sz="0" w:space="0" w:color="auto"/>
                    <w:bottom w:val="none" w:sz="0" w:space="0" w:color="auto"/>
                    <w:right w:val="none" w:sz="0" w:space="0" w:color="auto"/>
                  </w:divBdr>
                </w:div>
              </w:divsChild>
            </w:div>
            <w:div w:id="1148472682">
              <w:marLeft w:val="0"/>
              <w:marRight w:val="0"/>
              <w:marTop w:val="0"/>
              <w:marBottom w:val="0"/>
              <w:divBdr>
                <w:top w:val="none" w:sz="0" w:space="0" w:color="auto"/>
                <w:left w:val="none" w:sz="0" w:space="0" w:color="auto"/>
                <w:bottom w:val="none" w:sz="0" w:space="0" w:color="auto"/>
                <w:right w:val="none" w:sz="0" w:space="0" w:color="auto"/>
              </w:divBdr>
              <w:divsChild>
                <w:div w:id="1239095908">
                  <w:marLeft w:val="640"/>
                  <w:marRight w:val="0"/>
                  <w:marTop w:val="0"/>
                  <w:marBottom w:val="0"/>
                  <w:divBdr>
                    <w:top w:val="none" w:sz="0" w:space="0" w:color="auto"/>
                    <w:left w:val="none" w:sz="0" w:space="0" w:color="auto"/>
                    <w:bottom w:val="none" w:sz="0" w:space="0" w:color="auto"/>
                    <w:right w:val="none" w:sz="0" w:space="0" w:color="auto"/>
                  </w:divBdr>
                </w:div>
                <w:div w:id="343167776">
                  <w:marLeft w:val="640"/>
                  <w:marRight w:val="0"/>
                  <w:marTop w:val="0"/>
                  <w:marBottom w:val="0"/>
                  <w:divBdr>
                    <w:top w:val="none" w:sz="0" w:space="0" w:color="auto"/>
                    <w:left w:val="none" w:sz="0" w:space="0" w:color="auto"/>
                    <w:bottom w:val="none" w:sz="0" w:space="0" w:color="auto"/>
                    <w:right w:val="none" w:sz="0" w:space="0" w:color="auto"/>
                  </w:divBdr>
                </w:div>
                <w:div w:id="1003167725">
                  <w:marLeft w:val="640"/>
                  <w:marRight w:val="0"/>
                  <w:marTop w:val="0"/>
                  <w:marBottom w:val="0"/>
                  <w:divBdr>
                    <w:top w:val="none" w:sz="0" w:space="0" w:color="auto"/>
                    <w:left w:val="none" w:sz="0" w:space="0" w:color="auto"/>
                    <w:bottom w:val="none" w:sz="0" w:space="0" w:color="auto"/>
                    <w:right w:val="none" w:sz="0" w:space="0" w:color="auto"/>
                  </w:divBdr>
                </w:div>
                <w:div w:id="1678262925">
                  <w:marLeft w:val="640"/>
                  <w:marRight w:val="0"/>
                  <w:marTop w:val="0"/>
                  <w:marBottom w:val="0"/>
                  <w:divBdr>
                    <w:top w:val="none" w:sz="0" w:space="0" w:color="auto"/>
                    <w:left w:val="none" w:sz="0" w:space="0" w:color="auto"/>
                    <w:bottom w:val="none" w:sz="0" w:space="0" w:color="auto"/>
                    <w:right w:val="none" w:sz="0" w:space="0" w:color="auto"/>
                  </w:divBdr>
                </w:div>
                <w:div w:id="278725955">
                  <w:marLeft w:val="640"/>
                  <w:marRight w:val="0"/>
                  <w:marTop w:val="0"/>
                  <w:marBottom w:val="0"/>
                  <w:divBdr>
                    <w:top w:val="none" w:sz="0" w:space="0" w:color="auto"/>
                    <w:left w:val="none" w:sz="0" w:space="0" w:color="auto"/>
                    <w:bottom w:val="none" w:sz="0" w:space="0" w:color="auto"/>
                    <w:right w:val="none" w:sz="0" w:space="0" w:color="auto"/>
                  </w:divBdr>
                </w:div>
                <w:div w:id="2118786938">
                  <w:marLeft w:val="640"/>
                  <w:marRight w:val="0"/>
                  <w:marTop w:val="0"/>
                  <w:marBottom w:val="0"/>
                  <w:divBdr>
                    <w:top w:val="none" w:sz="0" w:space="0" w:color="auto"/>
                    <w:left w:val="none" w:sz="0" w:space="0" w:color="auto"/>
                    <w:bottom w:val="none" w:sz="0" w:space="0" w:color="auto"/>
                    <w:right w:val="none" w:sz="0" w:space="0" w:color="auto"/>
                  </w:divBdr>
                </w:div>
                <w:div w:id="1312907995">
                  <w:marLeft w:val="640"/>
                  <w:marRight w:val="0"/>
                  <w:marTop w:val="0"/>
                  <w:marBottom w:val="0"/>
                  <w:divBdr>
                    <w:top w:val="none" w:sz="0" w:space="0" w:color="auto"/>
                    <w:left w:val="none" w:sz="0" w:space="0" w:color="auto"/>
                    <w:bottom w:val="none" w:sz="0" w:space="0" w:color="auto"/>
                    <w:right w:val="none" w:sz="0" w:space="0" w:color="auto"/>
                  </w:divBdr>
                </w:div>
                <w:div w:id="1973436576">
                  <w:marLeft w:val="640"/>
                  <w:marRight w:val="0"/>
                  <w:marTop w:val="0"/>
                  <w:marBottom w:val="0"/>
                  <w:divBdr>
                    <w:top w:val="none" w:sz="0" w:space="0" w:color="auto"/>
                    <w:left w:val="none" w:sz="0" w:space="0" w:color="auto"/>
                    <w:bottom w:val="none" w:sz="0" w:space="0" w:color="auto"/>
                    <w:right w:val="none" w:sz="0" w:space="0" w:color="auto"/>
                  </w:divBdr>
                </w:div>
                <w:div w:id="1319112132">
                  <w:marLeft w:val="640"/>
                  <w:marRight w:val="0"/>
                  <w:marTop w:val="0"/>
                  <w:marBottom w:val="0"/>
                  <w:divBdr>
                    <w:top w:val="none" w:sz="0" w:space="0" w:color="auto"/>
                    <w:left w:val="none" w:sz="0" w:space="0" w:color="auto"/>
                    <w:bottom w:val="none" w:sz="0" w:space="0" w:color="auto"/>
                    <w:right w:val="none" w:sz="0" w:space="0" w:color="auto"/>
                  </w:divBdr>
                </w:div>
                <w:div w:id="37320954">
                  <w:marLeft w:val="640"/>
                  <w:marRight w:val="0"/>
                  <w:marTop w:val="0"/>
                  <w:marBottom w:val="0"/>
                  <w:divBdr>
                    <w:top w:val="none" w:sz="0" w:space="0" w:color="auto"/>
                    <w:left w:val="none" w:sz="0" w:space="0" w:color="auto"/>
                    <w:bottom w:val="none" w:sz="0" w:space="0" w:color="auto"/>
                    <w:right w:val="none" w:sz="0" w:space="0" w:color="auto"/>
                  </w:divBdr>
                </w:div>
                <w:div w:id="971523047">
                  <w:marLeft w:val="640"/>
                  <w:marRight w:val="0"/>
                  <w:marTop w:val="0"/>
                  <w:marBottom w:val="0"/>
                  <w:divBdr>
                    <w:top w:val="none" w:sz="0" w:space="0" w:color="auto"/>
                    <w:left w:val="none" w:sz="0" w:space="0" w:color="auto"/>
                    <w:bottom w:val="none" w:sz="0" w:space="0" w:color="auto"/>
                    <w:right w:val="none" w:sz="0" w:space="0" w:color="auto"/>
                  </w:divBdr>
                </w:div>
                <w:div w:id="808280963">
                  <w:marLeft w:val="640"/>
                  <w:marRight w:val="0"/>
                  <w:marTop w:val="0"/>
                  <w:marBottom w:val="0"/>
                  <w:divBdr>
                    <w:top w:val="none" w:sz="0" w:space="0" w:color="auto"/>
                    <w:left w:val="none" w:sz="0" w:space="0" w:color="auto"/>
                    <w:bottom w:val="none" w:sz="0" w:space="0" w:color="auto"/>
                    <w:right w:val="none" w:sz="0" w:space="0" w:color="auto"/>
                  </w:divBdr>
                </w:div>
                <w:div w:id="687682679">
                  <w:marLeft w:val="640"/>
                  <w:marRight w:val="0"/>
                  <w:marTop w:val="0"/>
                  <w:marBottom w:val="0"/>
                  <w:divBdr>
                    <w:top w:val="none" w:sz="0" w:space="0" w:color="auto"/>
                    <w:left w:val="none" w:sz="0" w:space="0" w:color="auto"/>
                    <w:bottom w:val="none" w:sz="0" w:space="0" w:color="auto"/>
                    <w:right w:val="none" w:sz="0" w:space="0" w:color="auto"/>
                  </w:divBdr>
                </w:div>
                <w:div w:id="1226797622">
                  <w:marLeft w:val="640"/>
                  <w:marRight w:val="0"/>
                  <w:marTop w:val="0"/>
                  <w:marBottom w:val="0"/>
                  <w:divBdr>
                    <w:top w:val="none" w:sz="0" w:space="0" w:color="auto"/>
                    <w:left w:val="none" w:sz="0" w:space="0" w:color="auto"/>
                    <w:bottom w:val="none" w:sz="0" w:space="0" w:color="auto"/>
                    <w:right w:val="none" w:sz="0" w:space="0" w:color="auto"/>
                  </w:divBdr>
                </w:div>
                <w:div w:id="1996100582">
                  <w:marLeft w:val="640"/>
                  <w:marRight w:val="0"/>
                  <w:marTop w:val="0"/>
                  <w:marBottom w:val="0"/>
                  <w:divBdr>
                    <w:top w:val="none" w:sz="0" w:space="0" w:color="auto"/>
                    <w:left w:val="none" w:sz="0" w:space="0" w:color="auto"/>
                    <w:bottom w:val="none" w:sz="0" w:space="0" w:color="auto"/>
                    <w:right w:val="none" w:sz="0" w:space="0" w:color="auto"/>
                  </w:divBdr>
                </w:div>
                <w:div w:id="2024436211">
                  <w:marLeft w:val="640"/>
                  <w:marRight w:val="0"/>
                  <w:marTop w:val="0"/>
                  <w:marBottom w:val="0"/>
                  <w:divBdr>
                    <w:top w:val="none" w:sz="0" w:space="0" w:color="auto"/>
                    <w:left w:val="none" w:sz="0" w:space="0" w:color="auto"/>
                    <w:bottom w:val="none" w:sz="0" w:space="0" w:color="auto"/>
                    <w:right w:val="none" w:sz="0" w:space="0" w:color="auto"/>
                  </w:divBdr>
                </w:div>
                <w:div w:id="371659432">
                  <w:marLeft w:val="640"/>
                  <w:marRight w:val="0"/>
                  <w:marTop w:val="0"/>
                  <w:marBottom w:val="0"/>
                  <w:divBdr>
                    <w:top w:val="none" w:sz="0" w:space="0" w:color="auto"/>
                    <w:left w:val="none" w:sz="0" w:space="0" w:color="auto"/>
                    <w:bottom w:val="none" w:sz="0" w:space="0" w:color="auto"/>
                    <w:right w:val="none" w:sz="0" w:space="0" w:color="auto"/>
                  </w:divBdr>
                </w:div>
                <w:div w:id="396709581">
                  <w:marLeft w:val="640"/>
                  <w:marRight w:val="0"/>
                  <w:marTop w:val="0"/>
                  <w:marBottom w:val="0"/>
                  <w:divBdr>
                    <w:top w:val="none" w:sz="0" w:space="0" w:color="auto"/>
                    <w:left w:val="none" w:sz="0" w:space="0" w:color="auto"/>
                    <w:bottom w:val="none" w:sz="0" w:space="0" w:color="auto"/>
                    <w:right w:val="none" w:sz="0" w:space="0" w:color="auto"/>
                  </w:divBdr>
                </w:div>
                <w:div w:id="1251887123">
                  <w:marLeft w:val="640"/>
                  <w:marRight w:val="0"/>
                  <w:marTop w:val="0"/>
                  <w:marBottom w:val="0"/>
                  <w:divBdr>
                    <w:top w:val="none" w:sz="0" w:space="0" w:color="auto"/>
                    <w:left w:val="none" w:sz="0" w:space="0" w:color="auto"/>
                    <w:bottom w:val="none" w:sz="0" w:space="0" w:color="auto"/>
                    <w:right w:val="none" w:sz="0" w:space="0" w:color="auto"/>
                  </w:divBdr>
                </w:div>
              </w:divsChild>
            </w:div>
            <w:div w:id="523515367">
              <w:marLeft w:val="0"/>
              <w:marRight w:val="0"/>
              <w:marTop w:val="0"/>
              <w:marBottom w:val="0"/>
              <w:divBdr>
                <w:top w:val="none" w:sz="0" w:space="0" w:color="auto"/>
                <w:left w:val="none" w:sz="0" w:space="0" w:color="auto"/>
                <w:bottom w:val="none" w:sz="0" w:space="0" w:color="auto"/>
                <w:right w:val="none" w:sz="0" w:space="0" w:color="auto"/>
              </w:divBdr>
              <w:divsChild>
                <w:div w:id="292372274">
                  <w:marLeft w:val="640"/>
                  <w:marRight w:val="0"/>
                  <w:marTop w:val="0"/>
                  <w:marBottom w:val="0"/>
                  <w:divBdr>
                    <w:top w:val="none" w:sz="0" w:space="0" w:color="auto"/>
                    <w:left w:val="none" w:sz="0" w:space="0" w:color="auto"/>
                    <w:bottom w:val="none" w:sz="0" w:space="0" w:color="auto"/>
                    <w:right w:val="none" w:sz="0" w:space="0" w:color="auto"/>
                  </w:divBdr>
                </w:div>
                <w:div w:id="980304670">
                  <w:marLeft w:val="640"/>
                  <w:marRight w:val="0"/>
                  <w:marTop w:val="0"/>
                  <w:marBottom w:val="0"/>
                  <w:divBdr>
                    <w:top w:val="none" w:sz="0" w:space="0" w:color="auto"/>
                    <w:left w:val="none" w:sz="0" w:space="0" w:color="auto"/>
                    <w:bottom w:val="none" w:sz="0" w:space="0" w:color="auto"/>
                    <w:right w:val="none" w:sz="0" w:space="0" w:color="auto"/>
                  </w:divBdr>
                </w:div>
                <w:div w:id="696780413">
                  <w:marLeft w:val="640"/>
                  <w:marRight w:val="0"/>
                  <w:marTop w:val="0"/>
                  <w:marBottom w:val="0"/>
                  <w:divBdr>
                    <w:top w:val="none" w:sz="0" w:space="0" w:color="auto"/>
                    <w:left w:val="none" w:sz="0" w:space="0" w:color="auto"/>
                    <w:bottom w:val="none" w:sz="0" w:space="0" w:color="auto"/>
                    <w:right w:val="none" w:sz="0" w:space="0" w:color="auto"/>
                  </w:divBdr>
                </w:div>
                <w:div w:id="1875844971">
                  <w:marLeft w:val="640"/>
                  <w:marRight w:val="0"/>
                  <w:marTop w:val="0"/>
                  <w:marBottom w:val="0"/>
                  <w:divBdr>
                    <w:top w:val="none" w:sz="0" w:space="0" w:color="auto"/>
                    <w:left w:val="none" w:sz="0" w:space="0" w:color="auto"/>
                    <w:bottom w:val="none" w:sz="0" w:space="0" w:color="auto"/>
                    <w:right w:val="none" w:sz="0" w:space="0" w:color="auto"/>
                  </w:divBdr>
                </w:div>
                <w:div w:id="1748382319">
                  <w:marLeft w:val="640"/>
                  <w:marRight w:val="0"/>
                  <w:marTop w:val="0"/>
                  <w:marBottom w:val="0"/>
                  <w:divBdr>
                    <w:top w:val="none" w:sz="0" w:space="0" w:color="auto"/>
                    <w:left w:val="none" w:sz="0" w:space="0" w:color="auto"/>
                    <w:bottom w:val="none" w:sz="0" w:space="0" w:color="auto"/>
                    <w:right w:val="none" w:sz="0" w:space="0" w:color="auto"/>
                  </w:divBdr>
                </w:div>
                <w:div w:id="1865749519">
                  <w:marLeft w:val="640"/>
                  <w:marRight w:val="0"/>
                  <w:marTop w:val="0"/>
                  <w:marBottom w:val="0"/>
                  <w:divBdr>
                    <w:top w:val="none" w:sz="0" w:space="0" w:color="auto"/>
                    <w:left w:val="none" w:sz="0" w:space="0" w:color="auto"/>
                    <w:bottom w:val="none" w:sz="0" w:space="0" w:color="auto"/>
                    <w:right w:val="none" w:sz="0" w:space="0" w:color="auto"/>
                  </w:divBdr>
                </w:div>
                <w:div w:id="670839633">
                  <w:marLeft w:val="640"/>
                  <w:marRight w:val="0"/>
                  <w:marTop w:val="0"/>
                  <w:marBottom w:val="0"/>
                  <w:divBdr>
                    <w:top w:val="none" w:sz="0" w:space="0" w:color="auto"/>
                    <w:left w:val="none" w:sz="0" w:space="0" w:color="auto"/>
                    <w:bottom w:val="none" w:sz="0" w:space="0" w:color="auto"/>
                    <w:right w:val="none" w:sz="0" w:space="0" w:color="auto"/>
                  </w:divBdr>
                </w:div>
                <w:div w:id="2060207256">
                  <w:marLeft w:val="640"/>
                  <w:marRight w:val="0"/>
                  <w:marTop w:val="0"/>
                  <w:marBottom w:val="0"/>
                  <w:divBdr>
                    <w:top w:val="none" w:sz="0" w:space="0" w:color="auto"/>
                    <w:left w:val="none" w:sz="0" w:space="0" w:color="auto"/>
                    <w:bottom w:val="none" w:sz="0" w:space="0" w:color="auto"/>
                    <w:right w:val="none" w:sz="0" w:space="0" w:color="auto"/>
                  </w:divBdr>
                </w:div>
                <w:div w:id="459543026">
                  <w:marLeft w:val="640"/>
                  <w:marRight w:val="0"/>
                  <w:marTop w:val="0"/>
                  <w:marBottom w:val="0"/>
                  <w:divBdr>
                    <w:top w:val="none" w:sz="0" w:space="0" w:color="auto"/>
                    <w:left w:val="none" w:sz="0" w:space="0" w:color="auto"/>
                    <w:bottom w:val="none" w:sz="0" w:space="0" w:color="auto"/>
                    <w:right w:val="none" w:sz="0" w:space="0" w:color="auto"/>
                  </w:divBdr>
                </w:div>
                <w:div w:id="1154491749">
                  <w:marLeft w:val="640"/>
                  <w:marRight w:val="0"/>
                  <w:marTop w:val="0"/>
                  <w:marBottom w:val="0"/>
                  <w:divBdr>
                    <w:top w:val="none" w:sz="0" w:space="0" w:color="auto"/>
                    <w:left w:val="none" w:sz="0" w:space="0" w:color="auto"/>
                    <w:bottom w:val="none" w:sz="0" w:space="0" w:color="auto"/>
                    <w:right w:val="none" w:sz="0" w:space="0" w:color="auto"/>
                  </w:divBdr>
                </w:div>
                <w:div w:id="2102599496">
                  <w:marLeft w:val="640"/>
                  <w:marRight w:val="0"/>
                  <w:marTop w:val="0"/>
                  <w:marBottom w:val="0"/>
                  <w:divBdr>
                    <w:top w:val="none" w:sz="0" w:space="0" w:color="auto"/>
                    <w:left w:val="none" w:sz="0" w:space="0" w:color="auto"/>
                    <w:bottom w:val="none" w:sz="0" w:space="0" w:color="auto"/>
                    <w:right w:val="none" w:sz="0" w:space="0" w:color="auto"/>
                  </w:divBdr>
                </w:div>
                <w:div w:id="689532916">
                  <w:marLeft w:val="640"/>
                  <w:marRight w:val="0"/>
                  <w:marTop w:val="0"/>
                  <w:marBottom w:val="0"/>
                  <w:divBdr>
                    <w:top w:val="none" w:sz="0" w:space="0" w:color="auto"/>
                    <w:left w:val="none" w:sz="0" w:space="0" w:color="auto"/>
                    <w:bottom w:val="none" w:sz="0" w:space="0" w:color="auto"/>
                    <w:right w:val="none" w:sz="0" w:space="0" w:color="auto"/>
                  </w:divBdr>
                </w:div>
                <w:div w:id="1499691895">
                  <w:marLeft w:val="640"/>
                  <w:marRight w:val="0"/>
                  <w:marTop w:val="0"/>
                  <w:marBottom w:val="0"/>
                  <w:divBdr>
                    <w:top w:val="none" w:sz="0" w:space="0" w:color="auto"/>
                    <w:left w:val="none" w:sz="0" w:space="0" w:color="auto"/>
                    <w:bottom w:val="none" w:sz="0" w:space="0" w:color="auto"/>
                    <w:right w:val="none" w:sz="0" w:space="0" w:color="auto"/>
                  </w:divBdr>
                </w:div>
                <w:div w:id="1414622861">
                  <w:marLeft w:val="640"/>
                  <w:marRight w:val="0"/>
                  <w:marTop w:val="0"/>
                  <w:marBottom w:val="0"/>
                  <w:divBdr>
                    <w:top w:val="none" w:sz="0" w:space="0" w:color="auto"/>
                    <w:left w:val="none" w:sz="0" w:space="0" w:color="auto"/>
                    <w:bottom w:val="none" w:sz="0" w:space="0" w:color="auto"/>
                    <w:right w:val="none" w:sz="0" w:space="0" w:color="auto"/>
                  </w:divBdr>
                </w:div>
                <w:div w:id="2038070520">
                  <w:marLeft w:val="640"/>
                  <w:marRight w:val="0"/>
                  <w:marTop w:val="0"/>
                  <w:marBottom w:val="0"/>
                  <w:divBdr>
                    <w:top w:val="none" w:sz="0" w:space="0" w:color="auto"/>
                    <w:left w:val="none" w:sz="0" w:space="0" w:color="auto"/>
                    <w:bottom w:val="none" w:sz="0" w:space="0" w:color="auto"/>
                    <w:right w:val="none" w:sz="0" w:space="0" w:color="auto"/>
                  </w:divBdr>
                </w:div>
                <w:div w:id="1767000018">
                  <w:marLeft w:val="640"/>
                  <w:marRight w:val="0"/>
                  <w:marTop w:val="0"/>
                  <w:marBottom w:val="0"/>
                  <w:divBdr>
                    <w:top w:val="none" w:sz="0" w:space="0" w:color="auto"/>
                    <w:left w:val="none" w:sz="0" w:space="0" w:color="auto"/>
                    <w:bottom w:val="none" w:sz="0" w:space="0" w:color="auto"/>
                    <w:right w:val="none" w:sz="0" w:space="0" w:color="auto"/>
                  </w:divBdr>
                </w:div>
                <w:div w:id="1947427023">
                  <w:marLeft w:val="640"/>
                  <w:marRight w:val="0"/>
                  <w:marTop w:val="0"/>
                  <w:marBottom w:val="0"/>
                  <w:divBdr>
                    <w:top w:val="none" w:sz="0" w:space="0" w:color="auto"/>
                    <w:left w:val="none" w:sz="0" w:space="0" w:color="auto"/>
                    <w:bottom w:val="none" w:sz="0" w:space="0" w:color="auto"/>
                    <w:right w:val="none" w:sz="0" w:space="0" w:color="auto"/>
                  </w:divBdr>
                </w:div>
                <w:div w:id="272590406">
                  <w:marLeft w:val="640"/>
                  <w:marRight w:val="0"/>
                  <w:marTop w:val="0"/>
                  <w:marBottom w:val="0"/>
                  <w:divBdr>
                    <w:top w:val="none" w:sz="0" w:space="0" w:color="auto"/>
                    <w:left w:val="none" w:sz="0" w:space="0" w:color="auto"/>
                    <w:bottom w:val="none" w:sz="0" w:space="0" w:color="auto"/>
                    <w:right w:val="none" w:sz="0" w:space="0" w:color="auto"/>
                  </w:divBdr>
                </w:div>
                <w:div w:id="1826579126">
                  <w:marLeft w:val="640"/>
                  <w:marRight w:val="0"/>
                  <w:marTop w:val="0"/>
                  <w:marBottom w:val="0"/>
                  <w:divBdr>
                    <w:top w:val="none" w:sz="0" w:space="0" w:color="auto"/>
                    <w:left w:val="none" w:sz="0" w:space="0" w:color="auto"/>
                    <w:bottom w:val="none" w:sz="0" w:space="0" w:color="auto"/>
                    <w:right w:val="none" w:sz="0" w:space="0" w:color="auto"/>
                  </w:divBdr>
                </w:div>
              </w:divsChild>
            </w:div>
            <w:div w:id="1108309526">
              <w:marLeft w:val="0"/>
              <w:marRight w:val="0"/>
              <w:marTop w:val="0"/>
              <w:marBottom w:val="0"/>
              <w:divBdr>
                <w:top w:val="none" w:sz="0" w:space="0" w:color="auto"/>
                <w:left w:val="none" w:sz="0" w:space="0" w:color="auto"/>
                <w:bottom w:val="none" w:sz="0" w:space="0" w:color="auto"/>
                <w:right w:val="none" w:sz="0" w:space="0" w:color="auto"/>
              </w:divBdr>
              <w:divsChild>
                <w:div w:id="902258933">
                  <w:marLeft w:val="640"/>
                  <w:marRight w:val="0"/>
                  <w:marTop w:val="0"/>
                  <w:marBottom w:val="0"/>
                  <w:divBdr>
                    <w:top w:val="none" w:sz="0" w:space="0" w:color="auto"/>
                    <w:left w:val="none" w:sz="0" w:space="0" w:color="auto"/>
                    <w:bottom w:val="none" w:sz="0" w:space="0" w:color="auto"/>
                    <w:right w:val="none" w:sz="0" w:space="0" w:color="auto"/>
                  </w:divBdr>
                </w:div>
                <w:div w:id="1573586083">
                  <w:marLeft w:val="640"/>
                  <w:marRight w:val="0"/>
                  <w:marTop w:val="0"/>
                  <w:marBottom w:val="0"/>
                  <w:divBdr>
                    <w:top w:val="none" w:sz="0" w:space="0" w:color="auto"/>
                    <w:left w:val="none" w:sz="0" w:space="0" w:color="auto"/>
                    <w:bottom w:val="none" w:sz="0" w:space="0" w:color="auto"/>
                    <w:right w:val="none" w:sz="0" w:space="0" w:color="auto"/>
                  </w:divBdr>
                </w:div>
                <w:div w:id="1595748920">
                  <w:marLeft w:val="640"/>
                  <w:marRight w:val="0"/>
                  <w:marTop w:val="0"/>
                  <w:marBottom w:val="0"/>
                  <w:divBdr>
                    <w:top w:val="none" w:sz="0" w:space="0" w:color="auto"/>
                    <w:left w:val="none" w:sz="0" w:space="0" w:color="auto"/>
                    <w:bottom w:val="none" w:sz="0" w:space="0" w:color="auto"/>
                    <w:right w:val="none" w:sz="0" w:space="0" w:color="auto"/>
                  </w:divBdr>
                </w:div>
                <w:div w:id="506678973">
                  <w:marLeft w:val="640"/>
                  <w:marRight w:val="0"/>
                  <w:marTop w:val="0"/>
                  <w:marBottom w:val="0"/>
                  <w:divBdr>
                    <w:top w:val="none" w:sz="0" w:space="0" w:color="auto"/>
                    <w:left w:val="none" w:sz="0" w:space="0" w:color="auto"/>
                    <w:bottom w:val="none" w:sz="0" w:space="0" w:color="auto"/>
                    <w:right w:val="none" w:sz="0" w:space="0" w:color="auto"/>
                  </w:divBdr>
                </w:div>
                <w:div w:id="1739941257">
                  <w:marLeft w:val="640"/>
                  <w:marRight w:val="0"/>
                  <w:marTop w:val="0"/>
                  <w:marBottom w:val="0"/>
                  <w:divBdr>
                    <w:top w:val="none" w:sz="0" w:space="0" w:color="auto"/>
                    <w:left w:val="none" w:sz="0" w:space="0" w:color="auto"/>
                    <w:bottom w:val="none" w:sz="0" w:space="0" w:color="auto"/>
                    <w:right w:val="none" w:sz="0" w:space="0" w:color="auto"/>
                  </w:divBdr>
                </w:div>
                <w:div w:id="2030795600">
                  <w:marLeft w:val="640"/>
                  <w:marRight w:val="0"/>
                  <w:marTop w:val="0"/>
                  <w:marBottom w:val="0"/>
                  <w:divBdr>
                    <w:top w:val="none" w:sz="0" w:space="0" w:color="auto"/>
                    <w:left w:val="none" w:sz="0" w:space="0" w:color="auto"/>
                    <w:bottom w:val="none" w:sz="0" w:space="0" w:color="auto"/>
                    <w:right w:val="none" w:sz="0" w:space="0" w:color="auto"/>
                  </w:divBdr>
                </w:div>
                <w:div w:id="1189221764">
                  <w:marLeft w:val="640"/>
                  <w:marRight w:val="0"/>
                  <w:marTop w:val="0"/>
                  <w:marBottom w:val="0"/>
                  <w:divBdr>
                    <w:top w:val="none" w:sz="0" w:space="0" w:color="auto"/>
                    <w:left w:val="none" w:sz="0" w:space="0" w:color="auto"/>
                    <w:bottom w:val="none" w:sz="0" w:space="0" w:color="auto"/>
                    <w:right w:val="none" w:sz="0" w:space="0" w:color="auto"/>
                  </w:divBdr>
                </w:div>
                <w:div w:id="331876141">
                  <w:marLeft w:val="640"/>
                  <w:marRight w:val="0"/>
                  <w:marTop w:val="0"/>
                  <w:marBottom w:val="0"/>
                  <w:divBdr>
                    <w:top w:val="none" w:sz="0" w:space="0" w:color="auto"/>
                    <w:left w:val="none" w:sz="0" w:space="0" w:color="auto"/>
                    <w:bottom w:val="none" w:sz="0" w:space="0" w:color="auto"/>
                    <w:right w:val="none" w:sz="0" w:space="0" w:color="auto"/>
                  </w:divBdr>
                </w:div>
                <w:div w:id="1377705980">
                  <w:marLeft w:val="640"/>
                  <w:marRight w:val="0"/>
                  <w:marTop w:val="0"/>
                  <w:marBottom w:val="0"/>
                  <w:divBdr>
                    <w:top w:val="none" w:sz="0" w:space="0" w:color="auto"/>
                    <w:left w:val="none" w:sz="0" w:space="0" w:color="auto"/>
                    <w:bottom w:val="none" w:sz="0" w:space="0" w:color="auto"/>
                    <w:right w:val="none" w:sz="0" w:space="0" w:color="auto"/>
                  </w:divBdr>
                </w:div>
                <w:div w:id="476067891">
                  <w:marLeft w:val="640"/>
                  <w:marRight w:val="0"/>
                  <w:marTop w:val="0"/>
                  <w:marBottom w:val="0"/>
                  <w:divBdr>
                    <w:top w:val="none" w:sz="0" w:space="0" w:color="auto"/>
                    <w:left w:val="none" w:sz="0" w:space="0" w:color="auto"/>
                    <w:bottom w:val="none" w:sz="0" w:space="0" w:color="auto"/>
                    <w:right w:val="none" w:sz="0" w:space="0" w:color="auto"/>
                  </w:divBdr>
                </w:div>
                <w:div w:id="204871467">
                  <w:marLeft w:val="640"/>
                  <w:marRight w:val="0"/>
                  <w:marTop w:val="0"/>
                  <w:marBottom w:val="0"/>
                  <w:divBdr>
                    <w:top w:val="none" w:sz="0" w:space="0" w:color="auto"/>
                    <w:left w:val="none" w:sz="0" w:space="0" w:color="auto"/>
                    <w:bottom w:val="none" w:sz="0" w:space="0" w:color="auto"/>
                    <w:right w:val="none" w:sz="0" w:space="0" w:color="auto"/>
                  </w:divBdr>
                </w:div>
                <w:div w:id="2072266004">
                  <w:marLeft w:val="640"/>
                  <w:marRight w:val="0"/>
                  <w:marTop w:val="0"/>
                  <w:marBottom w:val="0"/>
                  <w:divBdr>
                    <w:top w:val="none" w:sz="0" w:space="0" w:color="auto"/>
                    <w:left w:val="none" w:sz="0" w:space="0" w:color="auto"/>
                    <w:bottom w:val="none" w:sz="0" w:space="0" w:color="auto"/>
                    <w:right w:val="none" w:sz="0" w:space="0" w:color="auto"/>
                  </w:divBdr>
                </w:div>
                <w:div w:id="910773476">
                  <w:marLeft w:val="640"/>
                  <w:marRight w:val="0"/>
                  <w:marTop w:val="0"/>
                  <w:marBottom w:val="0"/>
                  <w:divBdr>
                    <w:top w:val="none" w:sz="0" w:space="0" w:color="auto"/>
                    <w:left w:val="none" w:sz="0" w:space="0" w:color="auto"/>
                    <w:bottom w:val="none" w:sz="0" w:space="0" w:color="auto"/>
                    <w:right w:val="none" w:sz="0" w:space="0" w:color="auto"/>
                  </w:divBdr>
                </w:div>
                <w:div w:id="805195907">
                  <w:marLeft w:val="640"/>
                  <w:marRight w:val="0"/>
                  <w:marTop w:val="0"/>
                  <w:marBottom w:val="0"/>
                  <w:divBdr>
                    <w:top w:val="none" w:sz="0" w:space="0" w:color="auto"/>
                    <w:left w:val="none" w:sz="0" w:space="0" w:color="auto"/>
                    <w:bottom w:val="none" w:sz="0" w:space="0" w:color="auto"/>
                    <w:right w:val="none" w:sz="0" w:space="0" w:color="auto"/>
                  </w:divBdr>
                </w:div>
                <w:div w:id="1559366387">
                  <w:marLeft w:val="640"/>
                  <w:marRight w:val="0"/>
                  <w:marTop w:val="0"/>
                  <w:marBottom w:val="0"/>
                  <w:divBdr>
                    <w:top w:val="none" w:sz="0" w:space="0" w:color="auto"/>
                    <w:left w:val="none" w:sz="0" w:space="0" w:color="auto"/>
                    <w:bottom w:val="none" w:sz="0" w:space="0" w:color="auto"/>
                    <w:right w:val="none" w:sz="0" w:space="0" w:color="auto"/>
                  </w:divBdr>
                </w:div>
                <w:div w:id="1144927898">
                  <w:marLeft w:val="640"/>
                  <w:marRight w:val="0"/>
                  <w:marTop w:val="0"/>
                  <w:marBottom w:val="0"/>
                  <w:divBdr>
                    <w:top w:val="none" w:sz="0" w:space="0" w:color="auto"/>
                    <w:left w:val="none" w:sz="0" w:space="0" w:color="auto"/>
                    <w:bottom w:val="none" w:sz="0" w:space="0" w:color="auto"/>
                    <w:right w:val="none" w:sz="0" w:space="0" w:color="auto"/>
                  </w:divBdr>
                </w:div>
                <w:div w:id="80879406">
                  <w:marLeft w:val="640"/>
                  <w:marRight w:val="0"/>
                  <w:marTop w:val="0"/>
                  <w:marBottom w:val="0"/>
                  <w:divBdr>
                    <w:top w:val="none" w:sz="0" w:space="0" w:color="auto"/>
                    <w:left w:val="none" w:sz="0" w:space="0" w:color="auto"/>
                    <w:bottom w:val="none" w:sz="0" w:space="0" w:color="auto"/>
                    <w:right w:val="none" w:sz="0" w:space="0" w:color="auto"/>
                  </w:divBdr>
                </w:div>
                <w:div w:id="1943027767">
                  <w:marLeft w:val="640"/>
                  <w:marRight w:val="0"/>
                  <w:marTop w:val="0"/>
                  <w:marBottom w:val="0"/>
                  <w:divBdr>
                    <w:top w:val="none" w:sz="0" w:space="0" w:color="auto"/>
                    <w:left w:val="none" w:sz="0" w:space="0" w:color="auto"/>
                    <w:bottom w:val="none" w:sz="0" w:space="0" w:color="auto"/>
                    <w:right w:val="none" w:sz="0" w:space="0" w:color="auto"/>
                  </w:divBdr>
                </w:div>
                <w:div w:id="1480465997">
                  <w:marLeft w:val="640"/>
                  <w:marRight w:val="0"/>
                  <w:marTop w:val="0"/>
                  <w:marBottom w:val="0"/>
                  <w:divBdr>
                    <w:top w:val="none" w:sz="0" w:space="0" w:color="auto"/>
                    <w:left w:val="none" w:sz="0" w:space="0" w:color="auto"/>
                    <w:bottom w:val="none" w:sz="0" w:space="0" w:color="auto"/>
                    <w:right w:val="none" w:sz="0" w:space="0" w:color="auto"/>
                  </w:divBdr>
                </w:div>
                <w:div w:id="548691702">
                  <w:marLeft w:val="640"/>
                  <w:marRight w:val="0"/>
                  <w:marTop w:val="0"/>
                  <w:marBottom w:val="0"/>
                  <w:divBdr>
                    <w:top w:val="none" w:sz="0" w:space="0" w:color="auto"/>
                    <w:left w:val="none" w:sz="0" w:space="0" w:color="auto"/>
                    <w:bottom w:val="none" w:sz="0" w:space="0" w:color="auto"/>
                    <w:right w:val="none" w:sz="0" w:space="0" w:color="auto"/>
                  </w:divBdr>
                </w:div>
              </w:divsChild>
            </w:div>
            <w:div w:id="1649624773">
              <w:marLeft w:val="0"/>
              <w:marRight w:val="0"/>
              <w:marTop w:val="0"/>
              <w:marBottom w:val="0"/>
              <w:divBdr>
                <w:top w:val="none" w:sz="0" w:space="0" w:color="auto"/>
                <w:left w:val="none" w:sz="0" w:space="0" w:color="auto"/>
                <w:bottom w:val="none" w:sz="0" w:space="0" w:color="auto"/>
                <w:right w:val="none" w:sz="0" w:space="0" w:color="auto"/>
              </w:divBdr>
              <w:divsChild>
                <w:div w:id="1194343529">
                  <w:marLeft w:val="640"/>
                  <w:marRight w:val="0"/>
                  <w:marTop w:val="0"/>
                  <w:marBottom w:val="0"/>
                  <w:divBdr>
                    <w:top w:val="none" w:sz="0" w:space="0" w:color="auto"/>
                    <w:left w:val="none" w:sz="0" w:space="0" w:color="auto"/>
                    <w:bottom w:val="none" w:sz="0" w:space="0" w:color="auto"/>
                    <w:right w:val="none" w:sz="0" w:space="0" w:color="auto"/>
                  </w:divBdr>
                </w:div>
                <w:div w:id="540678465">
                  <w:marLeft w:val="640"/>
                  <w:marRight w:val="0"/>
                  <w:marTop w:val="0"/>
                  <w:marBottom w:val="0"/>
                  <w:divBdr>
                    <w:top w:val="none" w:sz="0" w:space="0" w:color="auto"/>
                    <w:left w:val="none" w:sz="0" w:space="0" w:color="auto"/>
                    <w:bottom w:val="none" w:sz="0" w:space="0" w:color="auto"/>
                    <w:right w:val="none" w:sz="0" w:space="0" w:color="auto"/>
                  </w:divBdr>
                </w:div>
                <w:div w:id="1287354872">
                  <w:marLeft w:val="640"/>
                  <w:marRight w:val="0"/>
                  <w:marTop w:val="0"/>
                  <w:marBottom w:val="0"/>
                  <w:divBdr>
                    <w:top w:val="none" w:sz="0" w:space="0" w:color="auto"/>
                    <w:left w:val="none" w:sz="0" w:space="0" w:color="auto"/>
                    <w:bottom w:val="none" w:sz="0" w:space="0" w:color="auto"/>
                    <w:right w:val="none" w:sz="0" w:space="0" w:color="auto"/>
                  </w:divBdr>
                </w:div>
                <w:div w:id="1776293333">
                  <w:marLeft w:val="640"/>
                  <w:marRight w:val="0"/>
                  <w:marTop w:val="0"/>
                  <w:marBottom w:val="0"/>
                  <w:divBdr>
                    <w:top w:val="none" w:sz="0" w:space="0" w:color="auto"/>
                    <w:left w:val="none" w:sz="0" w:space="0" w:color="auto"/>
                    <w:bottom w:val="none" w:sz="0" w:space="0" w:color="auto"/>
                    <w:right w:val="none" w:sz="0" w:space="0" w:color="auto"/>
                  </w:divBdr>
                </w:div>
                <w:div w:id="208340688">
                  <w:marLeft w:val="640"/>
                  <w:marRight w:val="0"/>
                  <w:marTop w:val="0"/>
                  <w:marBottom w:val="0"/>
                  <w:divBdr>
                    <w:top w:val="none" w:sz="0" w:space="0" w:color="auto"/>
                    <w:left w:val="none" w:sz="0" w:space="0" w:color="auto"/>
                    <w:bottom w:val="none" w:sz="0" w:space="0" w:color="auto"/>
                    <w:right w:val="none" w:sz="0" w:space="0" w:color="auto"/>
                  </w:divBdr>
                </w:div>
                <w:div w:id="2072001109">
                  <w:marLeft w:val="640"/>
                  <w:marRight w:val="0"/>
                  <w:marTop w:val="0"/>
                  <w:marBottom w:val="0"/>
                  <w:divBdr>
                    <w:top w:val="none" w:sz="0" w:space="0" w:color="auto"/>
                    <w:left w:val="none" w:sz="0" w:space="0" w:color="auto"/>
                    <w:bottom w:val="none" w:sz="0" w:space="0" w:color="auto"/>
                    <w:right w:val="none" w:sz="0" w:space="0" w:color="auto"/>
                  </w:divBdr>
                </w:div>
                <w:div w:id="1154563258">
                  <w:marLeft w:val="640"/>
                  <w:marRight w:val="0"/>
                  <w:marTop w:val="0"/>
                  <w:marBottom w:val="0"/>
                  <w:divBdr>
                    <w:top w:val="none" w:sz="0" w:space="0" w:color="auto"/>
                    <w:left w:val="none" w:sz="0" w:space="0" w:color="auto"/>
                    <w:bottom w:val="none" w:sz="0" w:space="0" w:color="auto"/>
                    <w:right w:val="none" w:sz="0" w:space="0" w:color="auto"/>
                  </w:divBdr>
                </w:div>
                <w:div w:id="582103734">
                  <w:marLeft w:val="640"/>
                  <w:marRight w:val="0"/>
                  <w:marTop w:val="0"/>
                  <w:marBottom w:val="0"/>
                  <w:divBdr>
                    <w:top w:val="none" w:sz="0" w:space="0" w:color="auto"/>
                    <w:left w:val="none" w:sz="0" w:space="0" w:color="auto"/>
                    <w:bottom w:val="none" w:sz="0" w:space="0" w:color="auto"/>
                    <w:right w:val="none" w:sz="0" w:space="0" w:color="auto"/>
                  </w:divBdr>
                </w:div>
                <w:div w:id="1241716106">
                  <w:marLeft w:val="640"/>
                  <w:marRight w:val="0"/>
                  <w:marTop w:val="0"/>
                  <w:marBottom w:val="0"/>
                  <w:divBdr>
                    <w:top w:val="none" w:sz="0" w:space="0" w:color="auto"/>
                    <w:left w:val="none" w:sz="0" w:space="0" w:color="auto"/>
                    <w:bottom w:val="none" w:sz="0" w:space="0" w:color="auto"/>
                    <w:right w:val="none" w:sz="0" w:space="0" w:color="auto"/>
                  </w:divBdr>
                </w:div>
                <w:div w:id="1415081466">
                  <w:marLeft w:val="640"/>
                  <w:marRight w:val="0"/>
                  <w:marTop w:val="0"/>
                  <w:marBottom w:val="0"/>
                  <w:divBdr>
                    <w:top w:val="none" w:sz="0" w:space="0" w:color="auto"/>
                    <w:left w:val="none" w:sz="0" w:space="0" w:color="auto"/>
                    <w:bottom w:val="none" w:sz="0" w:space="0" w:color="auto"/>
                    <w:right w:val="none" w:sz="0" w:space="0" w:color="auto"/>
                  </w:divBdr>
                </w:div>
                <w:div w:id="193157857">
                  <w:marLeft w:val="640"/>
                  <w:marRight w:val="0"/>
                  <w:marTop w:val="0"/>
                  <w:marBottom w:val="0"/>
                  <w:divBdr>
                    <w:top w:val="none" w:sz="0" w:space="0" w:color="auto"/>
                    <w:left w:val="none" w:sz="0" w:space="0" w:color="auto"/>
                    <w:bottom w:val="none" w:sz="0" w:space="0" w:color="auto"/>
                    <w:right w:val="none" w:sz="0" w:space="0" w:color="auto"/>
                  </w:divBdr>
                </w:div>
                <w:div w:id="288630634">
                  <w:marLeft w:val="640"/>
                  <w:marRight w:val="0"/>
                  <w:marTop w:val="0"/>
                  <w:marBottom w:val="0"/>
                  <w:divBdr>
                    <w:top w:val="none" w:sz="0" w:space="0" w:color="auto"/>
                    <w:left w:val="none" w:sz="0" w:space="0" w:color="auto"/>
                    <w:bottom w:val="none" w:sz="0" w:space="0" w:color="auto"/>
                    <w:right w:val="none" w:sz="0" w:space="0" w:color="auto"/>
                  </w:divBdr>
                </w:div>
                <w:div w:id="114758849">
                  <w:marLeft w:val="640"/>
                  <w:marRight w:val="0"/>
                  <w:marTop w:val="0"/>
                  <w:marBottom w:val="0"/>
                  <w:divBdr>
                    <w:top w:val="none" w:sz="0" w:space="0" w:color="auto"/>
                    <w:left w:val="none" w:sz="0" w:space="0" w:color="auto"/>
                    <w:bottom w:val="none" w:sz="0" w:space="0" w:color="auto"/>
                    <w:right w:val="none" w:sz="0" w:space="0" w:color="auto"/>
                  </w:divBdr>
                </w:div>
                <w:div w:id="2087533575">
                  <w:marLeft w:val="640"/>
                  <w:marRight w:val="0"/>
                  <w:marTop w:val="0"/>
                  <w:marBottom w:val="0"/>
                  <w:divBdr>
                    <w:top w:val="none" w:sz="0" w:space="0" w:color="auto"/>
                    <w:left w:val="none" w:sz="0" w:space="0" w:color="auto"/>
                    <w:bottom w:val="none" w:sz="0" w:space="0" w:color="auto"/>
                    <w:right w:val="none" w:sz="0" w:space="0" w:color="auto"/>
                  </w:divBdr>
                </w:div>
                <w:div w:id="1617714952">
                  <w:marLeft w:val="640"/>
                  <w:marRight w:val="0"/>
                  <w:marTop w:val="0"/>
                  <w:marBottom w:val="0"/>
                  <w:divBdr>
                    <w:top w:val="none" w:sz="0" w:space="0" w:color="auto"/>
                    <w:left w:val="none" w:sz="0" w:space="0" w:color="auto"/>
                    <w:bottom w:val="none" w:sz="0" w:space="0" w:color="auto"/>
                    <w:right w:val="none" w:sz="0" w:space="0" w:color="auto"/>
                  </w:divBdr>
                </w:div>
                <w:div w:id="537477069">
                  <w:marLeft w:val="640"/>
                  <w:marRight w:val="0"/>
                  <w:marTop w:val="0"/>
                  <w:marBottom w:val="0"/>
                  <w:divBdr>
                    <w:top w:val="none" w:sz="0" w:space="0" w:color="auto"/>
                    <w:left w:val="none" w:sz="0" w:space="0" w:color="auto"/>
                    <w:bottom w:val="none" w:sz="0" w:space="0" w:color="auto"/>
                    <w:right w:val="none" w:sz="0" w:space="0" w:color="auto"/>
                  </w:divBdr>
                </w:div>
                <w:div w:id="1251282306">
                  <w:marLeft w:val="640"/>
                  <w:marRight w:val="0"/>
                  <w:marTop w:val="0"/>
                  <w:marBottom w:val="0"/>
                  <w:divBdr>
                    <w:top w:val="none" w:sz="0" w:space="0" w:color="auto"/>
                    <w:left w:val="none" w:sz="0" w:space="0" w:color="auto"/>
                    <w:bottom w:val="none" w:sz="0" w:space="0" w:color="auto"/>
                    <w:right w:val="none" w:sz="0" w:space="0" w:color="auto"/>
                  </w:divBdr>
                </w:div>
                <w:div w:id="86972982">
                  <w:marLeft w:val="640"/>
                  <w:marRight w:val="0"/>
                  <w:marTop w:val="0"/>
                  <w:marBottom w:val="0"/>
                  <w:divBdr>
                    <w:top w:val="none" w:sz="0" w:space="0" w:color="auto"/>
                    <w:left w:val="none" w:sz="0" w:space="0" w:color="auto"/>
                    <w:bottom w:val="none" w:sz="0" w:space="0" w:color="auto"/>
                    <w:right w:val="none" w:sz="0" w:space="0" w:color="auto"/>
                  </w:divBdr>
                </w:div>
                <w:div w:id="1252273176">
                  <w:marLeft w:val="640"/>
                  <w:marRight w:val="0"/>
                  <w:marTop w:val="0"/>
                  <w:marBottom w:val="0"/>
                  <w:divBdr>
                    <w:top w:val="none" w:sz="0" w:space="0" w:color="auto"/>
                    <w:left w:val="none" w:sz="0" w:space="0" w:color="auto"/>
                    <w:bottom w:val="none" w:sz="0" w:space="0" w:color="auto"/>
                    <w:right w:val="none" w:sz="0" w:space="0" w:color="auto"/>
                  </w:divBdr>
                </w:div>
                <w:div w:id="714235297">
                  <w:marLeft w:val="640"/>
                  <w:marRight w:val="0"/>
                  <w:marTop w:val="0"/>
                  <w:marBottom w:val="0"/>
                  <w:divBdr>
                    <w:top w:val="none" w:sz="0" w:space="0" w:color="auto"/>
                    <w:left w:val="none" w:sz="0" w:space="0" w:color="auto"/>
                    <w:bottom w:val="none" w:sz="0" w:space="0" w:color="auto"/>
                    <w:right w:val="none" w:sz="0" w:space="0" w:color="auto"/>
                  </w:divBdr>
                </w:div>
              </w:divsChild>
            </w:div>
            <w:div w:id="273289800">
              <w:marLeft w:val="0"/>
              <w:marRight w:val="0"/>
              <w:marTop w:val="0"/>
              <w:marBottom w:val="0"/>
              <w:divBdr>
                <w:top w:val="none" w:sz="0" w:space="0" w:color="auto"/>
                <w:left w:val="none" w:sz="0" w:space="0" w:color="auto"/>
                <w:bottom w:val="none" w:sz="0" w:space="0" w:color="auto"/>
                <w:right w:val="none" w:sz="0" w:space="0" w:color="auto"/>
              </w:divBdr>
              <w:divsChild>
                <w:div w:id="734353403">
                  <w:marLeft w:val="640"/>
                  <w:marRight w:val="0"/>
                  <w:marTop w:val="0"/>
                  <w:marBottom w:val="0"/>
                  <w:divBdr>
                    <w:top w:val="none" w:sz="0" w:space="0" w:color="auto"/>
                    <w:left w:val="none" w:sz="0" w:space="0" w:color="auto"/>
                    <w:bottom w:val="none" w:sz="0" w:space="0" w:color="auto"/>
                    <w:right w:val="none" w:sz="0" w:space="0" w:color="auto"/>
                  </w:divBdr>
                </w:div>
                <w:div w:id="510996330">
                  <w:marLeft w:val="640"/>
                  <w:marRight w:val="0"/>
                  <w:marTop w:val="0"/>
                  <w:marBottom w:val="0"/>
                  <w:divBdr>
                    <w:top w:val="none" w:sz="0" w:space="0" w:color="auto"/>
                    <w:left w:val="none" w:sz="0" w:space="0" w:color="auto"/>
                    <w:bottom w:val="none" w:sz="0" w:space="0" w:color="auto"/>
                    <w:right w:val="none" w:sz="0" w:space="0" w:color="auto"/>
                  </w:divBdr>
                </w:div>
                <w:div w:id="2013559204">
                  <w:marLeft w:val="640"/>
                  <w:marRight w:val="0"/>
                  <w:marTop w:val="0"/>
                  <w:marBottom w:val="0"/>
                  <w:divBdr>
                    <w:top w:val="none" w:sz="0" w:space="0" w:color="auto"/>
                    <w:left w:val="none" w:sz="0" w:space="0" w:color="auto"/>
                    <w:bottom w:val="none" w:sz="0" w:space="0" w:color="auto"/>
                    <w:right w:val="none" w:sz="0" w:space="0" w:color="auto"/>
                  </w:divBdr>
                </w:div>
                <w:div w:id="383332559">
                  <w:marLeft w:val="640"/>
                  <w:marRight w:val="0"/>
                  <w:marTop w:val="0"/>
                  <w:marBottom w:val="0"/>
                  <w:divBdr>
                    <w:top w:val="none" w:sz="0" w:space="0" w:color="auto"/>
                    <w:left w:val="none" w:sz="0" w:space="0" w:color="auto"/>
                    <w:bottom w:val="none" w:sz="0" w:space="0" w:color="auto"/>
                    <w:right w:val="none" w:sz="0" w:space="0" w:color="auto"/>
                  </w:divBdr>
                </w:div>
                <w:div w:id="197933632">
                  <w:marLeft w:val="640"/>
                  <w:marRight w:val="0"/>
                  <w:marTop w:val="0"/>
                  <w:marBottom w:val="0"/>
                  <w:divBdr>
                    <w:top w:val="none" w:sz="0" w:space="0" w:color="auto"/>
                    <w:left w:val="none" w:sz="0" w:space="0" w:color="auto"/>
                    <w:bottom w:val="none" w:sz="0" w:space="0" w:color="auto"/>
                    <w:right w:val="none" w:sz="0" w:space="0" w:color="auto"/>
                  </w:divBdr>
                </w:div>
                <w:div w:id="555627740">
                  <w:marLeft w:val="640"/>
                  <w:marRight w:val="0"/>
                  <w:marTop w:val="0"/>
                  <w:marBottom w:val="0"/>
                  <w:divBdr>
                    <w:top w:val="none" w:sz="0" w:space="0" w:color="auto"/>
                    <w:left w:val="none" w:sz="0" w:space="0" w:color="auto"/>
                    <w:bottom w:val="none" w:sz="0" w:space="0" w:color="auto"/>
                    <w:right w:val="none" w:sz="0" w:space="0" w:color="auto"/>
                  </w:divBdr>
                </w:div>
                <w:div w:id="588734853">
                  <w:marLeft w:val="640"/>
                  <w:marRight w:val="0"/>
                  <w:marTop w:val="0"/>
                  <w:marBottom w:val="0"/>
                  <w:divBdr>
                    <w:top w:val="none" w:sz="0" w:space="0" w:color="auto"/>
                    <w:left w:val="none" w:sz="0" w:space="0" w:color="auto"/>
                    <w:bottom w:val="none" w:sz="0" w:space="0" w:color="auto"/>
                    <w:right w:val="none" w:sz="0" w:space="0" w:color="auto"/>
                  </w:divBdr>
                </w:div>
                <w:div w:id="2116705903">
                  <w:marLeft w:val="640"/>
                  <w:marRight w:val="0"/>
                  <w:marTop w:val="0"/>
                  <w:marBottom w:val="0"/>
                  <w:divBdr>
                    <w:top w:val="none" w:sz="0" w:space="0" w:color="auto"/>
                    <w:left w:val="none" w:sz="0" w:space="0" w:color="auto"/>
                    <w:bottom w:val="none" w:sz="0" w:space="0" w:color="auto"/>
                    <w:right w:val="none" w:sz="0" w:space="0" w:color="auto"/>
                  </w:divBdr>
                </w:div>
                <w:div w:id="378407885">
                  <w:marLeft w:val="640"/>
                  <w:marRight w:val="0"/>
                  <w:marTop w:val="0"/>
                  <w:marBottom w:val="0"/>
                  <w:divBdr>
                    <w:top w:val="none" w:sz="0" w:space="0" w:color="auto"/>
                    <w:left w:val="none" w:sz="0" w:space="0" w:color="auto"/>
                    <w:bottom w:val="none" w:sz="0" w:space="0" w:color="auto"/>
                    <w:right w:val="none" w:sz="0" w:space="0" w:color="auto"/>
                  </w:divBdr>
                </w:div>
                <w:div w:id="2136365126">
                  <w:marLeft w:val="640"/>
                  <w:marRight w:val="0"/>
                  <w:marTop w:val="0"/>
                  <w:marBottom w:val="0"/>
                  <w:divBdr>
                    <w:top w:val="none" w:sz="0" w:space="0" w:color="auto"/>
                    <w:left w:val="none" w:sz="0" w:space="0" w:color="auto"/>
                    <w:bottom w:val="none" w:sz="0" w:space="0" w:color="auto"/>
                    <w:right w:val="none" w:sz="0" w:space="0" w:color="auto"/>
                  </w:divBdr>
                </w:div>
                <w:div w:id="1075972819">
                  <w:marLeft w:val="640"/>
                  <w:marRight w:val="0"/>
                  <w:marTop w:val="0"/>
                  <w:marBottom w:val="0"/>
                  <w:divBdr>
                    <w:top w:val="none" w:sz="0" w:space="0" w:color="auto"/>
                    <w:left w:val="none" w:sz="0" w:space="0" w:color="auto"/>
                    <w:bottom w:val="none" w:sz="0" w:space="0" w:color="auto"/>
                    <w:right w:val="none" w:sz="0" w:space="0" w:color="auto"/>
                  </w:divBdr>
                </w:div>
                <w:div w:id="516161628">
                  <w:marLeft w:val="640"/>
                  <w:marRight w:val="0"/>
                  <w:marTop w:val="0"/>
                  <w:marBottom w:val="0"/>
                  <w:divBdr>
                    <w:top w:val="none" w:sz="0" w:space="0" w:color="auto"/>
                    <w:left w:val="none" w:sz="0" w:space="0" w:color="auto"/>
                    <w:bottom w:val="none" w:sz="0" w:space="0" w:color="auto"/>
                    <w:right w:val="none" w:sz="0" w:space="0" w:color="auto"/>
                  </w:divBdr>
                </w:div>
                <w:div w:id="981546040">
                  <w:marLeft w:val="640"/>
                  <w:marRight w:val="0"/>
                  <w:marTop w:val="0"/>
                  <w:marBottom w:val="0"/>
                  <w:divBdr>
                    <w:top w:val="none" w:sz="0" w:space="0" w:color="auto"/>
                    <w:left w:val="none" w:sz="0" w:space="0" w:color="auto"/>
                    <w:bottom w:val="none" w:sz="0" w:space="0" w:color="auto"/>
                    <w:right w:val="none" w:sz="0" w:space="0" w:color="auto"/>
                  </w:divBdr>
                </w:div>
                <w:div w:id="1398748248">
                  <w:marLeft w:val="640"/>
                  <w:marRight w:val="0"/>
                  <w:marTop w:val="0"/>
                  <w:marBottom w:val="0"/>
                  <w:divBdr>
                    <w:top w:val="none" w:sz="0" w:space="0" w:color="auto"/>
                    <w:left w:val="none" w:sz="0" w:space="0" w:color="auto"/>
                    <w:bottom w:val="none" w:sz="0" w:space="0" w:color="auto"/>
                    <w:right w:val="none" w:sz="0" w:space="0" w:color="auto"/>
                  </w:divBdr>
                </w:div>
                <w:div w:id="1248081346">
                  <w:marLeft w:val="640"/>
                  <w:marRight w:val="0"/>
                  <w:marTop w:val="0"/>
                  <w:marBottom w:val="0"/>
                  <w:divBdr>
                    <w:top w:val="none" w:sz="0" w:space="0" w:color="auto"/>
                    <w:left w:val="none" w:sz="0" w:space="0" w:color="auto"/>
                    <w:bottom w:val="none" w:sz="0" w:space="0" w:color="auto"/>
                    <w:right w:val="none" w:sz="0" w:space="0" w:color="auto"/>
                  </w:divBdr>
                </w:div>
                <w:div w:id="1888490473">
                  <w:marLeft w:val="640"/>
                  <w:marRight w:val="0"/>
                  <w:marTop w:val="0"/>
                  <w:marBottom w:val="0"/>
                  <w:divBdr>
                    <w:top w:val="none" w:sz="0" w:space="0" w:color="auto"/>
                    <w:left w:val="none" w:sz="0" w:space="0" w:color="auto"/>
                    <w:bottom w:val="none" w:sz="0" w:space="0" w:color="auto"/>
                    <w:right w:val="none" w:sz="0" w:space="0" w:color="auto"/>
                  </w:divBdr>
                </w:div>
                <w:div w:id="1164857371">
                  <w:marLeft w:val="640"/>
                  <w:marRight w:val="0"/>
                  <w:marTop w:val="0"/>
                  <w:marBottom w:val="0"/>
                  <w:divBdr>
                    <w:top w:val="none" w:sz="0" w:space="0" w:color="auto"/>
                    <w:left w:val="none" w:sz="0" w:space="0" w:color="auto"/>
                    <w:bottom w:val="none" w:sz="0" w:space="0" w:color="auto"/>
                    <w:right w:val="none" w:sz="0" w:space="0" w:color="auto"/>
                  </w:divBdr>
                </w:div>
                <w:div w:id="983505636">
                  <w:marLeft w:val="640"/>
                  <w:marRight w:val="0"/>
                  <w:marTop w:val="0"/>
                  <w:marBottom w:val="0"/>
                  <w:divBdr>
                    <w:top w:val="none" w:sz="0" w:space="0" w:color="auto"/>
                    <w:left w:val="none" w:sz="0" w:space="0" w:color="auto"/>
                    <w:bottom w:val="none" w:sz="0" w:space="0" w:color="auto"/>
                    <w:right w:val="none" w:sz="0" w:space="0" w:color="auto"/>
                  </w:divBdr>
                </w:div>
                <w:div w:id="630130713">
                  <w:marLeft w:val="640"/>
                  <w:marRight w:val="0"/>
                  <w:marTop w:val="0"/>
                  <w:marBottom w:val="0"/>
                  <w:divBdr>
                    <w:top w:val="none" w:sz="0" w:space="0" w:color="auto"/>
                    <w:left w:val="none" w:sz="0" w:space="0" w:color="auto"/>
                    <w:bottom w:val="none" w:sz="0" w:space="0" w:color="auto"/>
                    <w:right w:val="none" w:sz="0" w:space="0" w:color="auto"/>
                  </w:divBdr>
                </w:div>
                <w:div w:id="1297680743">
                  <w:marLeft w:val="640"/>
                  <w:marRight w:val="0"/>
                  <w:marTop w:val="0"/>
                  <w:marBottom w:val="0"/>
                  <w:divBdr>
                    <w:top w:val="none" w:sz="0" w:space="0" w:color="auto"/>
                    <w:left w:val="none" w:sz="0" w:space="0" w:color="auto"/>
                    <w:bottom w:val="none" w:sz="0" w:space="0" w:color="auto"/>
                    <w:right w:val="none" w:sz="0" w:space="0" w:color="auto"/>
                  </w:divBdr>
                </w:div>
              </w:divsChild>
            </w:div>
            <w:div w:id="1432895897">
              <w:marLeft w:val="0"/>
              <w:marRight w:val="0"/>
              <w:marTop w:val="0"/>
              <w:marBottom w:val="0"/>
              <w:divBdr>
                <w:top w:val="none" w:sz="0" w:space="0" w:color="auto"/>
                <w:left w:val="none" w:sz="0" w:space="0" w:color="auto"/>
                <w:bottom w:val="none" w:sz="0" w:space="0" w:color="auto"/>
                <w:right w:val="none" w:sz="0" w:space="0" w:color="auto"/>
              </w:divBdr>
              <w:divsChild>
                <w:div w:id="1122114964">
                  <w:marLeft w:val="640"/>
                  <w:marRight w:val="0"/>
                  <w:marTop w:val="0"/>
                  <w:marBottom w:val="0"/>
                  <w:divBdr>
                    <w:top w:val="none" w:sz="0" w:space="0" w:color="auto"/>
                    <w:left w:val="none" w:sz="0" w:space="0" w:color="auto"/>
                    <w:bottom w:val="none" w:sz="0" w:space="0" w:color="auto"/>
                    <w:right w:val="none" w:sz="0" w:space="0" w:color="auto"/>
                  </w:divBdr>
                </w:div>
                <w:div w:id="1217670275">
                  <w:marLeft w:val="640"/>
                  <w:marRight w:val="0"/>
                  <w:marTop w:val="0"/>
                  <w:marBottom w:val="0"/>
                  <w:divBdr>
                    <w:top w:val="none" w:sz="0" w:space="0" w:color="auto"/>
                    <w:left w:val="none" w:sz="0" w:space="0" w:color="auto"/>
                    <w:bottom w:val="none" w:sz="0" w:space="0" w:color="auto"/>
                    <w:right w:val="none" w:sz="0" w:space="0" w:color="auto"/>
                  </w:divBdr>
                </w:div>
                <w:div w:id="813257016">
                  <w:marLeft w:val="640"/>
                  <w:marRight w:val="0"/>
                  <w:marTop w:val="0"/>
                  <w:marBottom w:val="0"/>
                  <w:divBdr>
                    <w:top w:val="none" w:sz="0" w:space="0" w:color="auto"/>
                    <w:left w:val="none" w:sz="0" w:space="0" w:color="auto"/>
                    <w:bottom w:val="none" w:sz="0" w:space="0" w:color="auto"/>
                    <w:right w:val="none" w:sz="0" w:space="0" w:color="auto"/>
                  </w:divBdr>
                </w:div>
                <w:div w:id="1431008145">
                  <w:marLeft w:val="640"/>
                  <w:marRight w:val="0"/>
                  <w:marTop w:val="0"/>
                  <w:marBottom w:val="0"/>
                  <w:divBdr>
                    <w:top w:val="none" w:sz="0" w:space="0" w:color="auto"/>
                    <w:left w:val="none" w:sz="0" w:space="0" w:color="auto"/>
                    <w:bottom w:val="none" w:sz="0" w:space="0" w:color="auto"/>
                    <w:right w:val="none" w:sz="0" w:space="0" w:color="auto"/>
                  </w:divBdr>
                </w:div>
                <w:div w:id="700781245">
                  <w:marLeft w:val="640"/>
                  <w:marRight w:val="0"/>
                  <w:marTop w:val="0"/>
                  <w:marBottom w:val="0"/>
                  <w:divBdr>
                    <w:top w:val="none" w:sz="0" w:space="0" w:color="auto"/>
                    <w:left w:val="none" w:sz="0" w:space="0" w:color="auto"/>
                    <w:bottom w:val="none" w:sz="0" w:space="0" w:color="auto"/>
                    <w:right w:val="none" w:sz="0" w:space="0" w:color="auto"/>
                  </w:divBdr>
                </w:div>
                <w:div w:id="853570830">
                  <w:marLeft w:val="640"/>
                  <w:marRight w:val="0"/>
                  <w:marTop w:val="0"/>
                  <w:marBottom w:val="0"/>
                  <w:divBdr>
                    <w:top w:val="none" w:sz="0" w:space="0" w:color="auto"/>
                    <w:left w:val="none" w:sz="0" w:space="0" w:color="auto"/>
                    <w:bottom w:val="none" w:sz="0" w:space="0" w:color="auto"/>
                    <w:right w:val="none" w:sz="0" w:space="0" w:color="auto"/>
                  </w:divBdr>
                </w:div>
                <w:div w:id="656224944">
                  <w:marLeft w:val="640"/>
                  <w:marRight w:val="0"/>
                  <w:marTop w:val="0"/>
                  <w:marBottom w:val="0"/>
                  <w:divBdr>
                    <w:top w:val="none" w:sz="0" w:space="0" w:color="auto"/>
                    <w:left w:val="none" w:sz="0" w:space="0" w:color="auto"/>
                    <w:bottom w:val="none" w:sz="0" w:space="0" w:color="auto"/>
                    <w:right w:val="none" w:sz="0" w:space="0" w:color="auto"/>
                  </w:divBdr>
                </w:div>
                <w:div w:id="985745393">
                  <w:marLeft w:val="640"/>
                  <w:marRight w:val="0"/>
                  <w:marTop w:val="0"/>
                  <w:marBottom w:val="0"/>
                  <w:divBdr>
                    <w:top w:val="none" w:sz="0" w:space="0" w:color="auto"/>
                    <w:left w:val="none" w:sz="0" w:space="0" w:color="auto"/>
                    <w:bottom w:val="none" w:sz="0" w:space="0" w:color="auto"/>
                    <w:right w:val="none" w:sz="0" w:space="0" w:color="auto"/>
                  </w:divBdr>
                </w:div>
                <w:div w:id="945695963">
                  <w:marLeft w:val="640"/>
                  <w:marRight w:val="0"/>
                  <w:marTop w:val="0"/>
                  <w:marBottom w:val="0"/>
                  <w:divBdr>
                    <w:top w:val="none" w:sz="0" w:space="0" w:color="auto"/>
                    <w:left w:val="none" w:sz="0" w:space="0" w:color="auto"/>
                    <w:bottom w:val="none" w:sz="0" w:space="0" w:color="auto"/>
                    <w:right w:val="none" w:sz="0" w:space="0" w:color="auto"/>
                  </w:divBdr>
                </w:div>
                <w:div w:id="1075974032">
                  <w:marLeft w:val="640"/>
                  <w:marRight w:val="0"/>
                  <w:marTop w:val="0"/>
                  <w:marBottom w:val="0"/>
                  <w:divBdr>
                    <w:top w:val="none" w:sz="0" w:space="0" w:color="auto"/>
                    <w:left w:val="none" w:sz="0" w:space="0" w:color="auto"/>
                    <w:bottom w:val="none" w:sz="0" w:space="0" w:color="auto"/>
                    <w:right w:val="none" w:sz="0" w:space="0" w:color="auto"/>
                  </w:divBdr>
                </w:div>
                <w:div w:id="1221861302">
                  <w:marLeft w:val="640"/>
                  <w:marRight w:val="0"/>
                  <w:marTop w:val="0"/>
                  <w:marBottom w:val="0"/>
                  <w:divBdr>
                    <w:top w:val="none" w:sz="0" w:space="0" w:color="auto"/>
                    <w:left w:val="none" w:sz="0" w:space="0" w:color="auto"/>
                    <w:bottom w:val="none" w:sz="0" w:space="0" w:color="auto"/>
                    <w:right w:val="none" w:sz="0" w:space="0" w:color="auto"/>
                  </w:divBdr>
                </w:div>
                <w:div w:id="733702296">
                  <w:marLeft w:val="640"/>
                  <w:marRight w:val="0"/>
                  <w:marTop w:val="0"/>
                  <w:marBottom w:val="0"/>
                  <w:divBdr>
                    <w:top w:val="none" w:sz="0" w:space="0" w:color="auto"/>
                    <w:left w:val="none" w:sz="0" w:space="0" w:color="auto"/>
                    <w:bottom w:val="none" w:sz="0" w:space="0" w:color="auto"/>
                    <w:right w:val="none" w:sz="0" w:space="0" w:color="auto"/>
                  </w:divBdr>
                </w:div>
                <w:div w:id="525487058">
                  <w:marLeft w:val="640"/>
                  <w:marRight w:val="0"/>
                  <w:marTop w:val="0"/>
                  <w:marBottom w:val="0"/>
                  <w:divBdr>
                    <w:top w:val="none" w:sz="0" w:space="0" w:color="auto"/>
                    <w:left w:val="none" w:sz="0" w:space="0" w:color="auto"/>
                    <w:bottom w:val="none" w:sz="0" w:space="0" w:color="auto"/>
                    <w:right w:val="none" w:sz="0" w:space="0" w:color="auto"/>
                  </w:divBdr>
                </w:div>
                <w:div w:id="814495400">
                  <w:marLeft w:val="640"/>
                  <w:marRight w:val="0"/>
                  <w:marTop w:val="0"/>
                  <w:marBottom w:val="0"/>
                  <w:divBdr>
                    <w:top w:val="none" w:sz="0" w:space="0" w:color="auto"/>
                    <w:left w:val="none" w:sz="0" w:space="0" w:color="auto"/>
                    <w:bottom w:val="none" w:sz="0" w:space="0" w:color="auto"/>
                    <w:right w:val="none" w:sz="0" w:space="0" w:color="auto"/>
                  </w:divBdr>
                </w:div>
                <w:div w:id="1431005007">
                  <w:marLeft w:val="640"/>
                  <w:marRight w:val="0"/>
                  <w:marTop w:val="0"/>
                  <w:marBottom w:val="0"/>
                  <w:divBdr>
                    <w:top w:val="none" w:sz="0" w:space="0" w:color="auto"/>
                    <w:left w:val="none" w:sz="0" w:space="0" w:color="auto"/>
                    <w:bottom w:val="none" w:sz="0" w:space="0" w:color="auto"/>
                    <w:right w:val="none" w:sz="0" w:space="0" w:color="auto"/>
                  </w:divBdr>
                </w:div>
                <w:div w:id="113865338">
                  <w:marLeft w:val="640"/>
                  <w:marRight w:val="0"/>
                  <w:marTop w:val="0"/>
                  <w:marBottom w:val="0"/>
                  <w:divBdr>
                    <w:top w:val="none" w:sz="0" w:space="0" w:color="auto"/>
                    <w:left w:val="none" w:sz="0" w:space="0" w:color="auto"/>
                    <w:bottom w:val="none" w:sz="0" w:space="0" w:color="auto"/>
                    <w:right w:val="none" w:sz="0" w:space="0" w:color="auto"/>
                  </w:divBdr>
                </w:div>
                <w:div w:id="1128477136">
                  <w:marLeft w:val="640"/>
                  <w:marRight w:val="0"/>
                  <w:marTop w:val="0"/>
                  <w:marBottom w:val="0"/>
                  <w:divBdr>
                    <w:top w:val="none" w:sz="0" w:space="0" w:color="auto"/>
                    <w:left w:val="none" w:sz="0" w:space="0" w:color="auto"/>
                    <w:bottom w:val="none" w:sz="0" w:space="0" w:color="auto"/>
                    <w:right w:val="none" w:sz="0" w:space="0" w:color="auto"/>
                  </w:divBdr>
                </w:div>
                <w:div w:id="1819345787">
                  <w:marLeft w:val="640"/>
                  <w:marRight w:val="0"/>
                  <w:marTop w:val="0"/>
                  <w:marBottom w:val="0"/>
                  <w:divBdr>
                    <w:top w:val="none" w:sz="0" w:space="0" w:color="auto"/>
                    <w:left w:val="none" w:sz="0" w:space="0" w:color="auto"/>
                    <w:bottom w:val="none" w:sz="0" w:space="0" w:color="auto"/>
                    <w:right w:val="none" w:sz="0" w:space="0" w:color="auto"/>
                  </w:divBdr>
                </w:div>
                <w:div w:id="342703798">
                  <w:marLeft w:val="640"/>
                  <w:marRight w:val="0"/>
                  <w:marTop w:val="0"/>
                  <w:marBottom w:val="0"/>
                  <w:divBdr>
                    <w:top w:val="none" w:sz="0" w:space="0" w:color="auto"/>
                    <w:left w:val="none" w:sz="0" w:space="0" w:color="auto"/>
                    <w:bottom w:val="none" w:sz="0" w:space="0" w:color="auto"/>
                    <w:right w:val="none" w:sz="0" w:space="0" w:color="auto"/>
                  </w:divBdr>
                </w:div>
              </w:divsChild>
            </w:div>
            <w:div w:id="1259175727">
              <w:marLeft w:val="0"/>
              <w:marRight w:val="0"/>
              <w:marTop w:val="0"/>
              <w:marBottom w:val="0"/>
              <w:divBdr>
                <w:top w:val="none" w:sz="0" w:space="0" w:color="auto"/>
                <w:left w:val="none" w:sz="0" w:space="0" w:color="auto"/>
                <w:bottom w:val="none" w:sz="0" w:space="0" w:color="auto"/>
                <w:right w:val="none" w:sz="0" w:space="0" w:color="auto"/>
              </w:divBdr>
              <w:divsChild>
                <w:div w:id="710039089">
                  <w:marLeft w:val="640"/>
                  <w:marRight w:val="0"/>
                  <w:marTop w:val="0"/>
                  <w:marBottom w:val="0"/>
                  <w:divBdr>
                    <w:top w:val="none" w:sz="0" w:space="0" w:color="auto"/>
                    <w:left w:val="none" w:sz="0" w:space="0" w:color="auto"/>
                    <w:bottom w:val="none" w:sz="0" w:space="0" w:color="auto"/>
                    <w:right w:val="none" w:sz="0" w:space="0" w:color="auto"/>
                  </w:divBdr>
                </w:div>
                <w:div w:id="1594238259">
                  <w:marLeft w:val="640"/>
                  <w:marRight w:val="0"/>
                  <w:marTop w:val="0"/>
                  <w:marBottom w:val="0"/>
                  <w:divBdr>
                    <w:top w:val="none" w:sz="0" w:space="0" w:color="auto"/>
                    <w:left w:val="none" w:sz="0" w:space="0" w:color="auto"/>
                    <w:bottom w:val="none" w:sz="0" w:space="0" w:color="auto"/>
                    <w:right w:val="none" w:sz="0" w:space="0" w:color="auto"/>
                  </w:divBdr>
                </w:div>
                <w:div w:id="203644129">
                  <w:marLeft w:val="640"/>
                  <w:marRight w:val="0"/>
                  <w:marTop w:val="0"/>
                  <w:marBottom w:val="0"/>
                  <w:divBdr>
                    <w:top w:val="none" w:sz="0" w:space="0" w:color="auto"/>
                    <w:left w:val="none" w:sz="0" w:space="0" w:color="auto"/>
                    <w:bottom w:val="none" w:sz="0" w:space="0" w:color="auto"/>
                    <w:right w:val="none" w:sz="0" w:space="0" w:color="auto"/>
                  </w:divBdr>
                </w:div>
                <w:div w:id="1738280620">
                  <w:marLeft w:val="640"/>
                  <w:marRight w:val="0"/>
                  <w:marTop w:val="0"/>
                  <w:marBottom w:val="0"/>
                  <w:divBdr>
                    <w:top w:val="none" w:sz="0" w:space="0" w:color="auto"/>
                    <w:left w:val="none" w:sz="0" w:space="0" w:color="auto"/>
                    <w:bottom w:val="none" w:sz="0" w:space="0" w:color="auto"/>
                    <w:right w:val="none" w:sz="0" w:space="0" w:color="auto"/>
                  </w:divBdr>
                </w:div>
                <w:div w:id="18435065">
                  <w:marLeft w:val="640"/>
                  <w:marRight w:val="0"/>
                  <w:marTop w:val="0"/>
                  <w:marBottom w:val="0"/>
                  <w:divBdr>
                    <w:top w:val="none" w:sz="0" w:space="0" w:color="auto"/>
                    <w:left w:val="none" w:sz="0" w:space="0" w:color="auto"/>
                    <w:bottom w:val="none" w:sz="0" w:space="0" w:color="auto"/>
                    <w:right w:val="none" w:sz="0" w:space="0" w:color="auto"/>
                  </w:divBdr>
                </w:div>
                <w:div w:id="1915311017">
                  <w:marLeft w:val="640"/>
                  <w:marRight w:val="0"/>
                  <w:marTop w:val="0"/>
                  <w:marBottom w:val="0"/>
                  <w:divBdr>
                    <w:top w:val="none" w:sz="0" w:space="0" w:color="auto"/>
                    <w:left w:val="none" w:sz="0" w:space="0" w:color="auto"/>
                    <w:bottom w:val="none" w:sz="0" w:space="0" w:color="auto"/>
                    <w:right w:val="none" w:sz="0" w:space="0" w:color="auto"/>
                  </w:divBdr>
                </w:div>
                <w:div w:id="139347590">
                  <w:marLeft w:val="640"/>
                  <w:marRight w:val="0"/>
                  <w:marTop w:val="0"/>
                  <w:marBottom w:val="0"/>
                  <w:divBdr>
                    <w:top w:val="none" w:sz="0" w:space="0" w:color="auto"/>
                    <w:left w:val="none" w:sz="0" w:space="0" w:color="auto"/>
                    <w:bottom w:val="none" w:sz="0" w:space="0" w:color="auto"/>
                    <w:right w:val="none" w:sz="0" w:space="0" w:color="auto"/>
                  </w:divBdr>
                </w:div>
                <w:div w:id="2001157052">
                  <w:marLeft w:val="640"/>
                  <w:marRight w:val="0"/>
                  <w:marTop w:val="0"/>
                  <w:marBottom w:val="0"/>
                  <w:divBdr>
                    <w:top w:val="none" w:sz="0" w:space="0" w:color="auto"/>
                    <w:left w:val="none" w:sz="0" w:space="0" w:color="auto"/>
                    <w:bottom w:val="none" w:sz="0" w:space="0" w:color="auto"/>
                    <w:right w:val="none" w:sz="0" w:space="0" w:color="auto"/>
                  </w:divBdr>
                </w:div>
                <w:div w:id="1830973909">
                  <w:marLeft w:val="640"/>
                  <w:marRight w:val="0"/>
                  <w:marTop w:val="0"/>
                  <w:marBottom w:val="0"/>
                  <w:divBdr>
                    <w:top w:val="none" w:sz="0" w:space="0" w:color="auto"/>
                    <w:left w:val="none" w:sz="0" w:space="0" w:color="auto"/>
                    <w:bottom w:val="none" w:sz="0" w:space="0" w:color="auto"/>
                    <w:right w:val="none" w:sz="0" w:space="0" w:color="auto"/>
                  </w:divBdr>
                </w:div>
                <w:div w:id="1064599206">
                  <w:marLeft w:val="640"/>
                  <w:marRight w:val="0"/>
                  <w:marTop w:val="0"/>
                  <w:marBottom w:val="0"/>
                  <w:divBdr>
                    <w:top w:val="none" w:sz="0" w:space="0" w:color="auto"/>
                    <w:left w:val="none" w:sz="0" w:space="0" w:color="auto"/>
                    <w:bottom w:val="none" w:sz="0" w:space="0" w:color="auto"/>
                    <w:right w:val="none" w:sz="0" w:space="0" w:color="auto"/>
                  </w:divBdr>
                </w:div>
                <w:div w:id="1459369969">
                  <w:marLeft w:val="640"/>
                  <w:marRight w:val="0"/>
                  <w:marTop w:val="0"/>
                  <w:marBottom w:val="0"/>
                  <w:divBdr>
                    <w:top w:val="none" w:sz="0" w:space="0" w:color="auto"/>
                    <w:left w:val="none" w:sz="0" w:space="0" w:color="auto"/>
                    <w:bottom w:val="none" w:sz="0" w:space="0" w:color="auto"/>
                    <w:right w:val="none" w:sz="0" w:space="0" w:color="auto"/>
                  </w:divBdr>
                </w:div>
                <w:div w:id="1407917867">
                  <w:marLeft w:val="640"/>
                  <w:marRight w:val="0"/>
                  <w:marTop w:val="0"/>
                  <w:marBottom w:val="0"/>
                  <w:divBdr>
                    <w:top w:val="none" w:sz="0" w:space="0" w:color="auto"/>
                    <w:left w:val="none" w:sz="0" w:space="0" w:color="auto"/>
                    <w:bottom w:val="none" w:sz="0" w:space="0" w:color="auto"/>
                    <w:right w:val="none" w:sz="0" w:space="0" w:color="auto"/>
                  </w:divBdr>
                </w:div>
                <w:div w:id="316692045">
                  <w:marLeft w:val="640"/>
                  <w:marRight w:val="0"/>
                  <w:marTop w:val="0"/>
                  <w:marBottom w:val="0"/>
                  <w:divBdr>
                    <w:top w:val="none" w:sz="0" w:space="0" w:color="auto"/>
                    <w:left w:val="none" w:sz="0" w:space="0" w:color="auto"/>
                    <w:bottom w:val="none" w:sz="0" w:space="0" w:color="auto"/>
                    <w:right w:val="none" w:sz="0" w:space="0" w:color="auto"/>
                  </w:divBdr>
                </w:div>
                <w:div w:id="2123842217">
                  <w:marLeft w:val="640"/>
                  <w:marRight w:val="0"/>
                  <w:marTop w:val="0"/>
                  <w:marBottom w:val="0"/>
                  <w:divBdr>
                    <w:top w:val="none" w:sz="0" w:space="0" w:color="auto"/>
                    <w:left w:val="none" w:sz="0" w:space="0" w:color="auto"/>
                    <w:bottom w:val="none" w:sz="0" w:space="0" w:color="auto"/>
                    <w:right w:val="none" w:sz="0" w:space="0" w:color="auto"/>
                  </w:divBdr>
                </w:div>
                <w:div w:id="635838227">
                  <w:marLeft w:val="640"/>
                  <w:marRight w:val="0"/>
                  <w:marTop w:val="0"/>
                  <w:marBottom w:val="0"/>
                  <w:divBdr>
                    <w:top w:val="none" w:sz="0" w:space="0" w:color="auto"/>
                    <w:left w:val="none" w:sz="0" w:space="0" w:color="auto"/>
                    <w:bottom w:val="none" w:sz="0" w:space="0" w:color="auto"/>
                    <w:right w:val="none" w:sz="0" w:space="0" w:color="auto"/>
                  </w:divBdr>
                </w:div>
                <w:div w:id="2137673496">
                  <w:marLeft w:val="640"/>
                  <w:marRight w:val="0"/>
                  <w:marTop w:val="0"/>
                  <w:marBottom w:val="0"/>
                  <w:divBdr>
                    <w:top w:val="none" w:sz="0" w:space="0" w:color="auto"/>
                    <w:left w:val="none" w:sz="0" w:space="0" w:color="auto"/>
                    <w:bottom w:val="none" w:sz="0" w:space="0" w:color="auto"/>
                    <w:right w:val="none" w:sz="0" w:space="0" w:color="auto"/>
                  </w:divBdr>
                </w:div>
                <w:div w:id="703596206">
                  <w:marLeft w:val="640"/>
                  <w:marRight w:val="0"/>
                  <w:marTop w:val="0"/>
                  <w:marBottom w:val="0"/>
                  <w:divBdr>
                    <w:top w:val="none" w:sz="0" w:space="0" w:color="auto"/>
                    <w:left w:val="none" w:sz="0" w:space="0" w:color="auto"/>
                    <w:bottom w:val="none" w:sz="0" w:space="0" w:color="auto"/>
                    <w:right w:val="none" w:sz="0" w:space="0" w:color="auto"/>
                  </w:divBdr>
                </w:div>
                <w:div w:id="1245068128">
                  <w:marLeft w:val="640"/>
                  <w:marRight w:val="0"/>
                  <w:marTop w:val="0"/>
                  <w:marBottom w:val="0"/>
                  <w:divBdr>
                    <w:top w:val="none" w:sz="0" w:space="0" w:color="auto"/>
                    <w:left w:val="none" w:sz="0" w:space="0" w:color="auto"/>
                    <w:bottom w:val="none" w:sz="0" w:space="0" w:color="auto"/>
                    <w:right w:val="none" w:sz="0" w:space="0" w:color="auto"/>
                  </w:divBdr>
                </w:div>
                <w:div w:id="1539850928">
                  <w:marLeft w:val="640"/>
                  <w:marRight w:val="0"/>
                  <w:marTop w:val="0"/>
                  <w:marBottom w:val="0"/>
                  <w:divBdr>
                    <w:top w:val="none" w:sz="0" w:space="0" w:color="auto"/>
                    <w:left w:val="none" w:sz="0" w:space="0" w:color="auto"/>
                    <w:bottom w:val="none" w:sz="0" w:space="0" w:color="auto"/>
                    <w:right w:val="none" w:sz="0" w:space="0" w:color="auto"/>
                  </w:divBdr>
                </w:div>
                <w:div w:id="1689722854">
                  <w:marLeft w:val="640"/>
                  <w:marRight w:val="0"/>
                  <w:marTop w:val="0"/>
                  <w:marBottom w:val="0"/>
                  <w:divBdr>
                    <w:top w:val="none" w:sz="0" w:space="0" w:color="auto"/>
                    <w:left w:val="none" w:sz="0" w:space="0" w:color="auto"/>
                    <w:bottom w:val="none" w:sz="0" w:space="0" w:color="auto"/>
                    <w:right w:val="none" w:sz="0" w:space="0" w:color="auto"/>
                  </w:divBdr>
                </w:div>
              </w:divsChild>
            </w:div>
            <w:div w:id="495652453">
              <w:marLeft w:val="0"/>
              <w:marRight w:val="0"/>
              <w:marTop w:val="0"/>
              <w:marBottom w:val="0"/>
              <w:divBdr>
                <w:top w:val="none" w:sz="0" w:space="0" w:color="auto"/>
                <w:left w:val="none" w:sz="0" w:space="0" w:color="auto"/>
                <w:bottom w:val="none" w:sz="0" w:space="0" w:color="auto"/>
                <w:right w:val="none" w:sz="0" w:space="0" w:color="auto"/>
              </w:divBdr>
              <w:divsChild>
                <w:div w:id="374618890">
                  <w:marLeft w:val="640"/>
                  <w:marRight w:val="0"/>
                  <w:marTop w:val="0"/>
                  <w:marBottom w:val="0"/>
                  <w:divBdr>
                    <w:top w:val="none" w:sz="0" w:space="0" w:color="auto"/>
                    <w:left w:val="none" w:sz="0" w:space="0" w:color="auto"/>
                    <w:bottom w:val="none" w:sz="0" w:space="0" w:color="auto"/>
                    <w:right w:val="none" w:sz="0" w:space="0" w:color="auto"/>
                  </w:divBdr>
                </w:div>
                <w:div w:id="1893491948">
                  <w:marLeft w:val="640"/>
                  <w:marRight w:val="0"/>
                  <w:marTop w:val="0"/>
                  <w:marBottom w:val="0"/>
                  <w:divBdr>
                    <w:top w:val="none" w:sz="0" w:space="0" w:color="auto"/>
                    <w:left w:val="none" w:sz="0" w:space="0" w:color="auto"/>
                    <w:bottom w:val="none" w:sz="0" w:space="0" w:color="auto"/>
                    <w:right w:val="none" w:sz="0" w:space="0" w:color="auto"/>
                  </w:divBdr>
                </w:div>
                <w:div w:id="1693456471">
                  <w:marLeft w:val="640"/>
                  <w:marRight w:val="0"/>
                  <w:marTop w:val="0"/>
                  <w:marBottom w:val="0"/>
                  <w:divBdr>
                    <w:top w:val="none" w:sz="0" w:space="0" w:color="auto"/>
                    <w:left w:val="none" w:sz="0" w:space="0" w:color="auto"/>
                    <w:bottom w:val="none" w:sz="0" w:space="0" w:color="auto"/>
                    <w:right w:val="none" w:sz="0" w:space="0" w:color="auto"/>
                  </w:divBdr>
                </w:div>
                <w:div w:id="1853295230">
                  <w:marLeft w:val="640"/>
                  <w:marRight w:val="0"/>
                  <w:marTop w:val="0"/>
                  <w:marBottom w:val="0"/>
                  <w:divBdr>
                    <w:top w:val="none" w:sz="0" w:space="0" w:color="auto"/>
                    <w:left w:val="none" w:sz="0" w:space="0" w:color="auto"/>
                    <w:bottom w:val="none" w:sz="0" w:space="0" w:color="auto"/>
                    <w:right w:val="none" w:sz="0" w:space="0" w:color="auto"/>
                  </w:divBdr>
                </w:div>
                <w:div w:id="1468666899">
                  <w:marLeft w:val="640"/>
                  <w:marRight w:val="0"/>
                  <w:marTop w:val="0"/>
                  <w:marBottom w:val="0"/>
                  <w:divBdr>
                    <w:top w:val="none" w:sz="0" w:space="0" w:color="auto"/>
                    <w:left w:val="none" w:sz="0" w:space="0" w:color="auto"/>
                    <w:bottom w:val="none" w:sz="0" w:space="0" w:color="auto"/>
                    <w:right w:val="none" w:sz="0" w:space="0" w:color="auto"/>
                  </w:divBdr>
                </w:div>
                <w:div w:id="2063167614">
                  <w:marLeft w:val="640"/>
                  <w:marRight w:val="0"/>
                  <w:marTop w:val="0"/>
                  <w:marBottom w:val="0"/>
                  <w:divBdr>
                    <w:top w:val="none" w:sz="0" w:space="0" w:color="auto"/>
                    <w:left w:val="none" w:sz="0" w:space="0" w:color="auto"/>
                    <w:bottom w:val="none" w:sz="0" w:space="0" w:color="auto"/>
                    <w:right w:val="none" w:sz="0" w:space="0" w:color="auto"/>
                  </w:divBdr>
                </w:div>
                <w:div w:id="704520140">
                  <w:marLeft w:val="640"/>
                  <w:marRight w:val="0"/>
                  <w:marTop w:val="0"/>
                  <w:marBottom w:val="0"/>
                  <w:divBdr>
                    <w:top w:val="none" w:sz="0" w:space="0" w:color="auto"/>
                    <w:left w:val="none" w:sz="0" w:space="0" w:color="auto"/>
                    <w:bottom w:val="none" w:sz="0" w:space="0" w:color="auto"/>
                    <w:right w:val="none" w:sz="0" w:space="0" w:color="auto"/>
                  </w:divBdr>
                </w:div>
                <w:div w:id="1886603339">
                  <w:marLeft w:val="640"/>
                  <w:marRight w:val="0"/>
                  <w:marTop w:val="0"/>
                  <w:marBottom w:val="0"/>
                  <w:divBdr>
                    <w:top w:val="none" w:sz="0" w:space="0" w:color="auto"/>
                    <w:left w:val="none" w:sz="0" w:space="0" w:color="auto"/>
                    <w:bottom w:val="none" w:sz="0" w:space="0" w:color="auto"/>
                    <w:right w:val="none" w:sz="0" w:space="0" w:color="auto"/>
                  </w:divBdr>
                </w:div>
                <w:div w:id="251475830">
                  <w:marLeft w:val="640"/>
                  <w:marRight w:val="0"/>
                  <w:marTop w:val="0"/>
                  <w:marBottom w:val="0"/>
                  <w:divBdr>
                    <w:top w:val="none" w:sz="0" w:space="0" w:color="auto"/>
                    <w:left w:val="none" w:sz="0" w:space="0" w:color="auto"/>
                    <w:bottom w:val="none" w:sz="0" w:space="0" w:color="auto"/>
                    <w:right w:val="none" w:sz="0" w:space="0" w:color="auto"/>
                  </w:divBdr>
                </w:div>
                <w:div w:id="1582370176">
                  <w:marLeft w:val="640"/>
                  <w:marRight w:val="0"/>
                  <w:marTop w:val="0"/>
                  <w:marBottom w:val="0"/>
                  <w:divBdr>
                    <w:top w:val="none" w:sz="0" w:space="0" w:color="auto"/>
                    <w:left w:val="none" w:sz="0" w:space="0" w:color="auto"/>
                    <w:bottom w:val="none" w:sz="0" w:space="0" w:color="auto"/>
                    <w:right w:val="none" w:sz="0" w:space="0" w:color="auto"/>
                  </w:divBdr>
                </w:div>
                <w:div w:id="1585601766">
                  <w:marLeft w:val="640"/>
                  <w:marRight w:val="0"/>
                  <w:marTop w:val="0"/>
                  <w:marBottom w:val="0"/>
                  <w:divBdr>
                    <w:top w:val="none" w:sz="0" w:space="0" w:color="auto"/>
                    <w:left w:val="none" w:sz="0" w:space="0" w:color="auto"/>
                    <w:bottom w:val="none" w:sz="0" w:space="0" w:color="auto"/>
                    <w:right w:val="none" w:sz="0" w:space="0" w:color="auto"/>
                  </w:divBdr>
                </w:div>
                <w:div w:id="1895266129">
                  <w:marLeft w:val="640"/>
                  <w:marRight w:val="0"/>
                  <w:marTop w:val="0"/>
                  <w:marBottom w:val="0"/>
                  <w:divBdr>
                    <w:top w:val="none" w:sz="0" w:space="0" w:color="auto"/>
                    <w:left w:val="none" w:sz="0" w:space="0" w:color="auto"/>
                    <w:bottom w:val="none" w:sz="0" w:space="0" w:color="auto"/>
                    <w:right w:val="none" w:sz="0" w:space="0" w:color="auto"/>
                  </w:divBdr>
                </w:div>
                <w:div w:id="1932473536">
                  <w:marLeft w:val="640"/>
                  <w:marRight w:val="0"/>
                  <w:marTop w:val="0"/>
                  <w:marBottom w:val="0"/>
                  <w:divBdr>
                    <w:top w:val="none" w:sz="0" w:space="0" w:color="auto"/>
                    <w:left w:val="none" w:sz="0" w:space="0" w:color="auto"/>
                    <w:bottom w:val="none" w:sz="0" w:space="0" w:color="auto"/>
                    <w:right w:val="none" w:sz="0" w:space="0" w:color="auto"/>
                  </w:divBdr>
                </w:div>
                <w:div w:id="1849098733">
                  <w:marLeft w:val="640"/>
                  <w:marRight w:val="0"/>
                  <w:marTop w:val="0"/>
                  <w:marBottom w:val="0"/>
                  <w:divBdr>
                    <w:top w:val="none" w:sz="0" w:space="0" w:color="auto"/>
                    <w:left w:val="none" w:sz="0" w:space="0" w:color="auto"/>
                    <w:bottom w:val="none" w:sz="0" w:space="0" w:color="auto"/>
                    <w:right w:val="none" w:sz="0" w:space="0" w:color="auto"/>
                  </w:divBdr>
                </w:div>
                <w:div w:id="212927099">
                  <w:marLeft w:val="640"/>
                  <w:marRight w:val="0"/>
                  <w:marTop w:val="0"/>
                  <w:marBottom w:val="0"/>
                  <w:divBdr>
                    <w:top w:val="none" w:sz="0" w:space="0" w:color="auto"/>
                    <w:left w:val="none" w:sz="0" w:space="0" w:color="auto"/>
                    <w:bottom w:val="none" w:sz="0" w:space="0" w:color="auto"/>
                    <w:right w:val="none" w:sz="0" w:space="0" w:color="auto"/>
                  </w:divBdr>
                </w:div>
                <w:div w:id="1836071400">
                  <w:marLeft w:val="640"/>
                  <w:marRight w:val="0"/>
                  <w:marTop w:val="0"/>
                  <w:marBottom w:val="0"/>
                  <w:divBdr>
                    <w:top w:val="none" w:sz="0" w:space="0" w:color="auto"/>
                    <w:left w:val="none" w:sz="0" w:space="0" w:color="auto"/>
                    <w:bottom w:val="none" w:sz="0" w:space="0" w:color="auto"/>
                    <w:right w:val="none" w:sz="0" w:space="0" w:color="auto"/>
                  </w:divBdr>
                </w:div>
                <w:div w:id="1277103283">
                  <w:marLeft w:val="640"/>
                  <w:marRight w:val="0"/>
                  <w:marTop w:val="0"/>
                  <w:marBottom w:val="0"/>
                  <w:divBdr>
                    <w:top w:val="none" w:sz="0" w:space="0" w:color="auto"/>
                    <w:left w:val="none" w:sz="0" w:space="0" w:color="auto"/>
                    <w:bottom w:val="none" w:sz="0" w:space="0" w:color="auto"/>
                    <w:right w:val="none" w:sz="0" w:space="0" w:color="auto"/>
                  </w:divBdr>
                </w:div>
                <w:div w:id="1465270697">
                  <w:marLeft w:val="640"/>
                  <w:marRight w:val="0"/>
                  <w:marTop w:val="0"/>
                  <w:marBottom w:val="0"/>
                  <w:divBdr>
                    <w:top w:val="none" w:sz="0" w:space="0" w:color="auto"/>
                    <w:left w:val="none" w:sz="0" w:space="0" w:color="auto"/>
                    <w:bottom w:val="none" w:sz="0" w:space="0" w:color="auto"/>
                    <w:right w:val="none" w:sz="0" w:space="0" w:color="auto"/>
                  </w:divBdr>
                </w:div>
                <w:div w:id="1256403597">
                  <w:marLeft w:val="640"/>
                  <w:marRight w:val="0"/>
                  <w:marTop w:val="0"/>
                  <w:marBottom w:val="0"/>
                  <w:divBdr>
                    <w:top w:val="none" w:sz="0" w:space="0" w:color="auto"/>
                    <w:left w:val="none" w:sz="0" w:space="0" w:color="auto"/>
                    <w:bottom w:val="none" w:sz="0" w:space="0" w:color="auto"/>
                    <w:right w:val="none" w:sz="0" w:space="0" w:color="auto"/>
                  </w:divBdr>
                </w:div>
                <w:div w:id="43604718">
                  <w:marLeft w:val="640"/>
                  <w:marRight w:val="0"/>
                  <w:marTop w:val="0"/>
                  <w:marBottom w:val="0"/>
                  <w:divBdr>
                    <w:top w:val="none" w:sz="0" w:space="0" w:color="auto"/>
                    <w:left w:val="none" w:sz="0" w:space="0" w:color="auto"/>
                    <w:bottom w:val="none" w:sz="0" w:space="0" w:color="auto"/>
                    <w:right w:val="none" w:sz="0" w:space="0" w:color="auto"/>
                  </w:divBdr>
                </w:div>
              </w:divsChild>
            </w:div>
            <w:div w:id="1065491352">
              <w:marLeft w:val="0"/>
              <w:marRight w:val="0"/>
              <w:marTop w:val="0"/>
              <w:marBottom w:val="0"/>
              <w:divBdr>
                <w:top w:val="none" w:sz="0" w:space="0" w:color="auto"/>
                <w:left w:val="none" w:sz="0" w:space="0" w:color="auto"/>
                <w:bottom w:val="none" w:sz="0" w:space="0" w:color="auto"/>
                <w:right w:val="none" w:sz="0" w:space="0" w:color="auto"/>
              </w:divBdr>
              <w:divsChild>
                <w:div w:id="410005821">
                  <w:marLeft w:val="640"/>
                  <w:marRight w:val="0"/>
                  <w:marTop w:val="0"/>
                  <w:marBottom w:val="0"/>
                  <w:divBdr>
                    <w:top w:val="none" w:sz="0" w:space="0" w:color="auto"/>
                    <w:left w:val="none" w:sz="0" w:space="0" w:color="auto"/>
                    <w:bottom w:val="none" w:sz="0" w:space="0" w:color="auto"/>
                    <w:right w:val="none" w:sz="0" w:space="0" w:color="auto"/>
                  </w:divBdr>
                </w:div>
                <w:div w:id="1650667623">
                  <w:marLeft w:val="640"/>
                  <w:marRight w:val="0"/>
                  <w:marTop w:val="0"/>
                  <w:marBottom w:val="0"/>
                  <w:divBdr>
                    <w:top w:val="none" w:sz="0" w:space="0" w:color="auto"/>
                    <w:left w:val="none" w:sz="0" w:space="0" w:color="auto"/>
                    <w:bottom w:val="none" w:sz="0" w:space="0" w:color="auto"/>
                    <w:right w:val="none" w:sz="0" w:space="0" w:color="auto"/>
                  </w:divBdr>
                </w:div>
                <w:div w:id="1355614436">
                  <w:marLeft w:val="640"/>
                  <w:marRight w:val="0"/>
                  <w:marTop w:val="0"/>
                  <w:marBottom w:val="0"/>
                  <w:divBdr>
                    <w:top w:val="none" w:sz="0" w:space="0" w:color="auto"/>
                    <w:left w:val="none" w:sz="0" w:space="0" w:color="auto"/>
                    <w:bottom w:val="none" w:sz="0" w:space="0" w:color="auto"/>
                    <w:right w:val="none" w:sz="0" w:space="0" w:color="auto"/>
                  </w:divBdr>
                </w:div>
                <w:div w:id="1137379577">
                  <w:marLeft w:val="640"/>
                  <w:marRight w:val="0"/>
                  <w:marTop w:val="0"/>
                  <w:marBottom w:val="0"/>
                  <w:divBdr>
                    <w:top w:val="none" w:sz="0" w:space="0" w:color="auto"/>
                    <w:left w:val="none" w:sz="0" w:space="0" w:color="auto"/>
                    <w:bottom w:val="none" w:sz="0" w:space="0" w:color="auto"/>
                    <w:right w:val="none" w:sz="0" w:space="0" w:color="auto"/>
                  </w:divBdr>
                </w:div>
                <w:div w:id="2038312364">
                  <w:marLeft w:val="640"/>
                  <w:marRight w:val="0"/>
                  <w:marTop w:val="0"/>
                  <w:marBottom w:val="0"/>
                  <w:divBdr>
                    <w:top w:val="none" w:sz="0" w:space="0" w:color="auto"/>
                    <w:left w:val="none" w:sz="0" w:space="0" w:color="auto"/>
                    <w:bottom w:val="none" w:sz="0" w:space="0" w:color="auto"/>
                    <w:right w:val="none" w:sz="0" w:space="0" w:color="auto"/>
                  </w:divBdr>
                </w:div>
                <w:div w:id="1430349812">
                  <w:marLeft w:val="640"/>
                  <w:marRight w:val="0"/>
                  <w:marTop w:val="0"/>
                  <w:marBottom w:val="0"/>
                  <w:divBdr>
                    <w:top w:val="none" w:sz="0" w:space="0" w:color="auto"/>
                    <w:left w:val="none" w:sz="0" w:space="0" w:color="auto"/>
                    <w:bottom w:val="none" w:sz="0" w:space="0" w:color="auto"/>
                    <w:right w:val="none" w:sz="0" w:space="0" w:color="auto"/>
                  </w:divBdr>
                </w:div>
                <w:div w:id="180903727">
                  <w:marLeft w:val="640"/>
                  <w:marRight w:val="0"/>
                  <w:marTop w:val="0"/>
                  <w:marBottom w:val="0"/>
                  <w:divBdr>
                    <w:top w:val="none" w:sz="0" w:space="0" w:color="auto"/>
                    <w:left w:val="none" w:sz="0" w:space="0" w:color="auto"/>
                    <w:bottom w:val="none" w:sz="0" w:space="0" w:color="auto"/>
                    <w:right w:val="none" w:sz="0" w:space="0" w:color="auto"/>
                  </w:divBdr>
                </w:div>
                <w:div w:id="155415630">
                  <w:marLeft w:val="640"/>
                  <w:marRight w:val="0"/>
                  <w:marTop w:val="0"/>
                  <w:marBottom w:val="0"/>
                  <w:divBdr>
                    <w:top w:val="none" w:sz="0" w:space="0" w:color="auto"/>
                    <w:left w:val="none" w:sz="0" w:space="0" w:color="auto"/>
                    <w:bottom w:val="none" w:sz="0" w:space="0" w:color="auto"/>
                    <w:right w:val="none" w:sz="0" w:space="0" w:color="auto"/>
                  </w:divBdr>
                </w:div>
                <w:div w:id="1714650353">
                  <w:marLeft w:val="640"/>
                  <w:marRight w:val="0"/>
                  <w:marTop w:val="0"/>
                  <w:marBottom w:val="0"/>
                  <w:divBdr>
                    <w:top w:val="none" w:sz="0" w:space="0" w:color="auto"/>
                    <w:left w:val="none" w:sz="0" w:space="0" w:color="auto"/>
                    <w:bottom w:val="none" w:sz="0" w:space="0" w:color="auto"/>
                    <w:right w:val="none" w:sz="0" w:space="0" w:color="auto"/>
                  </w:divBdr>
                </w:div>
                <w:div w:id="1868564211">
                  <w:marLeft w:val="640"/>
                  <w:marRight w:val="0"/>
                  <w:marTop w:val="0"/>
                  <w:marBottom w:val="0"/>
                  <w:divBdr>
                    <w:top w:val="none" w:sz="0" w:space="0" w:color="auto"/>
                    <w:left w:val="none" w:sz="0" w:space="0" w:color="auto"/>
                    <w:bottom w:val="none" w:sz="0" w:space="0" w:color="auto"/>
                    <w:right w:val="none" w:sz="0" w:space="0" w:color="auto"/>
                  </w:divBdr>
                </w:div>
                <w:div w:id="1882545887">
                  <w:marLeft w:val="640"/>
                  <w:marRight w:val="0"/>
                  <w:marTop w:val="0"/>
                  <w:marBottom w:val="0"/>
                  <w:divBdr>
                    <w:top w:val="none" w:sz="0" w:space="0" w:color="auto"/>
                    <w:left w:val="none" w:sz="0" w:space="0" w:color="auto"/>
                    <w:bottom w:val="none" w:sz="0" w:space="0" w:color="auto"/>
                    <w:right w:val="none" w:sz="0" w:space="0" w:color="auto"/>
                  </w:divBdr>
                </w:div>
                <w:div w:id="1861511394">
                  <w:marLeft w:val="640"/>
                  <w:marRight w:val="0"/>
                  <w:marTop w:val="0"/>
                  <w:marBottom w:val="0"/>
                  <w:divBdr>
                    <w:top w:val="none" w:sz="0" w:space="0" w:color="auto"/>
                    <w:left w:val="none" w:sz="0" w:space="0" w:color="auto"/>
                    <w:bottom w:val="none" w:sz="0" w:space="0" w:color="auto"/>
                    <w:right w:val="none" w:sz="0" w:space="0" w:color="auto"/>
                  </w:divBdr>
                </w:div>
                <w:div w:id="457535094">
                  <w:marLeft w:val="640"/>
                  <w:marRight w:val="0"/>
                  <w:marTop w:val="0"/>
                  <w:marBottom w:val="0"/>
                  <w:divBdr>
                    <w:top w:val="none" w:sz="0" w:space="0" w:color="auto"/>
                    <w:left w:val="none" w:sz="0" w:space="0" w:color="auto"/>
                    <w:bottom w:val="none" w:sz="0" w:space="0" w:color="auto"/>
                    <w:right w:val="none" w:sz="0" w:space="0" w:color="auto"/>
                  </w:divBdr>
                </w:div>
                <w:div w:id="864714011">
                  <w:marLeft w:val="640"/>
                  <w:marRight w:val="0"/>
                  <w:marTop w:val="0"/>
                  <w:marBottom w:val="0"/>
                  <w:divBdr>
                    <w:top w:val="none" w:sz="0" w:space="0" w:color="auto"/>
                    <w:left w:val="none" w:sz="0" w:space="0" w:color="auto"/>
                    <w:bottom w:val="none" w:sz="0" w:space="0" w:color="auto"/>
                    <w:right w:val="none" w:sz="0" w:space="0" w:color="auto"/>
                  </w:divBdr>
                </w:div>
                <w:div w:id="1236476390">
                  <w:marLeft w:val="640"/>
                  <w:marRight w:val="0"/>
                  <w:marTop w:val="0"/>
                  <w:marBottom w:val="0"/>
                  <w:divBdr>
                    <w:top w:val="none" w:sz="0" w:space="0" w:color="auto"/>
                    <w:left w:val="none" w:sz="0" w:space="0" w:color="auto"/>
                    <w:bottom w:val="none" w:sz="0" w:space="0" w:color="auto"/>
                    <w:right w:val="none" w:sz="0" w:space="0" w:color="auto"/>
                  </w:divBdr>
                </w:div>
                <w:div w:id="766466949">
                  <w:marLeft w:val="640"/>
                  <w:marRight w:val="0"/>
                  <w:marTop w:val="0"/>
                  <w:marBottom w:val="0"/>
                  <w:divBdr>
                    <w:top w:val="none" w:sz="0" w:space="0" w:color="auto"/>
                    <w:left w:val="none" w:sz="0" w:space="0" w:color="auto"/>
                    <w:bottom w:val="none" w:sz="0" w:space="0" w:color="auto"/>
                    <w:right w:val="none" w:sz="0" w:space="0" w:color="auto"/>
                  </w:divBdr>
                </w:div>
                <w:div w:id="1670983542">
                  <w:marLeft w:val="640"/>
                  <w:marRight w:val="0"/>
                  <w:marTop w:val="0"/>
                  <w:marBottom w:val="0"/>
                  <w:divBdr>
                    <w:top w:val="none" w:sz="0" w:space="0" w:color="auto"/>
                    <w:left w:val="none" w:sz="0" w:space="0" w:color="auto"/>
                    <w:bottom w:val="none" w:sz="0" w:space="0" w:color="auto"/>
                    <w:right w:val="none" w:sz="0" w:space="0" w:color="auto"/>
                  </w:divBdr>
                </w:div>
                <w:div w:id="1230920809">
                  <w:marLeft w:val="640"/>
                  <w:marRight w:val="0"/>
                  <w:marTop w:val="0"/>
                  <w:marBottom w:val="0"/>
                  <w:divBdr>
                    <w:top w:val="none" w:sz="0" w:space="0" w:color="auto"/>
                    <w:left w:val="none" w:sz="0" w:space="0" w:color="auto"/>
                    <w:bottom w:val="none" w:sz="0" w:space="0" w:color="auto"/>
                    <w:right w:val="none" w:sz="0" w:space="0" w:color="auto"/>
                  </w:divBdr>
                </w:div>
                <w:div w:id="2017919963">
                  <w:marLeft w:val="640"/>
                  <w:marRight w:val="0"/>
                  <w:marTop w:val="0"/>
                  <w:marBottom w:val="0"/>
                  <w:divBdr>
                    <w:top w:val="none" w:sz="0" w:space="0" w:color="auto"/>
                    <w:left w:val="none" w:sz="0" w:space="0" w:color="auto"/>
                    <w:bottom w:val="none" w:sz="0" w:space="0" w:color="auto"/>
                    <w:right w:val="none" w:sz="0" w:space="0" w:color="auto"/>
                  </w:divBdr>
                </w:div>
                <w:div w:id="1682471607">
                  <w:marLeft w:val="640"/>
                  <w:marRight w:val="0"/>
                  <w:marTop w:val="0"/>
                  <w:marBottom w:val="0"/>
                  <w:divBdr>
                    <w:top w:val="none" w:sz="0" w:space="0" w:color="auto"/>
                    <w:left w:val="none" w:sz="0" w:space="0" w:color="auto"/>
                    <w:bottom w:val="none" w:sz="0" w:space="0" w:color="auto"/>
                    <w:right w:val="none" w:sz="0" w:space="0" w:color="auto"/>
                  </w:divBdr>
                </w:div>
              </w:divsChild>
            </w:div>
            <w:div w:id="1045520242">
              <w:marLeft w:val="0"/>
              <w:marRight w:val="0"/>
              <w:marTop w:val="0"/>
              <w:marBottom w:val="0"/>
              <w:divBdr>
                <w:top w:val="none" w:sz="0" w:space="0" w:color="auto"/>
                <w:left w:val="none" w:sz="0" w:space="0" w:color="auto"/>
                <w:bottom w:val="none" w:sz="0" w:space="0" w:color="auto"/>
                <w:right w:val="none" w:sz="0" w:space="0" w:color="auto"/>
              </w:divBdr>
              <w:divsChild>
                <w:div w:id="2110420974">
                  <w:marLeft w:val="640"/>
                  <w:marRight w:val="0"/>
                  <w:marTop w:val="0"/>
                  <w:marBottom w:val="0"/>
                  <w:divBdr>
                    <w:top w:val="none" w:sz="0" w:space="0" w:color="auto"/>
                    <w:left w:val="none" w:sz="0" w:space="0" w:color="auto"/>
                    <w:bottom w:val="none" w:sz="0" w:space="0" w:color="auto"/>
                    <w:right w:val="none" w:sz="0" w:space="0" w:color="auto"/>
                  </w:divBdr>
                </w:div>
                <w:div w:id="2026512272">
                  <w:marLeft w:val="640"/>
                  <w:marRight w:val="0"/>
                  <w:marTop w:val="0"/>
                  <w:marBottom w:val="0"/>
                  <w:divBdr>
                    <w:top w:val="none" w:sz="0" w:space="0" w:color="auto"/>
                    <w:left w:val="none" w:sz="0" w:space="0" w:color="auto"/>
                    <w:bottom w:val="none" w:sz="0" w:space="0" w:color="auto"/>
                    <w:right w:val="none" w:sz="0" w:space="0" w:color="auto"/>
                  </w:divBdr>
                </w:div>
                <w:div w:id="1824928697">
                  <w:marLeft w:val="640"/>
                  <w:marRight w:val="0"/>
                  <w:marTop w:val="0"/>
                  <w:marBottom w:val="0"/>
                  <w:divBdr>
                    <w:top w:val="none" w:sz="0" w:space="0" w:color="auto"/>
                    <w:left w:val="none" w:sz="0" w:space="0" w:color="auto"/>
                    <w:bottom w:val="none" w:sz="0" w:space="0" w:color="auto"/>
                    <w:right w:val="none" w:sz="0" w:space="0" w:color="auto"/>
                  </w:divBdr>
                </w:div>
                <w:div w:id="1544243882">
                  <w:marLeft w:val="640"/>
                  <w:marRight w:val="0"/>
                  <w:marTop w:val="0"/>
                  <w:marBottom w:val="0"/>
                  <w:divBdr>
                    <w:top w:val="none" w:sz="0" w:space="0" w:color="auto"/>
                    <w:left w:val="none" w:sz="0" w:space="0" w:color="auto"/>
                    <w:bottom w:val="none" w:sz="0" w:space="0" w:color="auto"/>
                    <w:right w:val="none" w:sz="0" w:space="0" w:color="auto"/>
                  </w:divBdr>
                </w:div>
                <w:div w:id="1575166564">
                  <w:marLeft w:val="640"/>
                  <w:marRight w:val="0"/>
                  <w:marTop w:val="0"/>
                  <w:marBottom w:val="0"/>
                  <w:divBdr>
                    <w:top w:val="none" w:sz="0" w:space="0" w:color="auto"/>
                    <w:left w:val="none" w:sz="0" w:space="0" w:color="auto"/>
                    <w:bottom w:val="none" w:sz="0" w:space="0" w:color="auto"/>
                    <w:right w:val="none" w:sz="0" w:space="0" w:color="auto"/>
                  </w:divBdr>
                </w:div>
                <w:div w:id="975111724">
                  <w:marLeft w:val="640"/>
                  <w:marRight w:val="0"/>
                  <w:marTop w:val="0"/>
                  <w:marBottom w:val="0"/>
                  <w:divBdr>
                    <w:top w:val="none" w:sz="0" w:space="0" w:color="auto"/>
                    <w:left w:val="none" w:sz="0" w:space="0" w:color="auto"/>
                    <w:bottom w:val="none" w:sz="0" w:space="0" w:color="auto"/>
                    <w:right w:val="none" w:sz="0" w:space="0" w:color="auto"/>
                  </w:divBdr>
                </w:div>
                <w:div w:id="974263435">
                  <w:marLeft w:val="640"/>
                  <w:marRight w:val="0"/>
                  <w:marTop w:val="0"/>
                  <w:marBottom w:val="0"/>
                  <w:divBdr>
                    <w:top w:val="none" w:sz="0" w:space="0" w:color="auto"/>
                    <w:left w:val="none" w:sz="0" w:space="0" w:color="auto"/>
                    <w:bottom w:val="none" w:sz="0" w:space="0" w:color="auto"/>
                    <w:right w:val="none" w:sz="0" w:space="0" w:color="auto"/>
                  </w:divBdr>
                </w:div>
                <w:div w:id="1101802905">
                  <w:marLeft w:val="640"/>
                  <w:marRight w:val="0"/>
                  <w:marTop w:val="0"/>
                  <w:marBottom w:val="0"/>
                  <w:divBdr>
                    <w:top w:val="none" w:sz="0" w:space="0" w:color="auto"/>
                    <w:left w:val="none" w:sz="0" w:space="0" w:color="auto"/>
                    <w:bottom w:val="none" w:sz="0" w:space="0" w:color="auto"/>
                    <w:right w:val="none" w:sz="0" w:space="0" w:color="auto"/>
                  </w:divBdr>
                </w:div>
                <w:div w:id="1802307284">
                  <w:marLeft w:val="640"/>
                  <w:marRight w:val="0"/>
                  <w:marTop w:val="0"/>
                  <w:marBottom w:val="0"/>
                  <w:divBdr>
                    <w:top w:val="none" w:sz="0" w:space="0" w:color="auto"/>
                    <w:left w:val="none" w:sz="0" w:space="0" w:color="auto"/>
                    <w:bottom w:val="none" w:sz="0" w:space="0" w:color="auto"/>
                    <w:right w:val="none" w:sz="0" w:space="0" w:color="auto"/>
                  </w:divBdr>
                </w:div>
                <w:div w:id="950891988">
                  <w:marLeft w:val="640"/>
                  <w:marRight w:val="0"/>
                  <w:marTop w:val="0"/>
                  <w:marBottom w:val="0"/>
                  <w:divBdr>
                    <w:top w:val="none" w:sz="0" w:space="0" w:color="auto"/>
                    <w:left w:val="none" w:sz="0" w:space="0" w:color="auto"/>
                    <w:bottom w:val="none" w:sz="0" w:space="0" w:color="auto"/>
                    <w:right w:val="none" w:sz="0" w:space="0" w:color="auto"/>
                  </w:divBdr>
                </w:div>
                <w:div w:id="2112623214">
                  <w:marLeft w:val="640"/>
                  <w:marRight w:val="0"/>
                  <w:marTop w:val="0"/>
                  <w:marBottom w:val="0"/>
                  <w:divBdr>
                    <w:top w:val="none" w:sz="0" w:space="0" w:color="auto"/>
                    <w:left w:val="none" w:sz="0" w:space="0" w:color="auto"/>
                    <w:bottom w:val="none" w:sz="0" w:space="0" w:color="auto"/>
                    <w:right w:val="none" w:sz="0" w:space="0" w:color="auto"/>
                  </w:divBdr>
                </w:div>
                <w:div w:id="1535121736">
                  <w:marLeft w:val="640"/>
                  <w:marRight w:val="0"/>
                  <w:marTop w:val="0"/>
                  <w:marBottom w:val="0"/>
                  <w:divBdr>
                    <w:top w:val="none" w:sz="0" w:space="0" w:color="auto"/>
                    <w:left w:val="none" w:sz="0" w:space="0" w:color="auto"/>
                    <w:bottom w:val="none" w:sz="0" w:space="0" w:color="auto"/>
                    <w:right w:val="none" w:sz="0" w:space="0" w:color="auto"/>
                  </w:divBdr>
                </w:div>
                <w:div w:id="1339389533">
                  <w:marLeft w:val="640"/>
                  <w:marRight w:val="0"/>
                  <w:marTop w:val="0"/>
                  <w:marBottom w:val="0"/>
                  <w:divBdr>
                    <w:top w:val="none" w:sz="0" w:space="0" w:color="auto"/>
                    <w:left w:val="none" w:sz="0" w:space="0" w:color="auto"/>
                    <w:bottom w:val="none" w:sz="0" w:space="0" w:color="auto"/>
                    <w:right w:val="none" w:sz="0" w:space="0" w:color="auto"/>
                  </w:divBdr>
                </w:div>
                <w:div w:id="1804541596">
                  <w:marLeft w:val="640"/>
                  <w:marRight w:val="0"/>
                  <w:marTop w:val="0"/>
                  <w:marBottom w:val="0"/>
                  <w:divBdr>
                    <w:top w:val="none" w:sz="0" w:space="0" w:color="auto"/>
                    <w:left w:val="none" w:sz="0" w:space="0" w:color="auto"/>
                    <w:bottom w:val="none" w:sz="0" w:space="0" w:color="auto"/>
                    <w:right w:val="none" w:sz="0" w:space="0" w:color="auto"/>
                  </w:divBdr>
                </w:div>
                <w:div w:id="1350135846">
                  <w:marLeft w:val="640"/>
                  <w:marRight w:val="0"/>
                  <w:marTop w:val="0"/>
                  <w:marBottom w:val="0"/>
                  <w:divBdr>
                    <w:top w:val="none" w:sz="0" w:space="0" w:color="auto"/>
                    <w:left w:val="none" w:sz="0" w:space="0" w:color="auto"/>
                    <w:bottom w:val="none" w:sz="0" w:space="0" w:color="auto"/>
                    <w:right w:val="none" w:sz="0" w:space="0" w:color="auto"/>
                  </w:divBdr>
                </w:div>
                <w:div w:id="1509829723">
                  <w:marLeft w:val="640"/>
                  <w:marRight w:val="0"/>
                  <w:marTop w:val="0"/>
                  <w:marBottom w:val="0"/>
                  <w:divBdr>
                    <w:top w:val="none" w:sz="0" w:space="0" w:color="auto"/>
                    <w:left w:val="none" w:sz="0" w:space="0" w:color="auto"/>
                    <w:bottom w:val="none" w:sz="0" w:space="0" w:color="auto"/>
                    <w:right w:val="none" w:sz="0" w:space="0" w:color="auto"/>
                  </w:divBdr>
                </w:div>
                <w:div w:id="411046193">
                  <w:marLeft w:val="640"/>
                  <w:marRight w:val="0"/>
                  <w:marTop w:val="0"/>
                  <w:marBottom w:val="0"/>
                  <w:divBdr>
                    <w:top w:val="none" w:sz="0" w:space="0" w:color="auto"/>
                    <w:left w:val="none" w:sz="0" w:space="0" w:color="auto"/>
                    <w:bottom w:val="none" w:sz="0" w:space="0" w:color="auto"/>
                    <w:right w:val="none" w:sz="0" w:space="0" w:color="auto"/>
                  </w:divBdr>
                </w:div>
                <w:div w:id="438642363">
                  <w:marLeft w:val="640"/>
                  <w:marRight w:val="0"/>
                  <w:marTop w:val="0"/>
                  <w:marBottom w:val="0"/>
                  <w:divBdr>
                    <w:top w:val="none" w:sz="0" w:space="0" w:color="auto"/>
                    <w:left w:val="none" w:sz="0" w:space="0" w:color="auto"/>
                    <w:bottom w:val="none" w:sz="0" w:space="0" w:color="auto"/>
                    <w:right w:val="none" w:sz="0" w:space="0" w:color="auto"/>
                  </w:divBdr>
                </w:div>
                <w:div w:id="285737065">
                  <w:marLeft w:val="640"/>
                  <w:marRight w:val="0"/>
                  <w:marTop w:val="0"/>
                  <w:marBottom w:val="0"/>
                  <w:divBdr>
                    <w:top w:val="none" w:sz="0" w:space="0" w:color="auto"/>
                    <w:left w:val="none" w:sz="0" w:space="0" w:color="auto"/>
                    <w:bottom w:val="none" w:sz="0" w:space="0" w:color="auto"/>
                    <w:right w:val="none" w:sz="0" w:space="0" w:color="auto"/>
                  </w:divBdr>
                </w:div>
              </w:divsChild>
            </w:div>
            <w:div w:id="781917200">
              <w:marLeft w:val="0"/>
              <w:marRight w:val="0"/>
              <w:marTop w:val="0"/>
              <w:marBottom w:val="0"/>
              <w:divBdr>
                <w:top w:val="none" w:sz="0" w:space="0" w:color="auto"/>
                <w:left w:val="none" w:sz="0" w:space="0" w:color="auto"/>
                <w:bottom w:val="none" w:sz="0" w:space="0" w:color="auto"/>
                <w:right w:val="none" w:sz="0" w:space="0" w:color="auto"/>
              </w:divBdr>
              <w:divsChild>
                <w:div w:id="2110537774">
                  <w:marLeft w:val="640"/>
                  <w:marRight w:val="0"/>
                  <w:marTop w:val="0"/>
                  <w:marBottom w:val="0"/>
                  <w:divBdr>
                    <w:top w:val="none" w:sz="0" w:space="0" w:color="auto"/>
                    <w:left w:val="none" w:sz="0" w:space="0" w:color="auto"/>
                    <w:bottom w:val="none" w:sz="0" w:space="0" w:color="auto"/>
                    <w:right w:val="none" w:sz="0" w:space="0" w:color="auto"/>
                  </w:divBdr>
                </w:div>
                <w:div w:id="884946995">
                  <w:marLeft w:val="640"/>
                  <w:marRight w:val="0"/>
                  <w:marTop w:val="0"/>
                  <w:marBottom w:val="0"/>
                  <w:divBdr>
                    <w:top w:val="none" w:sz="0" w:space="0" w:color="auto"/>
                    <w:left w:val="none" w:sz="0" w:space="0" w:color="auto"/>
                    <w:bottom w:val="none" w:sz="0" w:space="0" w:color="auto"/>
                    <w:right w:val="none" w:sz="0" w:space="0" w:color="auto"/>
                  </w:divBdr>
                </w:div>
                <w:div w:id="1230312394">
                  <w:marLeft w:val="640"/>
                  <w:marRight w:val="0"/>
                  <w:marTop w:val="0"/>
                  <w:marBottom w:val="0"/>
                  <w:divBdr>
                    <w:top w:val="none" w:sz="0" w:space="0" w:color="auto"/>
                    <w:left w:val="none" w:sz="0" w:space="0" w:color="auto"/>
                    <w:bottom w:val="none" w:sz="0" w:space="0" w:color="auto"/>
                    <w:right w:val="none" w:sz="0" w:space="0" w:color="auto"/>
                  </w:divBdr>
                </w:div>
                <w:div w:id="1156261739">
                  <w:marLeft w:val="640"/>
                  <w:marRight w:val="0"/>
                  <w:marTop w:val="0"/>
                  <w:marBottom w:val="0"/>
                  <w:divBdr>
                    <w:top w:val="none" w:sz="0" w:space="0" w:color="auto"/>
                    <w:left w:val="none" w:sz="0" w:space="0" w:color="auto"/>
                    <w:bottom w:val="none" w:sz="0" w:space="0" w:color="auto"/>
                    <w:right w:val="none" w:sz="0" w:space="0" w:color="auto"/>
                  </w:divBdr>
                </w:div>
                <w:div w:id="1347750153">
                  <w:marLeft w:val="640"/>
                  <w:marRight w:val="0"/>
                  <w:marTop w:val="0"/>
                  <w:marBottom w:val="0"/>
                  <w:divBdr>
                    <w:top w:val="none" w:sz="0" w:space="0" w:color="auto"/>
                    <w:left w:val="none" w:sz="0" w:space="0" w:color="auto"/>
                    <w:bottom w:val="none" w:sz="0" w:space="0" w:color="auto"/>
                    <w:right w:val="none" w:sz="0" w:space="0" w:color="auto"/>
                  </w:divBdr>
                </w:div>
                <w:div w:id="433550448">
                  <w:marLeft w:val="640"/>
                  <w:marRight w:val="0"/>
                  <w:marTop w:val="0"/>
                  <w:marBottom w:val="0"/>
                  <w:divBdr>
                    <w:top w:val="none" w:sz="0" w:space="0" w:color="auto"/>
                    <w:left w:val="none" w:sz="0" w:space="0" w:color="auto"/>
                    <w:bottom w:val="none" w:sz="0" w:space="0" w:color="auto"/>
                    <w:right w:val="none" w:sz="0" w:space="0" w:color="auto"/>
                  </w:divBdr>
                </w:div>
                <w:div w:id="1979529219">
                  <w:marLeft w:val="640"/>
                  <w:marRight w:val="0"/>
                  <w:marTop w:val="0"/>
                  <w:marBottom w:val="0"/>
                  <w:divBdr>
                    <w:top w:val="none" w:sz="0" w:space="0" w:color="auto"/>
                    <w:left w:val="none" w:sz="0" w:space="0" w:color="auto"/>
                    <w:bottom w:val="none" w:sz="0" w:space="0" w:color="auto"/>
                    <w:right w:val="none" w:sz="0" w:space="0" w:color="auto"/>
                  </w:divBdr>
                </w:div>
                <w:div w:id="851333507">
                  <w:marLeft w:val="640"/>
                  <w:marRight w:val="0"/>
                  <w:marTop w:val="0"/>
                  <w:marBottom w:val="0"/>
                  <w:divBdr>
                    <w:top w:val="none" w:sz="0" w:space="0" w:color="auto"/>
                    <w:left w:val="none" w:sz="0" w:space="0" w:color="auto"/>
                    <w:bottom w:val="none" w:sz="0" w:space="0" w:color="auto"/>
                    <w:right w:val="none" w:sz="0" w:space="0" w:color="auto"/>
                  </w:divBdr>
                </w:div>
                <w:div w:id="1951278004">
                  <w:marLeft w:val="640"/>
                  <w:marRight w:val="0"/>
                  <w:marTop w:val="0"/>
                  <w:marBottom w:val="0"/>
                  <w:divBdr>
                    <w:top w:val="none" w:sz="0" w:space="0" w:color="auto"/>
                    <w:left w:val="none" w:sz="0" w:space="0" w:color="auto"/>
                    <w:bottom w:val="none" w:sz="0" w:space="0" w:color="auto"/>
                    <w:right w:val="none" w:sz="0" w:space="0" w:color="auto"/>
                  </w:divBdr>
                </w:div>
                <w:div w:id="393741096">
                  <w:marLeft w:val="640"/>
                  <w:marRight w:val="0"/>
                  <w:marTop w:val="0"/>
                  <w:marBottom w:val="0"/>
                  <w:divBdr>
                    <w:top w:val="none" w:sz="0" w:space="0" w:color="auto"/>
                    <w:left w:val="none" w:sz="0" w:space="0" w:color="auto"/>
                    <w:bottom w:val="none" w:sz="0" w:space="0" w:color="auto"/>
                    <w:right w:val="none" w:sz="0" w:space="0" w:color="auto"/>
                  </w:divBdr>
                </w:div>
                <w:div w:id="1848977169">
                  <w:marLeft w:val="640"/>
                  <w:marRight w:val="0"/>
                  <w:marTop w:val="0"/>
                  <w:marBottom w:val="0"/>
                  <w:divBdr>
                    <w:top w:val="none" w:sz="0" w:space="0" w:color="auto"/>
                    <w:left w:val="none" w:sz="0" w:space="0" w:color="auto"/>
                    <w:bottom w:val="none" w:sz="0" w:space="0" w:color="auto"/>
                    <w:right w:val="none" w:sz="0" w:space="0" w:color="auto"/>
                  </w:divBdr>
                </w:div>
                <w:div w:id="1537961025">
                  <w:marLeft w:val="640"/>
                  <w:marRight w:val="0"/>
                  <w:marTop w:val="0"/>
                  <w:marBottom w:val="0"/>
                  <w:divBdr>
                    <w:top w:val="none" w:sz="0" w:space="0" w:color="auto"/>
                    <w:left w:val="none" w:sz="0" w:space="0" w:color="auto"/>
                    <w:bottom w:val="none" w:sz="0" w:space="0" w:color="auto"/>
                    <w:right w:val="none" w:sz="0" w:space="0" w:color="auto"/>
                  </w:divBdr>
                </w:div>
                <w:div w:id="1071347202">
                  <w:marLeft w:val="640"/>
                  <w:marRight w:val="0"/>
                  <w:marTop w:val="0"/>
                  <w:marBottom w:val="0"/>
                  <w:divBdr>
                    <w:top w:val="none" w:sz="0" w:space="0" w:color="auto"/>
                    <w:left w:val="none" w:sz="0" w:space="0" w:color="auto"/>
                    <w:bottom w:val="none" w:sz="0" w:space="0" w:color="auto"/>
                    <w:right w:val="none" w:sz="0" w:space="0" w:color="auto"/>
                  </w:divBdr>
                </w:div>
                <w:div w:id="301084831">
                  <w:marLeft w:val="640"/>
                  <w:marRight w:val="0"/>
                  <w:marTop w:val="0"/>
                  <w:marBottom w:val="0"/>
                  <w:divBdr>
                    <w:top w:val="none" w:sz="0" w:space="0" w:color="auto"/>
                    <w:left w:val="none" w:sz="0" w:space="0" w:color="auto"/>
                    <w:bottom w:val="none" w:sz="0" w:space="0" w:color="auto"/>
                    <w:right w:val="none" w:sz="0" w:space="0" w:color="auto"/>
                  </w:divBdr>
                </w:div>
                <w:div w:id="421486260">
                  <w:marLeft w:val="640"/>
                  <w:marRight w:val="0"/>
                  <w:marTop w:val="0"/>
                  <w:marBottom w:val="0"/>
                  <w:divBdr>
                    <w:top w:val="none" w:sz="0" w:space="0" w:color="auto"/>
                    <w:left w:val="none" w:sz="0" w:space="0" w:color="auto"/>
                    <w:bottom w:val="none" w:sz="0" w:space="0" w:color="auto"/>
                    <w:right w:val="none" w:sz="0" w:space="0" w:color="auto"/>
                  </w:divBdr>
                </w:div>
                <w:div w:id="16473083">
                  <w:marLeft w:val="640"/>
                  <w:marRight w:val="0"/>
                  <w:marTop w:val="0"/>
                  <w:marBottom w:val="0"/>
                  <w:divBdr>
                    <w:top w:val="none" w:sz="0" w:space="0" w:color="auto"/>
                    <w:left w:val="none" w:sz="0" w:space="0" w:color="auto"/>
                    <w:bottom w:val="none" w:sz="0" w:space="0" w:color="auto"/>
                    <w:right w:val="none" w:sz="0" w:space="0" w:color="auto"/>
                  </w:divBdr>
                </w:div>
                <w:div w:id="636956455">
                  <w:marLeft w:val="640"/>
                  <w:marRight w:val="0"/>
                  <w:marTop w:val="0"/>
                  <w:marBottom w:val="0"/>
                  <w:divBdr>
                    <w:top w:val="none" w:sz="0" w:space="0" w:color="auto"/>
                    <w:left w:val="none" w:sz="0" w:space="0" w:color="auto"/>
                    <w:bottom w:val="none" w:sz="0" w:space="0" w:color="auto"/>
                    <w:right w:val="none" w:sz="0" w:space="0" w:color="auto"/>
                  </w:divBdr>
                </w:div>
                <w:div w:id="400639165">
                  <w:marLeft w:val="640"/>
                  <w:marRight w:val="0"/>
                  <w:marTop w:val="0"/>
                  <w:marBottom w:val="0"/>
                  <w:divBdr>
                    <w:top w:val="none" w:sz="0" w:space="0" w:color="auto"/>
                    <w:left w:val="none" w:sz="0" w:space="0" w:color="auto"/>
                    <w:bottom w:val="none" w:sz="0" w:space="0" w:color="auto"/>
                    <w:right w:val="none" w:sz="0" w:space="0" w:color="auto"/>
                  </w:divBdr>
                </w:div>
                <w:div w:id="457573816">
                  <w:marLeft w:val="640"/>
                  <w:marRight w:val="0"/>
                  <w:marTop w:val="0"/>
                  <w:marBottom w:val="0"/>
                  <w:divBdr>
                    <w:top w:val="none" w:sz="0" w:space="0" w:color="auto"/>
                    <w:left w:val="none" w:sz="0" w:space="0" w:color="auto"/>
                    <w:bottom w:val="none" w:sz="0" w:space="0" w:color="auto"/>
                    <w:right w:val="none" w:sz="0" w:space="0" w:color="auto"/>
                  </w:divBdr>
                </w:div>
                <w:div w:id="1252079900">
                  <w:marLeft w:val="640"/>
                  <w:marRight w:val="0"/>
                  <w:marTop w:val="0"/>
                  <w:marBottom w:val="0"/>
                  <w:divBdr>
                    <w:top w:val="none" w:sz="0" w:space="0" w:color="auto"/>
                    <w:left w:val="none" w:sz="0" w:space="0" w:color="auto"/>
                    <w:bottom w:val="none" w:sz="0" w:space="0" w:color="auto"/>
                    <w:right w:val="none" w:sz="0" w:space="0" w:color="auto"/>
                  </w:divBdr>
                </w:div>
              </w:divsChild>
            </w:div>
            <w:div w:id="589387272">
              <w:marLeft w:val="0"/>
              <w:marRight w:val="0"/>
              <w:marTop w:val="0"/>
              <w:marBottom w:val="0"/>
              <w:divBdr>
                <w:top w:val="none" w:sz="0" w:space="0" w:color="auto"/>
                <w:left w:val="none" w:sz="0" w:space="0" w:color="auto"/>
                <w:bottom w:val="none" w:sz="0" w:space="0" w:color="auto"/>
                <w:right w:val="none" w:sz="0" w:space="0" w:color="auto"/>
              </w:divBdr>
              <w:divsChild>
                <w:div w:id="433986790">
                  <w:marLeft w:val="640"/>
                  <w:marRight w:val="0"/>
                  <w:marTop w:val="0"/>
                  <w:marBottom w:val="0"/>
                  <w:divBdr>
                    <w:top w:val="none" w:sz="0" w:space="0" w:color="auto"/>
                    <w:left w:val="none" w:sz="0" w:space="0" w:color="auto"/>
                    <w:bottom w:val="none" w:sz="0" w:space="0" w:color="auto"/>
                    <w:right w:val="none" w:sz="0" w:space="0" w:color="auto"/>
                  </w:divBdr>
                </w:div>
                <w:div w:id="187767423">
                  <w:marLeft w:val="640"/>
                  <w:marRight w:val="0"/>
                  <w:marTop w:val="0"/>
                  <w:marBottom w:val="0"/>
                  <w:divBdr>
                    <w:top w:val="none" w:sz="0" w:space="0" w:color="auto"/>
                    <w:left w:val="none" w:sz="0" w:space="0" w:color="auto"/>
                    <w:bottom w:val="none" w:sz="0" w:space="0" w:color="auto"/>
                    <w:right w:val="none" w:sz="0" w:space="0" w:color="auto"/>
                  </w:divBdr>
                </w:div>
                <w:div w:id="1834635992">
                  <w:marLeft w:val="640"/>
                  <w:marRight w:val="0"/>
                  <w:marTop w:val="0"/>
                  <w:marBottom w:val="0"/>
                  <w:divBdr>
                    <w:top w:val="none" w:sz="0" w:space="0" w:color="auto"/>
                    <w:left w:val="none" w:sz="0" w:space="0" w:color="auto"/>
                    <w:bottom w:val="none" w:sz="0" w:space="0" w:color="auto"/>
                    <w:right w:val="none" w:sz="0" w:space="0" w:color="auto"/>
                  </w:divBdr>
                </w:div>
                <w:div w:id="611326995">
                  <w:marLeft w:val="640"/>
                  <w:marRight w:val="0"/>
                  <w:marTop w:val="0"/>
                  <w:marBottom w:val="0"/>
                  <w:divBdr>
                    <w:top w:val="none" w:sz="0" w:space="0" w:color="auto"/>
                    <w:left w:val="none" w:sz="0" w:space="0" w:color="auto"/>
                    <w:bottom w:val="none" w:sz="0" w:space="0" w:color="auto"/>
                    <w:right w:val="none" w:sz="0" w:space="0" w:color="auto"/>
                  </w:divBdr>
                </w:div>
                <w:div w:id="1563179331">
                  <w:marLeft w:val="640"/>
                  <w:marRight w:val="0"/>
                  <w:marTop w:val="0"/>
                  <w:marBottom w:val="0"/>
                  <w:divBdr>
                    <w:top w:val="none" w:sz="0" w:space="0" w:color="auto"/>
                    <w:left w:val="none" w:sz="0" w:space="0" w:color="auto"/>
                    <w:bottom w:val="none" w:sz="0" w:space="0" w:color="auto"/>
                    <w:right w:val="none" w:sz="0" w:space="0" w:color="auto"/>
                  </w:divBdr>
                </w:div>
                <w:div w:id="1545172336">
                  <w:marLeft w:val="640"/>
                  <w:marRight w:val="0"/>
                  <w:marTop w:val="0"/>
                  <w:marBottom w:val="0"/>
                  <w:divBdr>
                    <w:top w:val="none" w:sz="0" w:space="0" w:color="auto"/>
                    <w:left w:val="none" w:sz="0" w:space="0" w:color="auto"/>
                    <w:bottom w:val="none" w:sz="0" w:space="0" w:color="auto"/>
                    <w:right w:val="none" w:sz="0" w:space="0" w:color="auto"/>
                  </w:divBdr>
                </w:div>
                <w:div w:id="671369498">
                  <w:marLeft w:val="640"/>
                  <w:marRight w:val="0"/>
                  <w:marTop w:val="0"/>
                  <w:marBottom w:val="0"/>
                  <w:divBdr>
                    <w:top w:val="none" w:sz="0" w:space="0" w:color="auto"/>
                    <w:left w:val="none" w:sz="0" w:space="0" w:color="auto"/>
                    <w:bottom w:val="none" w:sz="0" w:space="0" w:color="auto"/>
                    <w:right w:val="none" w:sz="0" w:space="0" w:color="auto"/>
                  </w:divBdr>
                </w:div>
                <w:div w:id="1180315115">
                  <w:marLeft w:val="640"/>
                  <w:marRight w:val="0"/>
                  <w:marTop w:val="0"/>
                  <w:marBottom w:val="0"/>
                  <w:divBdr>
                    <w:top w:val="none" w:sz="0" w:space="0" w:color="auto"/>
                    <w:left w:val="none" w:sz="0" w:space="0" w:color="auto"/>
                    <w:bottom w:val="none" w:sz="0" w:space="0" w:color="auto"/>
                    <w:right w:val="none" w:sz="0" w:space="0" w:color="auto"/>
                  </w:divBdr>
                </w:div>
                <w:div w:id="691690056">
                  <w:marLeft w:val="640"/>
                  <w:marRight w:val="0"/>
                  <w:marTop w:val="0"/>
                  <w:marBottom w:val="0"/>
                  <w:divBdr>
                    <w:top w:val="none" w:sz="0" w:space="0" w:color="auto"/>
                    <w:left w:val="none" w:sz="0" w:space="0" w:color="auto"/>
                    <w:bottom w:val="none" w:sz="0" w:space="0" w:color="auto"/>
                    <w:right w:val="none" w:sz="0" w:space="0" w:color="auto"/>
                  </w:divBdr>
                </w:div>
                <w:div w:id="1453786627">
                  <w:marLeft w:val="640"/>
                  <w:marRight w:val="0"/>
                  <w:marTop w:val="0"/>
                  <w:marBottom w:val="0"/>
                  <w:divBdr>
                    <w:top w:val="none" w:sz="0" w:space="0" w:color="auto"/>
                    <w:left w:val="none" w:sz="0" w:space="0" w:color="auto"/>
                    <w:bottom w:val="none" w:sz="0" w:space="0" w:color="auto"/>
                    <w:right w:val="none" w:sz="0" w:space="0" w:color="auto"/>
                  </w:divBdr>
                </w:div>
                <w:div w:id="606473613">
                  <w:marLeft w:val="640"/>
                  <w:marRight w:val="0"/>
                  <w:marTop w:val="0"/>
                  <w:marBottom w:val="0"/>
                  <w:divBdr>
                    <w:top w:val="none" w:sz="0" w:space="0" w:color="auto"/>
                    <w:left w:val="none" w:sz="0" w:space="0" w:color="auto"/>
                    <w:bottom w:val="none" w:sz="0" w:space="0" w:color="auto"/>
                    <w:right w:val="none" w:sz="0" w:space="0" w:color="auto"/>
                  </w:divBdr>
                </w:div>
                <w:div w:id="974724583">
                  <w:marLeft w:val="640"/>
                  <w:marRight w:val="0"/>
                  <w:marTop w:val="0"/>
                  <w:marBottom w:val="0"/>
                  <w:divBdr>
                    <w:top w:val="none" w:sz="0" w:space="0" w:color="auto"/>
                    <w:left w:val="none" w:sz="0" w:space="0" w:color="auto"/>
                    <w:bottom w:val="none" w:sz="0" w:space="0" w:color="auto"/>
                    <w:right w:val="none" w:sz="0" w:space="0" w:color="auto"/>
                  </w:divBdr>
                </w:div>
                <w:div w:id="1475633724">
                  <w:marLeft w:val="640"/>
                  <w:marRight w:val="0"/>
                  <w:marTop w:val="0"/>
                  <w:marBottom w:val="0"/>
                  <w:divBdr>
                    <w:top w:val="none" w:sz="0" w:space="0" w:color="auto"/>
                    <w:left w:val="none" w:sz="0" w:space="0" w:color="auto"/>
                    <w:bottom w:val="none" w:sz="0" w:space="0" w:color="auto"/>
                    <w:right w:val="none" w:sz="0" w:space="0" w:color="auto"/>
                  </w:divBdr>
                </w:div>
                <w:div w:id="1520122147">
                  <w:marLeft w:val="640"/>
                  <w:marRight w:val="0"/>
                  <w:marTop w:val="0"/>
                  <w:marBottom w:val="0"/>
                  <w:divBdr>
                    <w:top w:val="none" w:sz="0" w:space="0" w:color="auto"/>
                    <w:left w:val="none" w:sz="0" w:space="0" w:color="auto"/>
                    <w:bottom w:val="none" w:sz="0" w:space="0" w:color="auto"/>
                    <w:right w:val="none" w:sz="0" w:space="0" w:color="auto"/>
                  </w:divBdr>
                </w:div>
                <w:div w:id="1259603473">
                  <w:marLeft w:val="640"/>
                  <w:marRight w:val="0"/>
                  <w:marTop w:val="0"/>
                  <w:marBottom w:val="0"/>
                  <w:divBdr>
                    <w:top w:val="none" w:sz="0" w:space="0" w:color="auto"/>
                    <w:left w:val="none" w:sz="0" w:space="0" w:color="auto"/>
                    <w:bottom w:val="none" w:sz="0" w:space="0" w:color="auto"/>
                    <w:right w:val="none" w:sz="0" w:space="0" w:color="auto"/>
                  </w:divBdr>
                </w:div>
                <w:div w:id="153842654">
                  <w:marLeft w:val="640"/>
                  <w:marRight w:val="0"/>
                  <w:marTop w:val="0"/>
                  <w:marBottom w:val="0"/>
                  <w:divBdr>
                    <w:top w:val="none" w:sz="0" w:space="0" w:color="auto"/>
                    <w:left w:val="none" w:sz="0" w:space="0" w:color="auto"/>
                    <w:bottom w:val="none" w:sz="0" w:space="0" w:color="auto"/>
                    <w:right w:val="none" w:sz="0" w:space="0" w:color="auto"/>
                  </w:divBdr>
                </w:div>
                <w:div w:id="51511661">
                  <w:marLeft w:val="640"/>
                  <w:marRight w:val="0"/>
                  <w:marTop w:val="0"/>
                  <w:marBottom w:val="0"/>
                  <w:divBdr>
                    <w:top w:val="none" w:sz="0" w:space="0" w:color="auto"/>
                    <w:left w:val="none" w:sz="0" w:space="0" w:color="auto"/>
                    <w:bottom w:val="none" w:sz="0" w:space="0" w:color="auto"/>
                    <w:right w:val="none" w:sz="0" w:space="0" w:color="auto"/>
                  </w:divBdr>
                </w:div>
                <w:div w:id="1195997430">
                  <w:marLeft w:val="640"/>
                  <w:marRight w:val="0"/>
                  <w:marTop w:val="0"/>
                  <w:marBottom w:val="0"/>
                  <w:divBdr>
                    <w:top w:val="none" w:sz="0" w:space="0" w:color="auto"/>
                    <w:left w:val="none" w:sz="0" w:space="0" w:color="auto"/>
                    <w:bottom w:val="none" w:sz="0" w:space="0" w:color="auto"/>
                    <w:right w:val="none" w:sz="0" w:space="0" w:color="auto"/>
                  </w:divBdr>
                </w:div>
                <w:div w:id="1034428524">
                  <w:marLeft w:val="640"/>
                  <w:marRight w:val="0"/>
                  <w:marTop w:val="0"/>
                  <w:marBottom w:val="0"/>
                  <w:divBdr>
                    <w:top w:val="none" w:sz="0" w:space="0" w:color="auto"/>
                    <w:left w:val="none" w:sz="0" w:space="0" w:color="auto"/>
                    <w:bottom w:val="none" w:sz="0" w:space="0" w:color="auto"/>
                    <w:right w:val="none" w:sz="0" w:space="0" w:color="auto"/>
                  </w:divBdr>
                </w:div>
                <w:div w:id="841894744">
                  <w:marLeft w:val="640"/>
                  <w:marRight w:val="0"/>
                  <w:marTop w:val="0"/>
                  <w:marBottom w:val="0"/>
                  <w:divBdr>
                    <w:top w:val="none" w:sz="0" w:space="0" w:color="auto"/>
                    <w:left w:val="none" w:sz="0" w:space="0" w:color="auto"/>
                    <w:bottom w:val="none" w:sz="0" w:space="0" w:color="auto"/>
                    <w:right w:val="none" w:sz="0" w:space="0" w:color="auto"/>
                  </w:divBdr>
                </w:div>
              </w:divsChild>
            </w:div>
            <w:div w:id="1658534128">
              <w:marLeft w:val="0"/>
              <w:marRight w:val="0"/>
              <w:marTop w:val="0"/>
              <w:marBottom w:val="0"/>
              <w:divBdr>
                <w:top w:val="none" w:sz="0" w:space="0" w:color="auto"/>
                <w:left w:val="none" w:sz="0" w:space="0" w:color="auto"/>
                <w:bottom w:val="none" w:sz="0" w:space="0" w:color="auto"/>
                <w:right w:val="none" w:sz="0" w:space="0" w:color="auto"/>
              </w:divBdr>
              <w:divsChild>
                <w:div w:id="1189220102">
                  <w:marLeft w:val="640"/>
                  <w:marRight w:val="0"/>
                  <w:marTop w:val="0"/>
                  <w:marBottom w:val="0"/>
                  <w:divBdr>
                    <w:top w:val="none" w:sz="0" w:space="0" w:color="auto"/>
                    <w:left w:val="none" w:sz="0" w:space="0" w:color="auto"/>
                    <w:bottom w:val="none" w:sz="0" w:space="0" w:color="auto"/>
                    <w:right w:val="none" w:sz="0" w:space="0" w:color="auto"/>
                  </w:divBdr>
                </w:div>
                <w:div w:id="606697869">
                  <w:marLeft w:val="640"/>
                  <w:marRight w:val="0"/>
                  <w:marTop w:val="0"/>
                  <w:marBottom w:val="0"/>
                  <w:divBdr>
                    <w:top w:val="none" w:sz="0" w:space="0" w:color="auto"/>
                    <w:left w:val="none" w:sz="0" w:space="0" w:color="auto"/>
                    <w:bottom w:val="none" w:sz="0" w:space="0" w:color="auto"/>
                    <w:right w:val="none" w:sz="0" w:space="0" w:color="auto"/>
                  </w:divBdr>
                </w:div>
                <w:div w:id="1865247645">
                  <w:marLeft w:val="640"/>
                  <w:marRight w:val="0"/>
                  <w:marTop w:val="0"/>
                  <w:marBottom w:val="0"/>
                  <w:divBdr>
                    <w:top w:val="none" w:sz="0" w:space="0" w:color="auto"/>
                    <w:left w:val="none" w:sz="0" w:space="0" w:color="auto"/>
                    <w:bottom w:val="none" w:sz="0" w:space="0" w:color="auto"/>
                    <w:right w:val="none" w:sz="0" w:space="0" w:color="auto"/>
                  </w:divBdr>
                </w:div>
                <w:div w:id="2070567786">
                  <w:marLeft w:val="640"/>
                  <w:marRight w:val="0"/>
                  <w:marTop w:val="0"/>
                  <w:marBottom w:val="0"/>
                  <w:divBdr>
                    <w:top w:val="none" w:sz="0" w:space="0" w:color="auto"/>
                    <w:left w:val="none" w:sz="0" w:space="0" w:color="auto"/>
                    <w:bottom w:val="none" w:sz="0" w:space="0" w:color="auto"/>
                    <w:right w:val="none" w:sz="0" w:space="0" w:color="auto"/>
                  </w:divBdr>
                </w:div>
                <w:div w:id="1433546690">
                  <w:marLeft w:val="640"/>
                  <w:marRight w:val="0"/>
                  <w:marTop w:val="0"/>
                  <w:marBottom w:val="0"/>
                  <w:divBdr>
                    <w:top w:val="none" w:sz="0" w:space="0" w:color="auto"/>
                    <w:left w:val="none" w:sz="0" w:space="0" w:color="auto"/>
                    <w:bottom w:val="none" w:sz="0" w:space="0" w:color="auto"/>
                    <w:right w:val="none" w:sz="0" w:space="0" w:color="auto"/>
                  </w:divBdr>
                </w:div>
                <w:div w:id="1202017774">
                  <w:marLeft w:val="640"/>
                  <w:marRight w:val="0"/>
                  <w:marTop w:val="0"/>
                  <w:marBottom w:val="0"/>
                  <w:divBdr>
                    <w:top w:val="none" w:sz="0" w:space="0" w:color="auto"/>
                    <w:left w:val="none" w:sz="0" w:space="0" w:color="auto"/>
                    <w:bottom w:val="none" w:sz="0" w:space="0" w:color="auto"/>
                    <w:right w:val="none" w:sz="0" w:space="0" w:color="auto"/>
                  </w:divBdr>
                </w:div>
                <w:div w:id="870335315">
                  <w:marLeft w:val="640"/>
                  <w:marRight w:val="0"/>
                  <w:marTop w:val="0"/>
                  <w:marBottom w:val="0"/>
                  <w:divBdr>
                    <w:top w:val="none" w:sz="0" w:space="0" w:color="auto"/>
                    <w:left w:val="none" w:sz="0" w:space="0" w:color="auto"/>
                    <w:bottom w:val="none" w:sz="0" w:space="0" w:color="auto"/>
                    <w:right w:val="none" w:sz="0" w:space="0" w:color="auto"/>
                  </w:divBdr>
                </w:div>
                <w:div w:id="1956668270">
                  <w:marLeft w:val="640"/>
                  <w:marRight w:val="0"/>
                  <w:marTop w:val="0"/>
                  <w:marBottom w:val="0"/>
                  <w:divBdr>
                    <w:top w:val="none" w:sz="0" w:space="0" w:color="auto"/>
                    <w:left w:val="none" w:sz="0" w:space="0" w:color="auto"/>
                    <w:bottom w:val="none" w:sz="0" w:space="0" w:color="auto"/>
                    <w:right w:val="none" w:sz="0" w:space="0" w:color="auto"/>
                  </w:divBdr>
                </w:div>
                <w:div w:id="969169008">
                  <w:marLeft w:val="640"/>
                  <w:marRight w:val="0"/>
                  <w:marTop w:val="0"/>
                  <w:marBottom w:val="0"/>
                  <w:divBdr>
                    <w:top w:val="none" w:sz="0" w:space="0" w:color="auto"/>
                    <w:left w:val="none" w:sz="0" w:space="0" w:color="auto"/>
                    <w:bottom w:val="none" w:sz="0" w:space="0" w:color="auto"/>
                    <w:right w:val="none" w:sz="0" w:space="0" w:color="auto"/>
                  </w:divBdr>
                </w:div>
                <w:div w:id="1165323845">
                  <w:marLeft w:val="640"/>
                  <w:marRight w:val="0"/>
                  <w:marTop w:val="0"/>
                  <w:marBottom w:val="0"/>
                  <w:divBdr>
                    <w:top w:val="none" w:sz="0" w:space="0" w:color="auto"/>
                    <w:left w:val="none" w:sz="0" w:space="0" w:color="auto"/>
                    <w:bottom w:val="none" w:sz="0" w:space="0" w:color="auto"/>
                    <w:right w:val="none" w:sz="0" w:space="0" w:color="auto"/>
                  </w:divBdr>
                </w:div>
                <w:div w:id="847864894">
                  <w:marLeft w:val="640"/>
                  <w:marRight w:val="0"/>
                  <w:marTop w:val="0"/>
                  <w:marBottom w:val="0"/>
                  <w:divBdr>
                    <w:top w:val="none" w:sz="0" w:space="0" w:color="auto"/>
                    <w:left w:val="none" w:sz="0" w:space="0" w:color="auto"/>
                    <w:bottom w:val="none" w:sz="0" w:space="0" w:color="auto"/>
                    <w:right w:val="none" w:sz="0" w:space="0" w:color="auto"/>
                  </w:divBdr>
                </w:div>
                <w:div w:id="1386562414">
                  <w:marLeft w:val="640"/>
                  <w:marRight w:val="0"/>
                  <w:marTop w:val="0"/>
                  <w:marBottom w:val="0"/>
                  <w:divBdr>
                    <w:top w:val="none" w:sz="0" w:space="0" w:color="auto"/>
                    <w:left w:val="none" w:sz="0" w:space="0" w:color="auto"/>
                    <w:bottom w:val="none" w:sz="0" w:space="0" w:color="auto"/>
                    <w:right w:val="none" w:sz="0" w:space="0" w:color="auto"/>
                  </w:divBdr>
                </w:div>
                <w:div w:id="1025717510">
                  <w:marLeft w:val="640"/>
                  <w:marRight w:val="0"/>
                  <w:marTop w:val="0"/>
                  <w:marBottom w:val="0"/>
                  <w:divBdr>
                    <w:top w:val="none" w:sz="0" w:space="0" w:color="auto"/>
                    <w:left w:val="none" w:sz="0" w:space="0" w:color="auto"/>
                    <w:bottom w:val="none" w:sz="0" w:space="0" w:color="auto"/>
                    <w:right w:val="none" w:sz="0" w:space="0" w:color="auto"/>
                  </w:divBdr>
                </w:div>
                <w:div w:id="351151457">
                  <w:marLeft w:val="640"/>
                  <w:marRight w:val="0"/>
                  <w:marTop w:val="0"/>
                  <w:marBottom w:val="0"/>
                  <w:divBdr>
                    <w:top w:val="none" w:sz="0" w:space="0" w:color="auto"/>
                    <w:left w:val="none" w:sz="0" w:space="0" w:color="auto"/>
                    <w:bottom w:val="none" w:sz="0" w:space="0" w:color="auto"/>
                    <w:right w:val="none" w:sz="0" w:space="0" w:color="auto"/>
                  </w:divBdr>
                </w:div>
                <w:div w:id="803736459">
                  <w:marLeft w:val="640"/>
                  <w:marRight w:val="0"/>
                  <w:marTop w:val="0"/>
                  <w:marBottom w:val="0"/>
                  <w:divBdr>
                    <w:top w:val="none" w:sz="0" w:space="0" w:color="auto"/>
                    <w:left w:val="none" w:sz="0" w:space="0" w:color="auto"/>
                    <w:bottom w:val="none" w:sz="0" w:space="0" w:color="auto"/>
                    <w:right w:val="none" w:sz="0" w:space="0" w:color="auto"/>
                  </w:divBdr>
                </w:div>
                <w:div w:id="1313945466">
                  <w:marLeft w:val="640"/>
                  <w:marRight w:val="0"/>
                  <w:marTop w:val="0"/>
                  <w:marBottom w:val="0"/>
                  <w:divBdr>
                    <w:top w:val="none" w:sz="0" w:space="0" w:color="auto"/>
                    <w:left w:val="none" w:sz="0" w:space="0" w:color="auto"/>
                    <w:bottom w:val="none" w:sz="0" w:space="0" w:color="auto"/>
                    <w:right w:val="none" w:sz="0" w:space="0" w:color="auto"/>
                  </w:divBdr>
                </w:div>
                <w:div w:id="963852788">
                  <w:marLeft w:val="640"/>
                  <w:marRight w:val="0"/>
                  <w:marTop w:val="0"/>
                  <w:marBottom w:val="0"/>
                  <w:divBdr>
                    <w:top w:val="none" w:sz="0" w:space="0" w:color="auto"/>
                    <w:left w:val="none" w:sz="0" w:space="0" w:color="auto"/>
                    <w:bottom w:val="none" w:sz="0" w:space="0" w:color="auto"/>
                    <w:right w:val="none" w:sz="0" w:space="0" w:color="auto"/>
                  </w:divBdr>
                </w:div>
                <w:div w:id="1184785443">
                  <w:marLeft w:val="640"/>
                  <w:marRight w:val="0"/>
                  <w:marTop w:val="0"/>
                  <w:marBottom w:val="0"/>
                  <w:divBdr>
                    <w:top w:val="none" w:sz="0" w:space="0" w:color="auto"/>
                    <w:left w:val="none" w:sz="0" w:space="0" w:color="auto"/>
                    <w:bottom w:val="none" w:sz="0" w:space="0" w:color="auto"/>
                    <w:right w:val="none" w:sz="0" w:space="0" w:color="auto"/>
                  </w:divBdr>
                </w:div>
                <w:div w:id="769817180">
                  <w:marLeft w:val="640"/>
                  <w:marRight w:val="0"/>
                  <w:marTop w:val="0"/>
                  <w:marBottom w:val="0"/>
                  <w:divBdr>
                    <w:top w:val="none" w:sz="0" w:space="0" w:color="auto"/>
                    <w:left w:val="none" w:sz="0" w:space="0" w:color="auto"/>
                    <w:bottom w:val="none" w:sz="0" w:space="0" w:color="auto"/>
                    <w:right w:val="none" w:sz="0" w:space="0" w:color="auto"/>
                  </w:divBdr>
                </w:div>
                <w:div w:id="378436749">
                  <w:marLeft w:val="640"/>
                  <w:marRight w:val="0"/>
                  <w:marTop w:val="0"/>
                  <w:marBottom w:val="0"/>
                  <w:divBdr>
                    <w:top w:val="none" w:sz="0" w:space="0" w:color="auto"/>
                    <w:left w:val="none" w:sz="0" w:space="0" w:color="auto"/>
                    <w:bottom w:val="none" w:sz="0" w:space="0" w:color="auto"/>
                    <w:right w:val="none" w:sz="0" w:space="0" w:color="auto"/>
                  </w:divBdr>
                </w:div>
              </w:divsChild>
            </w:div>
            <w:div w:id="33314036">
              <w:marLeft w:val="0"/>
              <w:marRight w:val="0"/>
              <w:marTop w:val="0"/>
              <w:marBottom w:val="0"/>
              <w:divBdr>
                <w:top w:val="none" w:sz="0" w:space="0" w:color="auto"/>
                <w:left w:val="none" w:sz="0" w:space="0" w:color="auto"/>
                <w:bottom w:val="none" w:sz="0" w:space="0" w:color="auto"/>
                <w:right w:val="none" w:sz="0" w:space="0" w:color="auto"/>
              </w:divBdr>
              <w:divsChild>
                <w:div w:id="277026046">
                  <w:marLeft w:val="640"/>
                  <w:marRight w:val="0"/>
                  <w:marTop w:val="0"/>
                  <w:marBottom w:val="0"/>
                  <w:divBdr>
                    <w:top w:val="none" w:sz="0" w:space="0" w:color="auto"/>
                    <w:left w:val="none" w:sz="0" w:space="0" w:color="auto"/>
                    <w:bottom w:val="none" w:sz="0" w:space="0" w:color="auto"/>
                    <w:right w:val="none" w:sz="0" w:space="0" w:color="auto"/>
                  </w:divBdr>
                </w:div>
                <w:div w:id="1764910911">
                  <w:marLeft w:val="640"/>
                  <w:marRight w:val="0"/>
                  <w:marTop w:val="0"/>
                  <w:marBottom w:val="0"/>
                  <w:divBdr>
                    <w:top w:val="none" w:sz="0" w:space="0" w:color="auto"/>
                    <w:left w:val="none" w:sz="0" w:space="0" w:color="auto"/>
                    <w:bottom w:val="none" w:sz="0" w:space="0" w:color="auto"/>
                    <w:right w:val="none" w:sz="0" w:space="0" w:color="auto"/>
                  </w:divBdr>
                </w:div>
                <w:div w:id="650793627">
                  <w:marLeft w:val="640"/>
                  <w:marRight w:val="0"/>
                  <w:marTop w:val="0"/>
                  <w:marBottom w:val="0"/>
                  <w:divBdr>
                    <w:top w:val="none" w:sz="0" w:space="0" w:color="auto"/>
                    <w:left w:val="none" w:sz="0" w:space="0" w:color="auto"/>
                    <w:bottom w:val="none" w:sz="0" w:space="0" w:color="auto"/>
                    <w:right w:val="none" w:sz="0" w:space="0" w:color="auto"/>
                  </w:divBdr>
                </w:div>
                <w:div w:id="925068464">
                  <w:marLeft w:val="640"/>
                  <w:marRight w:val="0"/>
                  <w:marTop w:val="0"/>
                  <w:marBottom w:val="0"/>
                  <w:divBdr>
                    <w:top w:val="none" w:sz="0" w:space="0" w:color="auto"/>
                    <w:left w:val="none" w:sz="0" w:space="0" w:color="auto"/>
                    <w:bottom w:val="none" w:sz="0" w:space="0" w:color="auto"/>
                    <w:right w:val="none" w:sz="0" w:space="0" w:color="auto"/>
                  </w:divBdr>
                </w:div>
                <w:div w:id="1635210696">
                  <w:marLeft w:val="640"/>
                  <w:marRight w:val="0"/>
                  <w:marTop w:val="0"/>
                  <w:marBottom w:val="0"/>
                  <w:divBdr>
                    <w:top w:val="none" w:sz="0" w:space="0" w:color="auto"/>
                    <w:left w:val="none" w:sz="0" w:space="0" w:color="auto"/>
                    <w:bottom w:val="none" w:sz="0" w:space="0" w:color="auto"/>
                    <w:right w:val="none" w:sz="0" w:space="0" w:color="auto"/>
                  </w:divBdr>
                </w:div>
                <w:div w:id="1534541775">
                  <w:marLeft w:val="640"/>
                  <w:marRight w:val="0"/>
                  <w:marTop w:val="0"/>
                  <w:marBottom w:val="0"/>
                  <w:divBdr>
                    <w:top w:val="none" w:sz="0" w:space="0" w:color="auto"/>
                    <w:left w:val="none" w:sz="0" w:space="0" w:color="auto"/>
                    <w:bottom w:val="none" w:sz="0" w:space="0" w:color="auto"/>
                    <w:right w:val="none" w:sz="0" w:space="0" w:color="auto"/>
                  </w:divBdr>
                </w:div>
                <w:div w:id="1630552186">
                  <w:marLeft w:val="640"/>
                  <w:marRight w:val="0"/>
                  <w:marTop w:val="0"/>
                  <w:marBottom w:val="0"/>
                  <w:divBdr>
                    <w:top w:val="none" w:sz="0" w:space="0" w:color="auto"/>
                    <w:left w:val="none" w:sz="0" w:space="0" w:color="auto"/>
                    <w:bottom w:val="none" w:sz="0" w:space="0" w:color="auto"/>
                    <w:right w:val="none" w:sz="0" w:space="0" w:color="auto"/>
                  </w:divBdr>
                </w:div>
                <w:div w:id="421726436">
                  <w:marLeft w:val="640"/>
                  <w:marRight w:val="0"/>
                  <w:marTop w:val="0"/>
                  <w:marBottom w:val="0"/>
                  <w:divBdr>
                    <w:top w:val="none" w:sz="0" w:space="0" w:color="auto"/>
                    <w:left w:val="none" w:sz="0" w:space="0" w:color="auto"/>
                    <w:bottom w:val="none" w:sz="0" w:space="0" w:color="auto"/>
                    <w:right w:val="none" w:sz="0" w:space="0" w:color="auto"/>
                  </w:divBdr>
                </w:div>
                <w:div w:id="1336762159">
                  <w:marLeft w:val="640"/>
                  <w:marRight w:val="0"/>
                  <w:marTop w:val="0"/>
                  <w:marBottom w:val="0"/>
                  <w:divBdr>
                    <w:top w:val="none" w:sz="0" w:space="0" w:color="auto"/>
                    <w:left w:val="none" w:sz="0" w:space="0" w:color="auto"/>
                    <w:bottom w:val="none" w:sz="0" w:space="0" w:color="auto"/>
                    <w:right w:val="none" w:sz="0" w:space="0" w:color="auto"/>
                  </w:divBdr>
                </w:div>
                <w:div w:id="825366298">
                  <w:marLeft w:val="640"/>
                  <w:marRight w:val="0"/>
                  <w:marTop w:val="0"/>
                  <w:marBottom w:val="0"/>
                  <w:divBdr>
                    <w:top w:val="none" w:sz="0" w:space="0" w:color="auto"/>
                    <w:left w:val="none" w:sz="0" w:space="0" w:color="auto"/>
                    <w:bottom w:val="none" w:sz="0" w:space="0" w:color="auto"/>
                    <w:right w:val="none" w:sz="0" w:space="0" w:color="auto"/>
                  </w:divBdr>
                </w:div>
                <w:div w:id="2069960092">
                  <w:marLeft w:val="640"/>
                  <w:marRight w:val="0"/>
                  <w:marTop w:val="0"/>
                  <w:marBottom w:val="0"/>
                  <w:divBdr>
                    <w:top w:val="none" w:sz="0" w:space="0" w:color="auto"/>
                    <w:left w:val="none" w:sz="0" w:space="0" w:color="auto"/>
                    <w:bottom w:val="none" w:sz="0" w:space="0" w:color="auto"/>
                    <w:right w:val="none" w:sz="0" w:space="0" w:color="auto"/>
                  </w:divBdr>
                </w:div>
                <w:div w:id="298733085">
                  <w:marLeft w:val="640"/>
                  <w:marRight w:val="0"/>
                  <w:marTop w:val="0"/>
                  <w:marBottom w:val="0"/>
                  <w:divBdr>
                    <w:top w:val="none" w:sz="0" w:space="0" w:color="auto"/>
                    <w:left w:val="none" w:sz="0" w:space="0" w:color="auto"/>
                    <w:bottom w:val="none" w:sz="0" w:space="0" w:color="auto"/>
                    <w:right w:val="none" w:sz="0" w:space="0" w:color="auto"/>
                  </w:divBdr>
                </w:div>
                <w:div w:id="1566988846">
                  <w:marLeft w:val="640"/>
                  <w:marRight w:val="0"/>
                  <w:marTop w:val="0"/>
                  <w:marBottom w:val="0"/>
                  <w:divBdr>
                    <w:top w:val="none" w:sz="0" w:space="0" w:color="auto"/>
                    <w:left w:val="none" w:sz="0" w:space="0" w:color="auto"/>
                    <w:bottom w:val="none" w:sz="0" w:space="0" w:color="auto"/>
                    <w:right w:val="none" w:sz="0" w:space="0" w:color="auto"/>
                  </w:divBdr>
                </w:div>
                <w:div w:id="1061028232">
                  <w:marLeft w:val="640"/>
                  <w:marRight w:val="0"/>
                  <w:marTop w:val="0"/>
                  <w:marBottom w:val="0"/>
                  <w:divBdr>
                    <w:top w:val="none" w:sz="0" w:space="0" w:color="auto"/>
                    <w:left w:val="none" w:sz="0" w:space="0" w:color="auto"/>
                    <w:bottom w:val="none" w:sz="0" w:space="0" w:color="auto"/>
                    <w:right w:val="none" w:sz="0" w:space="0" w:color="auto"/>
                  </w:divBdr>
                </w:div>
                <w:div w:id="79065265">
                  <w:marLeft w:val="640"/>
                  <w:marRight w:val="0"/>
                  <w:marTop w:val="0"/>
                  <w:marBottom w:val="0"/>
                  <w:divBdr>
                    <w:top w:val="none" w:sz="0" w:space="0" w:color="auto"/>
                    <w:left w:val="none" w:sz="0" w:space="0" w:color="auto"/>
                    <w:bottom w:val="none" w:sz="0" w:space="0" w:color="auto"/>
                    <w:right w:val="none" w:sz="0" w:space="0" w:color="auto"/>
                  </w:divBdr>
                </w:div>
                <w:div w:id="855462694">
                  <w:marLeft w:val="640"/>
                  <w:marRight w:val="0"/>
                  <w:marTop w:val="0"/>
                  <w:marBottom w:val="0"/>
                  <w:divBdr>
                    <w:top w:val="none" w:sz="0" w:space="0" w:color="auto"/>
                    <w:left w:val="none" w:sz="0" w:space="0" w:color="auto"/>
                    <w:bottom w:val="none" w:sz="0" w:space="0" w:color="auto"/>
                    <w:right w:val="none" w:sz="0" w:space="0" w:color="auto"/>
                  </w:divBdr>
                </w:div>
                <w:div w:id="1676420947">
                  <w:marLeft w:val="640"/>
                  <w:marRight w:val="0"/>
                  <w:marTop w:val="0"/>
                  <w:marBottom w:val="0"/>
                  <w:divBdr>
                    <w:top w:val="none" w:sz="0" w:space="0" w:color="auto"/>
                    <w:left w:val="none" w:sz="0" w:space="0" w:color="auto"/>
                    <w:bottom w:val="none" w:sz="0" w:space="0" w:color="auto"/>
                    <w:right w:val="none" w:sz="0" w:space="0" w:color="auto"/>
                  </w:divBdr>
                </w:div>
                <w:div w:id="1230459622">
                  <w:marLeft w:val="640"/>
                  <w:marRight w:val="0"/>
                  <w:marTop w:val="0"/>
                  <w:marBottom w:val="0"/>
                  <w:divBdr>
                    <w:top w:val="none" w:sz="0" w:space="0" w:color="auto"/>
                    <w:left w:val="none" w:sz="0" w:space="0" w:color="auto"/>
                    <w:bottom w:val="none" w:sz="0" w:space="0" w:color="auto"/>
                    <w:right w:val="none" w:sz="0" w:space="0" w:color="auto"/>
                  </w:divBdr>
                </w:div>
                <w:div w:id="510604500">
                  <w:marLeft w:val="640"/>
                  <w:marRight w:val="0"/>
                  <w:marTop w:val="0"/>
                  <w:marBottom w:val="0"/>
                  <w:divBdr>
                    <w:top w:val="none" w:sz="0" w:space="0" w:color="auto"/>
                    <w:left w:val="none" w:sz="0" w:space="0" w:color="auto"/>
                    <w:bottom w:val="none" w:sz="0" w:space="0" w:color="auto"/>
                    <w:right w:val="none" w:sz="0" w:space="0" w:color="auto"/>
                  </w:divBdr>
                </w:div>
                <w:div w:id="1163932282">
                  <w:marLeft w:val="640"/>
                  <w:marRight w:val="0"/>
                  <w:marTop w:val="0"/>
                  <w:marBottom w:val="0"/>
                  <w:divBdr>
                    <w:top w:val="none" w:sz="0" w:space="0" w:color="auto"/>
                    <w:left w:val="none" w:sz="0" w:space="0" w:color="auto"/>
                    <w:bottom w:val="none" w:sz="0" w:space="0" w:color="auto"/>
                    <w:right w:val="none" w:sz="0" w:space="0" w:color="auto"/>
                  </w:divBdr>
                </w:div>
                <w:div w:id="786701052">
                  <w:marLeft w:val="640"/>
                  <w:marRight w:val="0"/>
                  <w:marTop w:val="0"/>
                  <w:marBottom w:val="0"/>
                  <w:divBdr>
                    <w:top w:val="none" w:sz="0" w:space="0" w:color="auto"/>
                    <w:left w:val="none" w:sz="0" w:space="0" w:color="auto"/>
                    <w:bottom w:val="none" w:sz="0" w:space="0" w:color="auto"/>
                    <w:right w:val="none" w:sz="0" w:space="0" w:color="auto"/>
                  </w:divBdr>
                </w:div>
              </w:divsChild>
            </w:div>
            <w:div w:id="1900746874">
              <w:marLeft w:val="0"/>
              <w:marRight w:val="0"/>
              <w:marTop w:val="0"/>
              <w:marBottom w:val="0"/>
              <w:divBdr>
                <w:top w:val="none" w:sz="0" w:space="0" w:color="auto"/>
                <w:left w:val="none" w:sz="0" w:space="0" w:color="auto"/>
                <w:bottom w:val="none" w:sz="0" w:space="0" w:color="auto"/>
                <w:right w:val="none" w:sz="0" w:space="0" w:color="auto"/>
              </w:divBdr>
              <w:divsChild>
                <w:div w:id="542668954">
                  <w:marLeft w:val="640"/>
                  <w:marRight w:val="0"/>
                  <w:marTop w:val="0"/>
                  <w:marBottom w:val="0"/>
                  <w:divBdr>
                    <w:top w:val="none" w:sz="0" w:space="0" w:color="auto"/>
                    <w:left w:val="none" w:sz="0" w:space="0" w:color="auto"/>
                    <w:bottom w:val="none" w:sz="0" w:space="0" w:color="auto"/>
                    <w:right w:val="none" w:sz="0" w:space="0" w:color="auto"/>
                  </w:divBdr>
                </w:div>
                <w:div w:id="163280779">
                  <w:marLeft w:val="640"/>
                  <w:marRight w:val="0"/>
                  <w:marTop w:val="0"/>
                  <w:marBottom w:val="0"/>
                  <w:divBdr>
                    <w:top w:val="none" w:sz="0" w:space="0" w:color="auto"/>
                    <w:left w:val="none" w:sz="0" w:space="0" w:color="auto"/>
                    <w:bottom w:val="none" w:sz="0" w:space="0" w:color="auto"/>
                    <w:right w:val="none" w:sz="0" w:space="0" w:color="auto"/>
                  </w:divBdr>
                </w:div>
                <w:div w:id="1414857455">
                  <w:marLeft w:val="640"/>
                  <w:marRight w:val="0"/>
                  <w:marTop w:val="0"/>
                  <w:marBottom w:val="0"/>
                  <w:divBdr>
                    <w:top w:val="none" w:sz="0" w:space="0" w:color="auto"/>
                    <w:left w:val="none" w:sz="0" w:space="0" w:color="auto"/>
                    <w:bottom w:val="none" w:sz="0" w:space="0" w:color="auto"/>
                    <w:right w:val="none" w:sz="0" w:space="0" w:color="auto"/>
                  </w:divBdr>
                </w:div>
                <w:div w:id="405229282">
                  <w:marLeft w:val="640"/>
                  <w:marRight w:val="0"/>
                  <w:marTop w:val="0"/>
                  <w:marBottom w:val="0"/>
                  <w:divBdr>
                    <w:top w:val="none" w:sz="0" w:space="0" w:color="auto"/>
                    <w:left w:val="none" w:sz="0" w:space="0" w:color="auto"/>
                    <w:bottom w:val="none" w:sz="0" w:space="0" w:color="auto"/>
                    <w:right w:val="none" w:sz="0" w:space="0" w:color="auto"/>
                  </w:divBdr>
                </w:div>
                <w:div w:id="474876299">
                  <w:marLeft w:val="640"/>
                  <w:marRight w:val="0"/>
                  <w:marTop w:val="0"/>
                  <w:marBottom w:val="0"/>
                  <w:divBdr>
                    <w:top w:val="none" w:sz="0" w:space="0" w:color="auto"/>
                    <w:left w:val="none" w:sz="0" w:space="0" w:color="auto"/>
                    <w:bottom w:val="none" w:sz="0" w:space="0" w:color="auto"/>
                    <w:right w:val="none" w:sz="0" w:space="0" w:color="auto"/>
                  </w:divBdr>
                </w:div>
                <w:div w:id="1836069851">
                  <w:marLeft w:val="640"/>
                  <w:marRight w:val="0"/>
                  <w:marTop w:val="0"/>
                  <w:marBottom w:val="0"/>
                  <w:divBdr>
                    <w:top w:val="none" w:sz="0" w:space="0" w:color="auto"/>
                    <w:left w:val="none" w:sz="0" w:space="0" w:color="auto"/>
                    <w:bottom w:val="none" w:sz="0" w:space="0" w:color="auto"/>
                    <w:right w:val="none" w:sz="0" w:space="0" w:color="auto"/>
                  </w:divBdr>
                </w:div>
                <w:div w:id="534581880">
                  <w:marLeft w:val="640"/>
                  <w:marRight w:val="0"/>
                  <w:marTop w:val="0"/>
                  <w:marBottom w:val="0"/>
                  <w:divBdr>
                    <w:top w:val="none" w:sz="0" w:space="0" w:color="auto"/>
                    <w:left w:val="none" w:sz="0" w:space="0" w:color="auto"/>
                    <w:bottom w:val="none" w:sz="0" w:space="0" w:color="auto"/>
                    <w:right w:val="none" w:sz="0" w:space="0" w:color="auto"/>
                  </w:divBdr>
                </w:div>
                <w:div w:id="743255678">
                  <w:marLeft w:val="640"/>
                  <w:marRight w:val="0"/>
                  <w:marTop w:val="0"/>
                  <w:marBottom w:val="0"/>
                  <w:divBdr>
                    <w:top w:val="none" w:sz="0" w:space="0" w:color="auto"/>
                    <w:left w:val="none" w:sz="0" w:space="0" w:color="auto"/>
                    <w:bottom w:val="none" w:sz="0" w:space="0" w:color="auto"/>
                    <w:right w:val="none" w:sz="0" w:space="0" w:color="auto"/>
                  </w:divBdr>
                </w:div>
                <w:div w:id="830871046">
                  <w:marLeft w:val="640"/>
                  <w:marRight w:val="0"/>
                  <w:marTop w:val="0"/>
                  <w:marBottom w:val="0"/>
                  <w:divBdr>
                    <w:top w:val="none" w:sz="0" w:space="0" w:color="auto"/>
                    <w:left w:val="none" w:sz="0" w:space="0" w:color="auto"/>
                    <w:bottom w:val="none" w:sz="0" w:space="0" w:color="auto"/>
                    <w:right w:val="none" w:sz="0" w:space="0" w:color="auto"/>
                  </w:divBdr>
                </w:div>
                <w:div w:id="421344416">
                  <w:marLeft w:val="640"/>
                  <w:marRight w:val="0"/>
                  <w:marTop w:val="0"/>
                  <w:marBottom w:val="0"/>
                  <w:divBdr>
                    <w:top w:val="none" w:sz="0" w:space="0" w:color="auto"/>
                    <w:left w:val="none" w:sz="0" w:space="0" w:color="auto"/>
                    <w:bottom w:val="none" w:sz="0" w:space="0" w:color="auto"/>
                    <w:right w:val="none" w:sz="0" w:space="0" w:color="auto"/>
                  </w:divBdr>
                </w:div>
                <w:div w:id="188687977">
                  <w:marLeft w:val="640"/>
                  <w:marRight w:val="0"/>
                  <w:marTop w:val="0"/>
                  <w:marBottom w:val="0"/>
                  <w:divBdr>
                    <w:top w:val="none" w:sz="0" w:space="0" w:color="auto"/>
                    <w:left w:val="none" w:sz="0" w:space="0" w:color="auto"/>
                    <w:bottom w:val="none" w:sz="0" w:space="0" w:color="auto"/>
                    <w:right w:val="none" w:sz="0" w:space="0" w:color="auto"/>
                  </w:divBdr>
                </w:div>
                <w:div w:id="1187449262">
                  <w:marLeft w:val="640"/>
                  <w:marRight w:val="0"/>
                  <w:marTop w:val="0"/>
                  <w:marBottom w:val="0"/>
                  <w:divBdr>
                    <w:top w:val="none" w:sz="0" w:space="0" w:color="auto"/>
                    <w:left w:val="none" w:sz="0" w:space="0" w:color="auto"/>
                    <w:bottom w:val="none" w:sz="0" w:space="0" w:color="auto"/>
                    <w:right w:val="none" w:sz="0" w:space="0" w:color="auto"/>
                  </w:divBdr>
                </w:div>
                <w:div w:id="1013992175">
                  <w:marLeft w:val="640"/>
                  <w:marRight w:val="0"/>
                  <w:marTop w:val="0"/>
                  <w:marBottom w:val="0"/>
                  <w:divBdr>
                    <w:top w:val="none" w:sz="0" w:space="0" w:color="auto"/>
                    <w:left w:val="none" w:sz="0" w:space="0" w:color="auto"/>
                    <w:bottom w:val="none" w:sz="0" w:space="0" w:color="auto"/>
                    <w:right w:val="none" w:sz="0" w:space="0" w:color="auto"/>
                  </w:divBdr>
                </w:div>
                <w:div w:id="425923479">
                  <w:marLeft w:val="640"/>
                  <w:marRight w:val="0"/>
                  <w:marTop w:val="0"/>
                  <w:marBottom w:val="0"/>
                  <w:divBdr>
                    <w:top w:val="none" w:sz="0" w:space="0" w:color="auto"/>
                    <w:left w:val="none" w:sz="0" w:space="0" w:color="auto"/>
                    <w:bottom w:val="none" w:sz="0" w:space="0" w:color="auto"/>
                    <w:right w:val="none" w:sz="0" w:space="0" w:color="auto"/>
                  </w:divBdr>
                </w:div>
                <w:div w:id="970594300">
                  <w:marLeft w:val="640"/>
                  <w:marRight w:val="0"/>
                  <w:marTop w:val="0"/>
                  <w:marBottom w:val="0"/>
                  <w:divBdr>
                    <w:top w:val="none" w:sz="0" w:space="0" w:color="auto"/>
                    <w:left w:val="none" w:sz="0" w:space="0" w:color="auto"/>
                    <w:bottom w:val="none" w:sz="0" w:space="0" w:color="auto"/>
                    <w:right w:val="none" w:sz="0" w:space="0" w:color="auto"/>
                  </w:divBdr>
                </w:div>
                <w:div w:id="1287196614">
                  <w:marLeft w:val="640"/>
                  <w:marRight w:val="0"/>
                  <w:marTop w:val="0"/>
                  <w:marBottom w:val="0"/>
                  <w:divBdr>
                    <w:top w:val="none" w:sz="0" w:space="0" w:color="auto"/>
                    <w:left w:val="none" w:sz="0" w:space="0" w:color="auto"/>
                    <w:bottom w:val="none" w:sz="0" w:space="0" w:color="auto"/>
                    <w:right w:val="none" w:sz="0" w:space="0" w:color="auto"/>
                  </w:divBdr>
                </w:div>
                <w:div w:id="1267468063">
                  <w:marLeft w:val="640"/>
                  <w:marRight w:val="0"/>
                  <w:marTop w:val="0"/>
                  <w:marBottom w:val="0"/>
                  <w:divBdr>
                    <w:top w:val="none" w:sz="0" w:space="0" w:color="auto"/>
                    <w:left w:val="none" w:sz="0" w:space="0" w:color="auto"/>
                    <w:bottom w:val="none" w:sz="0" w:space="0" w:color="auto"/>
                    <w:right w:val="none" w:sz="0" w:space="0" w:color="auto"/>
                  </w:divBdr>
                </w:div>
                <w:div w:id="1477914561">
                  <w:marLeft w:val="640"/>
                  <w:marRight w:val="0"/>
                  <w:marTop w:val="0"/>
                  <w:marBottom w:val="0"/>
                  <w:divBdr>
                    <w:top w:val="none" w:sz="0" w:space="0" w:color="auto"/>
                    <w:left w:val="none" w:sz="0" w:space="0" w:color="auto"/>
                    <w:bottom w:val="none" w:sz="0" w:space="0" w:color="auto"/>
                    <w:right w:val="none" w:sz="0" w:space="0" w:color="auto"/>
                  </w:divBdr>
                </w:div>
                <w:div w:id="91170429">
                  <w:marLeft w:val="640"/>
                  <w:marRight w:val="0"/>
                  <w:marTop w:val="0"/>
                  <w:marBottom w:val="0"/>
                  <w:divBdr>
                    <w:top w:val="none" w:sz="0" w:space="0" w:color="auto"/>
                    <w:left w:val="none" w:sz="0" w:space="0" w:color="auto"/>
                    <w:bottom w:val="none" w:sz="0" w:space="0" w:color="auto"/>
                    <w:right w:val="none" w:sz="0" w:space="0" w:color="auto"/>
                  </w:divBdr>
                </w:div>
                <w:div w:id="754668551">
                  <w:marLeft w:val="640"/>
                  <w:marRight w:val="0"/>
                  <w:marTop w:val="0"/>
                  <w:marBottom w:val="0"/>
                  <w:divBdr>
                    <w:top w:val="none" w:sz="0" w:space="0" w:color="auto"/>
                    <w:left w:val="none" w:sz="0" w:space="0" w:color="auto"/>
                    <w:bottom w:val="none" w:sz="0" w:space="0" w:color="auto"/>
                    <w:right w:val="none" w:sz="0" w:space="0" w:color="auto"/>
                  </w:divBdr>
                </w:div>
                <w:div w:id="1162084502">
                  <w:marLeft w:val="640"/>
                  <w:marRight w:val="0"/>
                  <w:marTop w:val="0"/>
                  <w:marBottom w:val="0"/>
                  <w:divBdr>
                    <w:top w:val="none" w:sz="0" w:space="0" w:color="auto"/>
                    <w:left w:val="none" w:sz="0" w:space="0" w:color="auto"/>
                    <w:bottom w:val="none" w:sz="0" w:space="0" w:color="auto"/>
                    <w:right w:val="none" w:sz="0" w:space="0" w:color="auto"/>
                  </w:divBdr>
                </w:div>
              </w:divsChild>
            </w:div>
            <w:div w:id="581523957">
              <w:marLeft w:val="0"/>
              <w:marRight w:val="0"/>
              <w:marTop w:val="0"/>
              <w:marBottom w:val="0"/>
              <w:divBdr>
                <w:top w:val="none" w:sz="0" w:space="0" w:color="auto"/>
                <w:left w:val="none" w:sz="0" w:space="0" w:color="auto"/>
                <w:bottom w:val="none" w:sz="0" w:space="0" w:color="auto"/>
                <w:right w:val="none" w:sz="0" w:space="0" w:color="auto"/>
              </w:divBdr>
              <w:divsChild>
                <w:div w:id="2016180032">
                  <w:marLeft w:val="640"/>
                  <w:marRight w:val="0"/>
                  <w:marTop w:val="0"/>
                  <w:marBottom w:val="0"/>
                  <w:divBdr>
                    <w:top w:val="none" w:sz="0" w:space="0" w:color="auto"/>
                    <w:left w:val="none" w:sz="0" w:space="0" w:color="auto"/>
                    <w:bottom w:val="none" w:sz="0" w:space="0" w:color="auto"/>
                    <w:right w:val="none" w:sz="0" w:space="0" w:color="auto"/>
                  </w:divBdr>
                </w:div>
                <w:div w:id="2072993478">
                  <w:marLeft w:val="640"/>
                  <w:marRight w:val="0"/>
                  <w:marTop w:val="0"/>
                  <w:marBottom w:val="0"/>
                  <w:divBdr>
                    <w:top w:val="none" w:sz="0" w:space="0" w:color="auto"/>
                    <w:left w:val="none" w:sz="0" w:space="0" w:color="auto"/>
                    <w:bottom w:val="none" w:sz="0" w:space="0" w:color="auto"/>
                    <w:right w:val="none" w:sz="0" w:space="0" w:color="auto"/>
                  </w:divBdr>
                </w:div>
                <w:div w:id="2088308955">
                  <w:marLeft w:val="640"/>
                  <w:marRight w:val="0"/>
                  <w:marTop w:val="0"/>
                  <w:marBottom w:val="0"/>
                  <w:divBdr>
                    <w:top w:val="none" w:sz="0" w:space="0" w:color="auto"/>
                    <w:left w:val="none" w:sz="0" w:space="0" w:color="auto"/>
                    <w:bottom w:val="none" w:sz="0" w:space="0" w:color="auto"/>
                    <w:right w:val="none" w:sz="0" w:space="0" w:color="auto"/>
                  </w:divBdr>
                </w:div>
                <w:div w:id="1450513103">
                  <w:marLeft w:val="640"/>
                  <w:marRight w:val="0"/>
                  <w:marTop w:val="0"/>
                  <w:marBottom w:val="0"/>
                  <w:divBdr>
                    <w:top w:val="none" w:sz="0" w:space="0" w:color="auto"/>
                    <w:left w:val="none" w:sz="0" w:space="0" w:color="auto"/>
                    <w:bottom w:val="none" w:sz="0" w:space="0" w:color="auto"/>
                    <w:right w:val="none" w:sz="0" w:space="0" w:color="auto"/>
                  </w:divBdr>
                </w:div>
                <w:div w:id="176311878">
                  <w:marLeft w:val="640"/>
                  <w:marRight w:val="0"/>
                  <w:marTop w:val="0"/>
                  <w:marBottom w:val="0"/>
                  <w:divBdr>
                    <w:top w:val="none" w:sz="0" w:space="0" w:color="auto"/>
                    <w:left w:val="none" w:sz="0" w:space="0" w:color="auto"/>
                    <w:bottom w:val="none" w:sz="0" w:space="0" w:color="auto"/>
                    <w:right w:val="none" w:sz="0" w:space="0" w:color="auto"/>
                  </w:divBdr>
                </w:div>
                <w:div w:id="397678756">
                  <w:marLeft w:val="640"/>
                  <w:marRight w:val="0"/>
                  <w:marTop w:val="0"/>
                  <w:marBottom w:val="0"/>
                  <w:divBdr>
                    <w:top w:val="none" w:sz="0" w:space="0" w:color="auto"/>
                    <w:left w:val="none" w:sz="0" w:space="0" w:color="auto"/>
                    <w:bottom w:val="none" w:sz="0" w:space="0" w:color="auto"/>
                    <w:right w:val="none" w:sz="0" w:space="0" w:color="auto"/>
                  </w:divBdr>
                </w:div>
                <w:div w:id="1992294774">
                  <w:marLeft w:val="640"/>
                  <w:marRight w:val="0"/>
                  <w:marTop w:val="0"/>
                  <w:marBottom w:val="0"/>
                  <w:divBdr>
                    <w:top w:val="none" w:sz="0" w:space="0" w:color="auto"/>
                    <w:left w:val="none" w:sz="0" w:space="0" w:color="auto"/>
                    <w:bottom w:val="none" w:sz="0" w:space="0" w:color="auto"/>
                    <w:right w:val="none" w:sz="0" w:space="0" w:color="auto"/>
                  </w:divBdr>
                </w:div>
                <w:div w:id="438837492">
                  <w:marLeft w:val="640"/>
                  <w:marRight w:val="0"/>
                  <w:marTop w:val="0"/>
                  <w:marBottom w:val="0"/>
                  <w:divBdr>
                    <w:top w:val="none" w:sz="0" w:space="0" w:color="auto"/>
                    <w:left w:val="none" w:sz="0" w:space="0" w:color="auto"/>
                    <w:bottom w:val="none" w:sz="0" w:space="0" w:color="auto"/>
                    <w:right w:val="none" w:sz="0" w:space="0" w:color="auto"/>
                  </w:divBdr>
                </w:div>
                <w:div w:id="480969365">
                  <w:marLeft w:val="640"/>
                  <w:marRight w:val="0"/>
                  <w:marTop w:val="0"/>
                  <w:marBottom w:val="0"/>
                  <w:divBdr>
                    <w:top w:val="none" w:sz="0" w:space="0" w:color="auto"/>
                    <w:left w:val="none" w:sz="0" w:space="0" w:color="auto"/>
                    <w:bottom w:val="none" w:sz="0" w:space="0" w:color="auto"/>
                    <w:right w:val="none" w:sz="0" w:space="0" w:color="auto"/>
                  </w:divBdr>
                </w:div>
                <w:div w:id="498543225">
                  <w:marLeft w:val="640"/>
                  <w:marRight w:val="0"/>
                  <w:marTop w:val="0"/>
                  <w:marBottom w:val="0"/>
                  <w:divBdr>
                    <w:top w:val="none" w:sz="0" w:space="0" w:color="auto"/>
                    <w:left w:val="none" w:sz="0" w:space="0" w:color="auto"/>
                    <w:bottom w:val="none" w:sz="0" w:space="0" w:color="auto"/>
                    <w:right w:val="none" w:sz="0" w:space="0" w:color="auto"/>
                  </w:divBdr>
                </w:div>
                <w:div w:id="1784953669">
                  <w:marLeft w:val="640"/>
                  <w:marRight w:val="0"/>
                  <w:marTop w:val="0"/>
                  <w:marBottom w:val="0"/>
                  <w:divBdr>
                    <w:top w:val="none" w:sz="0" w:space="0" w:color="auto"/>
                    <w:left w:val="none" w:sz="0" w:space="0" w:color="auto"/>
                    <w:bottom w:val="none" w:sz="0" w:space="0" w:color="auto"/>
                    <w:right w:val="none" w:sz="0" w:space="0" w:color="auto"/>
                  </w:divBdr>
                </w:div>
                <w:div w:id="1335768734">
                  <w:marLeft w:val="640"/>
                  <w:marRight w:val="0"/>
                  <w:marTop w:val="0"/>
                  <w:marBottom w:val="0"/>
                  <w:divBdr>
                    <w:top w:val="none" w:sz="0" w:space="0" w:color="auto"/>
                    <w:left w:val="none" w:sz="0" w:space="0" w:color="auto"/>
                    <w:bottom w:val="none" w:sz="0" w:space="0" w:color="auto"/>
                    <w:right w:val="none" w:sz="0" w:space="0" w:color="auto"/>
                  </w:divBdr>
                </w:div>
                <w:div w:id="2042590667">
                  <w:marLeft w:val="640"/>
                  <w:marRight w:val="0"/>
                  <w:marTop w:val="0"/>
                  <w:marBottom w:val="0"/>
                  <w:divBdr>
                    <w:top w:val="none" w:sz="0" w:space="0" w:color="auto"/>
                    <w:left w:val="none" w:sz="0" w:space="0" w:color="auto"/>
                    <w:bottom w:val="none" w:sz="0" w:space="0" w:color="auto"/>
                    <w:right w:val="none" w:sz="0" w:space="0" w:color="auto"/>
                  </w:divBdr>
                </w:div>
                <w:div w:id="1797604993">
                  <w:marLeft w:val="640"/>
                  <w:marRight w:val="0"/>
                  <w:marTop w:val="0"/>
                  <w:marBottom w:val="0"/>
                  <w:divBdr>
                    <w:top w:val="none" w:sz="0" w:space="0" w:color="auto"/>
                    <w:left w:val="none" w:sz="0" w:space="0" w:color="auto"/>
                    <w:bottom w:val="none" w:sz="0" w:space="0" w:color="auto"/>
                    <w:right w:val="none" w:sz="0" w:space="0" w:color="auto"/>
                  </w:divBdr>
                </w:div>
                <w:div w:id="295456172">
                  <w:marLeft w:val="640"/>
                  <w:marRight w:val="0"/>
                  <w:marTop w:val="0"/>
                  <w:marBottom w:val="0"/>
                  <w:divBdr>
                    <w:top w:val="none" w:sz="0" w:space="0" w:color="auto"/>
                    <w:left w:val="none" w:sz="0" w:space="0" w:color="auto"/>
                    <w:bottom w:val="none" w:sz="0" w:space="0" w:color="auto"/>
                    <w:right w:val="none" w:sz="0" w:space="0" w:color="auto"/>
                  </w:divBdr>
                </w:div>
                <w:div w:id="341207626">
                  <w:marLeft w:val="640"/>
                  <w:marRight w:val="0"/>
                  <w:marTop w:val="0"/>
                  <w:marBottom w:val="0"/>
                  <w:divBdr>
                    <w:top w:val="none" w:sz="0" w:space="0" w:color="auto"/>
                    <w:left w:val="none" w:sz="0" w:space="0" w:color="auto"/>
                    <w:bottom w:val="none" w:sz="0" w:space="0" w:color="auto"/>
                    <w:right w:val="none" w:sz="0" w:space="0" w:color="auto"/>
                  </w:divBdr>
                </w:div>
                <w:div w:id="115299157">
                  <w:marLeft w:val="640"/>
                  <w:marRight w:val="0"/>
                  <w:marTop w:val="0"/>
                  <w:marBottom w:val="0"/>
                  <w:divBdr>
                    <w:top w:val="none" w:sz="0" w:space="0" w:color="auto"/>
                    <w:left w:val="none" w:sz="0" w:space="0" w:color="auto"/>
                    <w:bottom w:val="none" w:sz="0" w:space="0" w:color="auto"/>
                    <w:right w:val="none" w:sz="0" w:space="0" w:color="auto"/>
                  </w:divBdr>
                </w:div>
                <w:div w:id="447430383">
                  <w:marLeft w:val="640"/>
                  <w:marRight w:val="0"/>
                  <w:marTop w:val="0"/>
                  <w:marBottom w:val="0"/>
                  <w:divBdr>
                    <w:top w:val="none" w:sz="0" w:space="0" w:color="auto"/>
                    <w:left w:val="none" w:sz="0" w:space="0" w:color="auto"/>
                    <w:bottom w:val="none" w:sz="0" w:space="0" w:color="auto"/>
                    <w:right w:val="none" w:sz="0" w:space="0" w:color="auto"/>
                  </w:divBdr>
                </w:div>
                <w:div w:id="61099131">
                  <w:marLeft w:val="640"/>
                  <w:marRight w:val="0"/>
                  <w:marTop w:val="0"/>
                  <w:marBottom w:val="0"/>
                  <w:divBdr>
                    <w:top w:val="none" w:sz="0" w:space="0" w:color="auto"/>
                    <w:left w:val="none" w:sz="0" w:space="0" w:color="auto"/>
                    <w:bottom w:val="none" w:sz="0" w:space="0" w:color="auto"/>
                    <w:right w:val="none" w:sz="0" w:space="0" w:color="auto"/>
                  </w:divBdr>
                </w:div>
                <w:div w:id="903570442">
                  <w:marLeft w:val="640"/>
                  <w:marRight w:val="0"/>
                  <w:marTop w:val="0"/>
                  <w:marBottom w:val="0"/>
                  <w:divBdr>
                    <w:top w:val="none" w:sz="0" w:space="0" w:color="auto"/>
                    <w:left w:val="none" w:sz="0" w:space="0" w:color="auto"/>
                    <w:bottom w:val="none" w:sz="0" w:space="0" w:color="auto"/>
                    <w:right w:val="none" w:sz="0" w:space="0" w:color="auto"/>
                  </w:divBdr>
                </w:div>
                <w:div w:id="716319909">
                  <w:marLeft w:val="640"/>
                  <w:marRight w:val="0"/>
                  <w:marTop w:val="0"/>
                  <w:marBottom w:val="0"/>
                  <w:divBdr>
                    <w:top w:val="none" w:sz="0" w:space="0" w:color="auto"/>
                    <w:left w:val="none" w:sz="0" w:space="0" w:color="auto"/>
                    <w:bottom w:val="none" w:sz="0" w:space="0" w:color="auto"/>
                    <w:right w:val="none" w:sz="0" w:space="0" w:color="auto"/>
                  </w:divBdr>
                </w:div>
              </w:divsChild>
            </w:div>
            <w:div w:id="1516261369">
              <w:marLeft w:val="0"/>
              <w:marRight w:val="0"/>
              <w:marTop w:val="0"/>
              <w:marBottom w:val="0"/>
              <w:divBdr>
                <w:top w:val="none" w:sz="0" w:space="0" w:color="auto"/>
                <w:left w:val="none" w:sz="0" w:space="0" w:color="auto"/>
                <w:bottom w:val="none" w:sz="0" w:space="0" w:color="auto"/>
                <w:right w:val="none" w:sz="0" w:space="0" w:color="auto"/>
              </w:divBdr>
              <w:divsChild>
                <w:div w:id="337201762">
                  <w:marLeft w:val="640"/>
                  <w:marRight w:val="0"/>
                  <w:marTop w:val="0"/>
                  <w:marBottom w:val="0"/>
                  <w:divBdr>
                    <w:top w:val="none" w:sz="0" w:space="0" w:color="auto"/>
                    <w:left w:val="none" w:sz="0" w:space="0" w:color="auto"/>
                    <w:bottom w:val="none" w:sz="0" w:space="0" w:color="auto"/>
                    <w:right w:val="none" w:sz="0" w:space="0" w:color="auto"/>
                  </w:divBdr>
                </w:div>
                <w:div w:id="23680509">
                  <w:marLeft w:val="640"/>
                  <w:marRight w:val="0"/>
                  <w:marTop w:val="0"/>
                  <w:marBottom w:val="0"/>
                  <w:divBdr>
                    <w:top w:val="none" w:sz="0" w:space="0" w:color="auto"/>
                    <w:left w:val="none" w:sz="0" w:space="0" w:color="auto"/>
                    <w:bottom w:val="none" w:sz="0" w:space="0" w:color="auto"/>
                    <w:right w:val="none" w:sz="0" w:space="0" w:color="auto"/>
                  </w:divBdr>
                </w:div>
                <w:div w:id="484980825">
                  <w:marLeft w:val="640"/>
                  <w:marRight w:val="0"/>
                  <w:marTop w:val="0"/>
                  <w:marBottom w:val="0"/>
                  <w:divBdr>
                    <w:top w:val="none" w:sz="0" w:space="0" w:color="auto"/>
                    <w:left w:val="none" w:sz="0" w:space="0" w:color="auto"/>
                    <w:bottom w:val="none" w:sz="0" w:space="0" w:color="auto"/>
                    <w:right w:val="none" w:sz="0" w:space="0" w:color="auto"/>
                  </w:divBdr>
                </w:div>
                <w:div w:id="15928352">
                  <w:marLeft w:val="640"/>
                  <w:marRight w:val="0"/>
                  <w:marTop w:val="0"/>
                  <w:marBottom w:val="0"/>
                  <w:divBdr>
                    <w:top w:val="none" w:sz="0" w:space="0" w:color="auto"/>
                    <w:left w:val="none" w:sz="0" w:space="0" w:color="auto"/>
                    <w:bottom w:val="none" w:sz="0" w:space="0" w:color="auto"/>
                    <w:right w:val="none" w:sz="0" w:space="0" w:color="auto"/>
                  </w:divBdr>
                </w:div>
                <w:div w:id="883325575">
                  <w:marLeft w:val="640"/>
                  <w:marRight w:val="0"/>
                  <w:marTop w:val="0"/>
                  <w:marBottom w:val="0"/>
                  <w:divBdr>
                    <w:top w:val="none" w:sz="0" w:space="0" w:color="auto"/>
                    <w:left w:val="none" w:sz="0" w:space="0" w:color="auto"/>
                    <w:bottom w:val="none" w:sz="0" w:space="0" w:color="auto"/>
                    <w:right w:val="none" w:sz="0" w:space="0" w:color="auto"/>
                  </w:divBdr>
                </w:div>
                <w:div w:id="1704944679">
                  <w:marLeft w:val="640"/>
                  <w:marRight w:val="0"/>
                  <w:marTop w:val="0"/>
                  <w:marBottom w:val="0"/>
                  <w:divBdr>
                    <w:top w:val="none" w:sz="0" w:space="0" w:color="auto"/>
                    <w:left w:val="none" w:sz="0" w:space="0" w:color="auto"/>
                    <w:bottom w:val="none" w:sz="0" w:space="0" w:color="auto"/>
                    <w:right w:val="none" w:sz="0" w:space="0" w:color="auto"/>
                  </w:divBdr>
                </w:div>
                <w:div w:id="2095935507">
                  <w:marLeft w:val="640"/>
                  <w:marRight w:val="0"/>
                  <w:marTop w:val="0"/>
                  <w:marBottom w:val="0"/>
                  <w:divBdr>
                    <w:top w:val="none" w:sz="0" w:space="0" w:color="auto"/>
                    <w:left w:val="none" w:sz="0" w:space="0" w:color="auto"/>
                    <w:bottom w:val="none" w:sz="0" w:space="0" w:color="auto"/>
                    <w:right w:val="none" w:sz="0" w:space="0" w:color="auto"/>
                  </w:divBdr>
                </w:div>
                <w:div w:id="1225794199">
                  <w:marLeft w:val="640"/>
                  <w:marRight w:val="0"/>
                  <w:marTop w:val="0"/>
                  <w:marBottom w:val="0"/>
                  <w:divBdr>
                    <w:top w:val="none" w:sz="0" w:space="0" w:color="auto"/>
                    <w:left w:val="none" w:sz="0" w:space="0" w:color="auto"/>
                    <w:bottom w:val="none" w:sz="0" w:space="0" w:color="auto"/>
                    <w:right w:val="none" w:sz="0" w:space="0" w:color="auto"/>
                  </w:divBdr>
                </w:div>
                <w:div w:id="1671564370">
                  <w:marLeft w:val="640"/>
                  <w:marRight w:val="0"/>
                  <w:marTop w:val="0"/>
                  <w:marBottom w:val="0"/>
                  <w:divBdr>
                    <w:top w:val="none" w:sz="0" w:space="0" w:color="auto"/>
                    <w:left w:val="none" w:sz="0" w:space="0" w:color="auto"/>
                    <w:bottom w:val="none" w:sz="0" w:space="0" w:color="auto"/>
                    <w:right w:val="none" w:sz="0" w:space="0" w:color="auto"/>
                  </w:divBdr>
                </w:div>
                <w:div w:id="270476717">
                  <w:marLeft w:val="640"/>
                  <w:marRight w:val="0"/>
                  <w:marTop w:val="0"/>
                  <w:marBottom w:val="0"/>
                  <w:divBdr>
                    <w:top w:val="none" w:sz="0" w:space="0" w:color="auto"/>
                    <w:left w:val="none" w:sz="0" w:space="0" w:color="auto"/>
                    <w:bottom w:val="none" w:sz="0" w:space="0" w:color="auto"/>
                    <w:right w:val="none" w:sz="0" w:space="0" w:color="auto"/>
                  </w:divBdr>
                </w:div>
                <w:div w:id="580022355">
                  <w:marLeft w:val="640"/>
                  <w:marRight w:val="0"/>
                  <w:marTop w:val="0"/>
                  <w:marBottom w:val="0"/>
                  <w:divBdr>
                    <w:top w:val="none" w:sz="0" w:space="0" w:color="auto"/>
                    <w:left w:val="none" w:sz="0" w:space="0" w:color="auto"/>
                    <w:bottom w:val="none" w:sz="0" w:space="0" w:color="auto"/>
                    <w:right w:val="none" w:sz="0" w:space="0" w:color="auto"/>
                  </w:divBdr>
                </w:div>
                <w:div w:id="2043826274">
                  <w:marLeft w:val="640"/>
                  <w:marRight w:val="0"/>
                  <w:marTop w:val="0"/>
                  <w:marBottom w:val="0"/>
                  <w:divBdr>
                    <w:top w:val="none" w:sz="0" w:space="0" w:color="auto"/>
                    <w:left w:val="none" w:sz="0" w:space="0" w:color="auto"/>
                    <w:bottom w:val="none" w:sz="0" w:space="0" w:color="auto"/>
                    <w:right w:val="none" w:sz="0" w:space="0" w:color="auto"/>
                  </w:divBdr>
                </w:div>
                <w:div w:id="1946231379">
                  <w:marLeft w:val="640"/>
                  <w:marRight w:val="0"/>
                  <w:marTop w:val="0"/>
                  <w:marBottom w:val="0"/>
                  <w:divBdr>
                    <w:top w:val="none" w:sz="0" w:space="0" w:color="auto"/>
                    <w:left w:val="none" w:sz="0" w:space="0" w:color="auto"/>
                    <w:bottom w:val="none" w:sz="0" w:space="0" w:color="auto"/>
                    <w:right w:val="none" w:sz="0" w:space="0" w:color="auto"/>
                  </w:divBdr>
                </w:div>
                <w:div w:id="1777598846">
                  <w:marLeft w:val="640"/>
                  <w:marRight w:val="0"/>
                  <w:marTop w:val="0"/>
                  <w:marBottom w:val="0"/>
                  <w:divBdr>
                    <w:top w:val="none" w:sz="0" w:space="0" w:color="auto"/>
                    <w:left w:val="none" w:sz="0" w:space="0" w:color="auto"/>
                    <w:bottom w:val="none" w:sz="0" w:space="0" w:color="auto"/>
                    <w:right w:val="none" w:sz="0" w:space="0" w:color="auto"/>
                  </w:divBdr>
                </w:div>
                <w:div w:id="494809119">
                  <w:marLeft w:val="640"/>
                  <w:marRight w:val="0"/>
                  <w:marTop w:val="0"/>
                  <w:marBottom w:val="0"/>
                  <w:divBdr>
                    <w:top w:val="none" w:sz="0" w:space="0" w:color="auto"/>
                    <w:left w:val="none" w:sz="0" w:space="0" w:color="auto"/>
                    <w:bottom w:val="none" w:sz="0" w:space="0" w:color="auto"/>
                    <w:right w:val="none" w:sz="0" w:space="0" w:color="auto"/>
                  </w:divBdr>
                </w:div>
                <w:div w:id="2014870598">
                  <w:marLeft w:val="640"/>
                  <w:marRight w:val="0"/>
                  <w:marTop w:val="0"/>
                  <w:marBottom w:val="0"/>
                  <w:divBdr>
                    <w:top w:val="none" w:sz="0" w:space="0" w:color="auto"/>
                    <w:left w:val="none" w:sz="0" w:space="0" w:color="auto"/>
                    <w:bottom w:val="none" w:sz="0" w:space="0" w:color="auto"/>
                    <w:right w:val="none" w:sz="0" w:space="0" w:color="auto"/>
                  </w:divBdr>
                </w:div>
                <w:div w:id="1754352813">
                  <w:marLeft w:val="640"/>
                  <w:marRight w:val="0"/>
                  <w:marTop w:val="0"/>
                  <w:marBottom w:val="0"/>
                  <w:divBdr>
                    <w:top w:val="none" w:sz="0" w:space="0" w:color="auto"/>
                    <w:left w:val="none" w:sz="0" w:space="0" w:color="auto"/>
                    <w:bottom w:val="none" w:sz="0" w:space="0" w:color="auto"/>
                    <w:right w:val="none" w:sz="0" w:space="0" w:color="auto"/>
                  </w:divBdr>
                </w:div>
                <w:div w:id="705643489">
                  <w:marLeft w:val="640"/>
                  <w:marRight w:val="0"/>
                  <w:marTop w:val="0"/>
                  <w:marBottom w:val="0"/>
                  <w:divBdr>
                    <w:top w:val="none" w:sz="0" w:space="0" w:color="auto"/>
                    <w:left w:val="none" w:sz="0" w:space="0" w:color="auto"/>
                    <w:bottom w:val="none" w:sz="0" w:space="0" w:color="auto"/>
                    <w:right w:val="none" w:sz="0" w:space="0" w:color="auto"/>
                  </w:divBdr>
                </w:div>
                <w:div w:id="40374050">
                  <w:marLeft w:val="640"/>
                  <w:marRight w:val="0"/>
                  <w:marTop w:val="0"/>
                  <w:marBottom w:val="0"/>
                  <w:divBdr>
                    <w:top w:val="none" w:sz="0" w:space="0" w:color="auto"/>
                    <w:left w:val="none" w:sz="0" w:space="0" w:color="auto"/>
                    <w:bottom w:val="none" w:sz="0" w:space="0" w:color="auto"/>
                    <w:right w:val="none" w:sz="0" w:space="0" w:color="auto"/>
                  </w:divBdr>
                </w:div>
                <w:div w:id="420684216">
                  <w:marLeft w:val="640"/>
                  <w:marRight w:val="0"/>
                  <w:marTop w:val="0"/>
                  <w:marBottom w:val="0"/>
                  <w:divBdr>
                    <w:top w:val="none" w:sz="0" w:space="0" w:color="auto"/>
                    <w:left w:val="none" w:sz="0" w:space="0" w:color="auto"/>
                    <w:bottom w:val="none" w:sz="0" w:space="0" w:color="auto"/>
                    <w:right w:val="none" w:sz="0" w:space="0" w:color="auto"/>
                  </w:divBdr>
                </w:div>
                <w:div w:id="17513457">
                  <w:marLeft w:val="640"/>
                  <w:marRight w:val="0"/>
                  <w:marTop w:val="0"/>
                  <w:marBottom w:val="0"/>
                  <w:divBdr>
                    <w:top w:val="none" w:sz="0" w:space="0" w:color="auto"/>
                    <w:left w:val="none" w:sz="0" w:space="0" w:color="auto"/>
                    <w:bottom w:val="none" w:sz="0" w:space="0" w:color="auto"/>
                    <w:right w:val="none" w:sz="0" w:space="0" w:color="auto"/>
                  </w:divBdr>
                </w:div>
                <w:div w:id="1654413555">
                  <w:marLeft w:val="640"/>
                  <w:marRight w:val="0"/>
                  <w:marTop w:val="0"/>
                  <w:marBottom w:val="0"/>
                  <w:divBdr>
                    <w:top w:val="none" w:sz="0" w:space="0" w:color="auto"/>
                    <w:left w:val="none" w:sz="0" w:space="0" w:color="auto"/>
                    <w:bottom w:val="none" w:sz="0" w:space="0" w:color="auto"/>
                    <w:right w:val="none" w:sz="0" w:space="0" w:color="auto"/>
                  </w:divBdr>
                </w:div>
              </w:divsChild>
            </w:div>
            <w:div w:id="2002152094">
              <w:marLeft w:val="0"/>
              <w:marRight w:val="0"/>
              <w:marTop w:val="0"/>
              <w:marBottom w:val="0"/>
              <w:divBdr>
                <w:top w:val="none" w:sz="0" w:space="0" w:color="auto"/>
                <w:left w:val="none" w:sz="0" w:space="0" w:color="auto"/>
                <w:bottom w:val="none" w:sz="0" w:space="0" w:color="auto"/>
                <w:right w:val="none" w:sz="0" w:space="0" w:color="auto"/>
              </w:divBdr>
              <w:divsChild>
                <w:div w:id="431323815">
                  <w:marLeft w:val="640"/>
                  <w:marRight w:val="0"/>
                  <w:marTop w:val="0"/>
                  <w:marBottom w:val="0"/>
                  <w:divBdr>
                    <w:top w:val="none" w:sz="0" w:space="0" w:color="auto"/>
                    <w:left w:val="none" w:sz="0" w:space="0" w:color="auto"/>
                    <w:bottom w:val="none" w:sz="0" w:space="0" w:color="auto"/>
                    <w:right w:val="none" w:sz="0" w:space="0" w:color="auto"/>
                  </w:divBdr>
                </w:div>
                <w:div w:id="1446997463">
                  <w:marLeft w:val="640"/>
                  <w:marRight w:val="0"/>
                  <w:marTop w:val="0"/>
                  <w:marBottom w:val="0"/>
                  <w:divBdr>
                    <w:top w:val="none" w:sz="0" w:space="0" w:color="auto"/>
                    <w:left w:val="none" w:sz="0" w:space="0" w:color="auto"/>
                    <w:bottom w:val="none" w:sz="0" w:space="0" w:color="auto"/>
                    <w:right w:val="none" w:sz="0" w:space="0" w:color="auto"/>
                  </w:divBdr>
                </w:div>
                <w:div w:id="681706553">
                  <w:marLeft w:val="640"/>
                  <w:marRight w:val="0"/>
                  <w:marTop w:val="0"/>
                  <w:marBottom w:val="0"/>
                  <w:divBdr>
                    <w:top w:val="none" w:sz="0" w:space="0" w:color="auto"/>
                    <w:left w:val="none" w:sz="0" w:space="0" w:color="auto"/>
                    <w:bottom w:val="none" w:sz="0" w:space="0" w:color="auto"/>
                    <w:right w:val="none" w:sz="0" w:space="0" w:color="auto"/>
                  </w:divBdr>
                </w:div>
                <w:div w:id="251932915">
                  <w:marLeft w:val="640"/>
                  <w:marRight w:val="0"/>
                  <w:marTop w:val="0"/>
                  <w:marBottom w:val="0"/>
                  <w:divBdr>
                    <w:top w:val="none" w:sz="0" w:space="0" w:color="auto"/>
                    <w:left w:val="none" w:sz="0" w:space="0" w:color="auto"/>
                    <w:bottom w:val="none" w:sz="0" w:space="0" w:color="auto"/>
                    <w:right w:val="none" w:sz="0" w:space="0" w:color="auto"/>
                  </w:divBdr>
                </w:div>
                <w:div w:id="449515695">
                  <w:marLeft w:val="640"/>
                  <w:marRight w:val="0"/>
                  <w:marTop w:val="0"/>
                  <w:marBottom w:val="0"/>
                  <w:divBdr>
                    <w:top w:val="none" w:sz="0" w:space="0" w:color="auto"/>
                    <w:left w:val="none" w:sz="0" w:space="0" w:color="auto"/>
                    <w:bottom w:val="none" w:sz="0" w:space="0" w:color="auto"/>
                    <w:right w:val="none" w:sz="0" w:space="0" w:color="auto"/>
                  </w:divBdr>
                </w:div>
                <w:div w:id="2134790462">
                  <w:marLeft w:val="640"/>
                  <w:marRight w:val="0"/>
                  <w:marTop w:val="0"/>
                  <w:marBottom w:val="0"/>
                  <w:divBdr>
                    <w:top w:val="none" w:sz="0" w:space="0" w:color="auto"/>
                    <w:left w:val="none" w:sz="0" w:space="0" w:color="auto"/>
                    <w:bottom w:val="none" w:sz="0" w:space="0" w:color="auto"/>
                    <w:right w:val="none" w:sz="0" w:space="0" w:color="auto"/>
                  </w:divBdr>
                </w:div>
                <w:div w:id="1261645626">
                  <w:marLeft w:val="640"/>
                  <w:marRight w:val="0"/>
                  <w:marTop w:val="0"/>
                  <w:marBottom w:val="0"/>
                  <w:divBdr>
                    <w:top w:val="none" w:sz="0" w:space="0" w:color="auto"/>
                    <w:left w:val="none" w:sz="0" w:space="0" w:color="auto"/>
                    <w:bottom w:val="none" w:sz="0" w:space="0" w:color="auto"/>
                    <w:right w:val="none" w:sz="0" w:space="0" w:color="auto"/>
                  </w:divBdr>
                </w:div>
                <w:div w:id="1120958781">
                  <w:marLeft w:val="640"/>
                  <w:marRight w:val="0"/>
                  <w:marTop w:val="0"/>
                  <w:marBottom w:val="0"/>
                  <w:divBdr>
                    <w:top w:val="none" w:sz="0" w:space="0" w:color="auto"/>
                    <w:left w:val="none" w:sz="0" w:space="0" w:color="auto"/>
                    <w:bottom w:val="none" w:sz="0" w:space="0" w:color="auto"/>
                    <w:right w:val="none" w:sz="0" w:space="0" w:color="auto"/>
                  </w:divBdr>
                </w:div>
                <w:div w:id="1051421289">
                  <w:marLeft w:val="640"/>
                  <w:marRight w:val="0"/>
                  <w:marTop w:val="0"/>
                  <w:marBottom w:val="0"/>
                  <w:divBdr>
                    <w:top w:val="none" w:sz="0" w:space="0" w:color="auto"/>
                    <w:left w:val="none" w:sz="0" w:space="0" w:color="auto"/>
                    <w:bottom w:val="none" w:sz="0" w:space="0" w:color="auto"/>
                    <w:right w:val="none" w:sz="0" w:space="0" w:color="auto"/>
                  </w:divBdr>
                </w:div>
                <w:div w:id="1472601401">
                  <w:marLeft w:val="640"/>
                  <w:marRight w:val="0"/>
                  <w:marTop w:val="0"/>
                  <w:marBottom w:val="0"/>
                  <w:divBdr>
                    <w:top w:val="none" w:sz="0" w:space="0" w:color="auto"/>
                    <w:left w:val="none" w:sz="0" w:space="0" w:color="auto"/>
                    <w:bottom w:val="none" w:sz="0" w:space="0" w:color="auto"/>
                    <w:right w:val="none" w:sz="0" w:space="0" w:color="auto"/>
                  </w:divBdr>
                </w:div>
                <w:div w:id="1809780689">
                  <w:marLeft w:val="640"/>
                  <w:marRight w:val="0"/>
                  <w:marTop w:val="0"/>
                  <w:marBottom w:val="0"/>
                  <w:divBdr>
                    <w:top w:val="none" w:sz="0" w:space="0" w:color="auto"/>
                    <w:left w:val="none" w:sz="0" w:space="0" w:color="auto"/>
                    <w:bottom w:val="none" w:sz="0" w:space="0" w:color="auto"/>
                    <w:right w:val="none" w:sz="0" w:space="0" w:color="auto"/>
                  </w:divBdr>
                </w:div>
                <w:div w:id="1196969531">
                  <w:marLeft w:val="640"/>
                  <w:marRight w:val="0"/>
                  <w:marTop w:val="0"/>
                  <w:marBottom w:val="0"/>
                  <w:divBdr>
                    <w:top w:val="none" w:sz="0" w:space="0" w:color="auto"/>
                    <w:left w:val="none" w:sz="0" w:space="0" w:color="auto"/>
                    <w:bottom w:val="none" w:sz="0" w:space="0" w:color="auto"/>
                    <w:right w:val="none" w:sz="0" w:space="0" w:color="auto"/>
                  </w:divBdr>
                </w:div>
                <w:div w:id="352003876">
                  <w:marLeft w:val="640"/>
                  <w:marRight w:val="0"/>
                  <w:marTop w:val="0"/>
                  <w:marBottom w:val="0"/>
                  <w:divBdr>
                    <w:top w:val="none" w:sz="0" w:space="0" w:color="auto"/>
                    <w:left w:val="none" w:sz="0" w:space="0" w:color="auto"/>
                    <w:bottom w:val="none" w:sz="0" w:space="0" w:color="auto"/>
                    <w:right w:val="none" w:sz="0" w:space="0" w:color="auto"/>
                  </w:divBdr>
                </w:div>
                <w:div w:id="1175534040">
                  <w:marLeft w:val="640"/>
                  <w:marRight w:val="0"/>
                  <w:marTop w:val="0"/>
                  <w:marBottom w:val="0"/>
                  <w:divBdr>
                    <w:top w:val="none" w:sz="0" w:space="0" w:color="auto"/>
                    <w:left w:val="none" w:sz="0" w:space="0" w:color="auto"/>
                    <w:bottom w:val="none" w:sz="0" w:space="0" w:color="auto"/>
                    <w:right w:val="none" w:sz="0" w:space="0" w:color="auto"/>
                  </w:divBdr>
                </w:div>
                <w:div w:id="1825202865">
                  <w:marLeft w:val="640"/>
                  <w:marRight w:val="0"/>
                  <w:marTop w:val="0"/>
                  <w:marBottom w:val="0"/>
                  <w:divBdr>
                    <w:top w:val="none" w:sz="0" w:space="0" w:color="auto"/>
                    <w:left w:val="none" w:sz="0" w:space="0" w:color="auto"/>
                    <w:bottom w:val="none" w:sz="0" w:space="0" w:color="auto"/>
                    <w:right w:val="none" w:sz="0" w:space="0" w:color="auto"/>
                  </w:divBdr>
                </w:div>
                <w:div w:id="909659455">
                  <w:marLeft w:val="640"/>
                  <w:marRight w:val="0"/>
                  <w:marTop w:val="0"/>
                  <w:marBottom w:val="0"/>
                  <w:divBdr>
                    <w:top w:val="none" w:sz="0" w:space="0" w:color="auto"/>
                    <w:left w:val="none" w:sz="0" w:space="0" w:color="auto"/>
                    <w:bottom w:val="none" w:sz="0" w:space="0" w:color="auto"/>
                    <w:right w:val="none" w:sz="0" w:space="0" w:color="auto"/>
                  </w:divBdr>
                </w:div>
                <w:div w:id="639649106">
                  <w:marLeft w:val="640"/>
                  <w:marRight w:val="0"/>
                  <w:marTop w:val="0"/>
                  <w:marBottom w:val="0"/>
                  <w:divBdr>
                    <w:top w:val="none" w:sz="0" w:space="0" w:color="auto"/>
                    <w:left w:val="none" w:sz="0" w:space="0" w:color="auto"/>
                    <w:bottom w:val="none" w:sz="0" w:space="0" w:color="auto"/>
                    <w:right w:val="none" w:sz="0" w:space="0" w:color="auto"/>
                  </w:divBdr>
                </w:div>
                <w:div w:id="533155918">
                  <w:marLeft w:val="640"/>
                  <w:marRight w:val="0"/>
                  <w:marTop w:val="0"/>
                  <w:marBottom w:val="0"/>
                  <w:divBdr>
                    <w:top w:val="none" w:sz="0" w:space="0" w:color="auto"/>
                    <w:left w:val="none" w:sz="0" w:space="0" w:color="auto"/>
                    <w:bottom w:val="none" w:sz="0" w:space="0" w:color="auto"/>
                    <w:right w:val="none" w:sz="0" w:space="0" w:color="auto"/>
                  </w:divBdr>
                </w:div>
                <w:div w:id="167604082">
                  <w:marLeft w:val="640"/>
                  <w:marRight w:val="0"/>
                  <w:marTop w:val="0"/>
                  <w:marBottom w:val="0"/>
                  <w:divBdr>
                    <w:top w:val="none" w:sz="0" w:space="0" w:color="auto"/>
                    <w:left w:val="none" w:sz="0" w:space="0" w:color="auto"/>
                    <w:bottom w:val="none" w:sz="0" w:space="0" w:color="auto"/>
                    <w:right w:val="none" w:sz="0" w:space="0" w:color="auto"/>
                  </w:divBdr>
                </w:div>
                <w:div w:id="1682512114">
                  <w:marLeft w:val="640"/>
                  <w:marRight w:val="0"/>
                  <w:marTop w:val="0"/>
                  <w:marBottom w:val="0"/>
                  <w:divBdr>
                    <w:top w:val="none" w:sz="0" w:space="0" w:color="auto"/>
                    <w:left w:val="none" w:sz="0" w:space="0" w:color="auto"/>
                    <w:bottom w:val="none" w:sz="0" w:space="0" w:color="auto"/>
                    <w:right w:val="none" w:sz="0" w:space="0" w:color="auto"/>
                  </w:divBdr>
                </w:div>
                <w:div w:id="1687902424">
                  <w:marLeft w:val="640"/>
                  <w:marRight w:val="0"/>
                  <w:marTop w:val="0"/>
                  <w:marBottom w:val="0"/>
                  <w:divBdr>
                    <w:top w:val="none" w:sz="0" w:space="0" w:color="auto"/>
                    <w:left w:val="none" w:sz="0" w:space="0" w:color="auto"/>
                    <w:bottom w:val="none" w:sz="0" w:space="0" w:color="auto"/>
                    <w:right w:val="none" w:sz="0" w:space="0" w:color="auto"/>
                  </w:divBdr>
                </w:div>
                <w:div w:id="67267457">
                  <w:marLeft w:val="640"/>
                  <w:marRight w:val="0"/>
                  <w:marTop w:val="0"/>
                  <w:marBottom w:val="0"/>
                  <w:divBdr>
                    <w:top w:val="none" w:sz="0" w:space="0" w:color="auto"/>
                    <w:left w:val="none" w:sz="0" w:space="0" w:color="auto"/>
                    <w:bottom w:val="none" w:sz="0" w:space="0" w:color="auto"/>
                    <w:right w:val="none" w:sz="0" w:space="0" w:color="auto"/>
                  </w:divBdr>
                </w:div>
              </w:divsChild>
            </w:div>
            <w:div w:id="272977548">
              <w:marLeft w:val="0"/>
              <w:marRight w:val="0"/>
              <w:marTop w:val="0"/>
              <w:marBottom w:val="0"/>
              <w:divBdr>
                <w:top w:val="none" w:sz="0" w:space="0" w:color="auto"/>
                <w:left w:val="none" w:sz="0" w:space="0" w:color="auto"/>
                <w:bottom w:val="none" w:sz="0" w:space="0" w:color="auto"/>
                <w:right w:val="none" w:sz="0" w:space="0" w:color="auto"/>
              </w:divBdr>
              <w:divsChild>
                <w:div w:id="49497128">
                  <w:marLeft w:val="640"/>
                  <w:marRight w:val="0"/>
                  <w:marTop w:val="0"/>
                  <w:marBottom w:val="0"/>
                  <w:divBdr>
                    <w:top w:val="none" w:sz="0" w:space="0" w:color="auto"/>
                    <w:left w:val="none" w:sz="0" w:space="0" w:color="auto"/>
                    <w:bottom w:val="none" w:sz="0" w:space="0" w:color="auto"/>
                    <w:right w:val="none" w:sz="0" w:space="0" w:color="auto"/>
                  </w:divBdr>
                </w:div>
                <w:div w:id="1130124278">
                  <w:marLeft w:val="640"/>
                  <w:marRight w:val="0"/>
                  <w:marTop w:val="0"/>
                  <w:marBottom w:val="0"/>
                  <w:divBdr>
                    <w:top w:val="none" w:sz="0" w:space="0" w:color="auto"/>
                    <w:left w:val="none" w:sz="0" w:space="0" w:color="auto"/>
                    <w:bottom w:val="none" w:sz="0" w:space="0" w:color="auto"/>
                    <w:right w:val="none" w:sz="0" w:space="0" w:color="auto"/>
                  </w:divBdr>
                </w:div>
                <w:div w:id="380445437">
                  <w:marLeft w:val="640"/>
                  <w:marRight w:val="0"/>
                  <w:marTop w:val="0"/>
                  <w:marBottom w:val="0"/>
                  <w:divBdr>
                    <w:top w:val="none" w:sz="0" w:space="0" w:color="auto"/>
                    <w:left w:val="none" w:sz="0" w:space="0" w:color="auto"/>
                    <w:bottom w:val="none" w:sz="0" w:space="0" w:color="auto"/>
                    <w:right w:val="none" w:sz="0" w:space="0" w:color="auto"/>
                  </w:divBdr>
                </w:div>
                <w:div w:id="1877154598">
                  <w:marLeft w:val="640"/>
                  <w:marRight w:val="0"/>
                  <w:marTop w:val="0"/>
                  <w:marBottom w:val="0"/>
                  <w:divBdr>
                    <w:top w:val="none" w:sz="0" w:space="0" w:color="auto"/>
                    <w:left w:val="none" w:sz="0" w:space="0" w:color="auto"/>
                    <w:bottom w:val="none" w:sz="0" w:space="0" w:color="auto"/>
                    <w:right w:val="none" w:sz="0" w:space="0" w:color="auto"/>
                  </w:divBdr>
                </w:div>
                <w:div w:id="2075011208">
                  <w:marLeft w:val="640"/>
                  <w:marRight w:val="0"/>
                  <w:marTop w:val="0"/>
                  <w:marBottom w:val="0"/>
                  <w:divBdr>
                    <w:top w:val="none" w:sz="0" w:space="0" w:color="auto"/>
                    <w:left w:val="none" w:sz="0" w:space="0" w:color="auto"/>
                    <w:bottom w:val="none" w:sz="0" w:space="0" w:color="auto"/>
                    <w:right w:val="none" w:sz="0" w:space="0" w:color="auto"/>
                  </w:divBdr>
                </w:div>
                <w:div w:id="863830962">
                  <w:marLeft w:val="640"/>
                  <w:marRight w:val="0"/>
                  <w:marTop w:val="0"/>
                  <w:marBottom w:val="0"/>
                  <w:divBdr>
                    <w:top w:val="none" w:sz="0" w:space="0" w:color="auto"/>
                    <w:left w:val="none" w:sz="0" w:space="0" w:color="auto"/>
                    <w:bottom w:val="none" w:sz="0" w:space="0" w:color="auto"/>
                    <w:right w:val="none" w:sz="0" w:space="0" w:color="auto"/>
                  </w:divBdr>
                </w:div>
                <w:div w:id="1230388523">
                  <w:marLeft w:val="640"/>
                  <w:marRight w:val="0"/>
                  <w:marTop w:val="0"/>
                  <w:marBottom w:val="0"/>
                  <w:divBdr>
                    <w:top w:val="none" w:sz="0" w:space="0" w:color="auto"/>
                    <w:left w:val="none" w:sz="0" w:space="0" w:color="auto"/>
                    <w:bottom w:val="none" w:sz="0" w:space="0" w:color="auto"/>
                    <w:right w:val="none" w:sz="0" w:space="0" w:color="auto"/>
                  </w:divBdr>
                </w:div>
                <w:div w:id="554202191">
                  <w:marLeft w:val="640"/>
                  <w:marRight w:val="0"/>
                  <w:marTop w:val="0"/>
                  <w:marBottom w:val="0"/>
                  <w:divBdr>
                    <w:top w:val="none" w:sz="0" w:space="0" w:color="auto"/>
                    <w:left w:val="none" w:sz="0" w:space="0" w:color="auto"/>
                    <w:bottom w:val="none" w:sz="0" w:space="0" w:color="auto"/>
                    <w:right w:val="none" w:sz="0" w:space="0" w:color="auto"/>
                  </w:divBdr>
                </w:div>
                <w:div w:id="841578828">
                  <w:marLeft w:val="640"/>
                  <w:marRight w:val="0"/>
                  <w:marTop w:val="0"/>
                  <w:marBottom w:val="0"/>
                  <w:divBdr>
                    <w:top w:val="none" w:sz="0" w:space="0" w:color="auto"/>
                    <w:left w:val="none" w:sz="0" w:space="0" w:color="auto"/>
                    <w:bottom w:val="none" w:sz="0" w:space="0" w:color="auto"/>
                    <w:right w:val="none" w:sz="0" w:space="0" w:color="auto"/>
                  </w:divBdr>
                </w:div>
                <w:div w:id="732510503">
                  <w:marLeft w:val="640"/>
                  <w:marRight w:val="0"/>
                  <w:marTop w:val="0"/>
                  <w:marBottom w:val="0"/>
                  <w:divBdr>
                    <w:top w:val="none" w:sz="0" w:space="0" w:color="auto"/>
                    <w:left w:val="none" w:sz="0" w:space="0" w:color="auto"/>
                    <w:bottom w:val="none" w:sz="0" w:space="0" w:color="auto"/>
                    <w:right w:val="none" w:sz="0" w:space="0" w:color="auto"/>
                  </w:divBdr>
                </w:div>
                <w:div w:id="1729957403">
                  <w:marLeft w:val="640"/>
                  <w:marRight w:val="0"/>
                  <w:marTop w:val="0"/>
                  <w:marBottom w:val="0"/>
                  <w:divBdr>
                    <w:top w:val="none" w:sz="0" w:space="0" w:color="auto"/>
                    <w:left w:val="none" w:sz="0" w:space="0" w:color="auto"/>
                    <w:bottom w:val="none" w:sz="0" w:space="0" w:color="auto"/>
                    <w:right w:val="none" w:sz="0" w:space="0" w:color="auto"/>
                  </w:divBdr>
                </w:div>
                <w:div w:id="1212696166">
                  <w:marLeft w:val="640"/>
                  <w:marRight w:val="0"/>
                  <w:marTop w:val="0"/>
                  <w:marBottom w:val="0"/>
                  <w:divBdr>
                    <w:top w:val="none" w:sz="0" w:space="0" w:color="auto"/>
                    <w:left w:val="none" w:sz="0" w:space="0" w:color="auto"/>
                    <w:bottom w:val="none" w:sz="0" w:space="0" w:color="auto"/>
                    <w:right w:val="none" w:sz="0" w:space="0" w:color="auto"/>
                  </w:divBdr>
                </w:div>
                <w:div w:id="1352150486">
                  <w:marLeft w:val="640"/>
                  <w:marRight w:val="0"/>
                  <w:marTop w:val="0"/>
                  <w:marBottom w:val="0"/>
                  <w:divBdr>
                    <w:top w:val="none" w:sz="0" w:space="0" w:color="auto"/>
                    <w:left w:val="none" w:sz="0" w:space="0" w:color="auto"/>
                    <w:bottom w:val="none" w:sz="0" w:space="0" w:color="auto"/>
                    <w:right w:val="none" w:sz="0" w:space="0" w:color="auto"/>
                  </w:divBdr>
                </w:div>
                <w:div w:id="187917833">
                  <w:marLeft w:val="640"/>
                  <w:marRight w:val="0"/>
                  <w:marTop w:val="0"/>
                  <w:marBottom w:val="0"/>
                  <w:divBdr>
                    <w:top w:val="none" w:sz="0" w:space="0" w:color="auto"/>
                    <w:left w:val="none" w:sz="0" w:space="0" w:color="auto"/>
                    <w:bottom w:val="none" w:sz="0" w:space="0" w:color="auto"/>
                    <w:right w:val="none" w:sz="0" w:space="0" w:color="auto"/>
                  </w:divBdr>
                </w:div>
                <w:div w:id="445975328">
                  <w:marLeft w:val="640"/>
                  <w:marRight w:val="0"/>
                  <w:marTop w:val="0"/>
                  <w:marBottom w:val="0"/>
                  <w:divBdr>
                    <w:top w:val="none" w:sz="0" w:space="0" w:color="auto"/>
                    <w:left w:val="none" w:sz="0" w:space="0" w:color="auto"/>
                    <w:bottom w:val="none" w:sz="0" w:space="0" w:color="auto"/>
                    <w:right w:val="none" w:sz="0" w:space="0" w:color="auto"/>
                  </w:divBdr>
                </w:div>
                <w:div w:id="474369406">
                  <w:marLeft w:val="640"/>
                  <w:marRight w:val="0"/>
                  <w:marTop w:val="0"/>
                  <w:marBottom w:val="0"/>
                  <w:divBdr>
                    <w:top w:val="none" w:sz="0" w:space="0" w:color="auto"/>
                    <w:left w:val="none" w:sz="0" w:space="0" w:color="auto"/>
                    <w:bottom w:val="none" w:sz="0" w:space="0" w:color="auto"/>
                    <w:right w:val="none" w:sz="0" w:space="0" w:color="auto"/>
                  </w:divBdr>
                </w:div>
                <w:div w:id="249966369">
                  <w:marLeft w:val="640"/>
                  <w:marRight w:val="0"/>
                  <w:marTop w:val="0"/>
                  <w:marBottom w:val="0"/>
                  <w:divBdr>
                    <w:top w:val="none" w:sz="0" w:space="0" w:color="auto"/>
                    <w:left w:val="none" w:sz="0" w:space="0" w:color="auto"/>
                    <w:bottom w:val="none" w:sz="0" w:space="0" w:color="auto"/>
                    <w:right w:val="none" w:sz="0" w:space="0" w:color="auto"/>
                  </w:divBdr>
                </w:div>
                <w:div w:id="2072077799">
                  <w:marLeft w:val="640"/>
                  <w:marRight w:val="0"/>
                  <w:marTop w:val="0"/>
                  <w:marBottom w:val="0"/>
                  <w:divBdr>
                    <w:top w:val="none" w:sz="0" w:space="0" w:color="auto"/>
                    <w:left w:val="none" w:sz="0" w:space="0" w:color="auto"/>
                    <w:bottom w:val="none" w:sz="0" w:space="0" w:color="auto"/>
                    <w:right w:val="none" w:sz="0" w:space="0" w:color="auto"/>
                  </w:divBdr>
                </w:div>
                <w:div w:id="151413137">
                  <w:marLeft w:val="640"/>
                  <w:marRight w:val="0"/>
                  <w:marTop w:val="0"/>
                  <w:marBottom w:val="0"/>
                  <w:divBdr>
                    <w:top w:val="none" w:sz="0" w:space="0" w:color="auto"/>
                    <w:left w:val="none" w:sz="0" w:space="0" w:color="auto"/>
                    <w:bottom w:val="none" w:sz="0" w:space="0" w:color="auto"/>
                    <w:right w:val="none" w:sz="0" w:space="0" w:color="auto"/>
                  </w:divBdr>
                </w:div>
                <w:div w:id="2001499591">
                  <w:marLeft w:val="640"/>
                  <w:marRight w:val="0"/>
                  <w:marTop w:val="0"/>
                  <w:marBottom w:val="0"/>
                  <w:divBdr>
                    <w:top w:val="none" w:sz="0" w:space="0" w:color="auto"/>
                    <w:left w:val="none" w:sz="0" w:space="0" w:color="auto"/>
                    <w:bottom w:val="none" w:sz="0" w:space="0" w:color="auto"/>
                    <w:right w:val="none" w:sz="0" w:space="0" w:color="auto"/>
                  </w:divBdr>
                </w:div>
                <w:div w:id="1264918176">
                  <w:marLeft w:val="640"/>
                  <w:marRight w:val="0"/>
                  <w:marTop w:val="0"/>
                  <w:marBottom w:val="0"/>
                  <w:divBdr>
                    <w:top w:val="none" w:sz="0" w:space="0" w:color="auto"/>
                    <w:left w:val="none" w:sz="0" w:space="0" w:color="auto"/>
                    <w:bottom w:val="none" w:sz="0" w:space="0" w:color="auto"/>
                    <w:right w:val="none" w:sz="0" w:space="0" w:color="auto"/>
                  </w:divBdr>
                </w:div>
                <w:div w:id="605581313">
                  <w:marLeft w:val="640"/>
                  <w:marRight w:val="0"/>
                  <w:marTop w:val="0"/>
                  <w:marBottom w:val="0"/>
                  <w:divBdr>
                    <w:top w:val="none" w:sz="0" w:space="0" w:color="auto"/>
                    <w:left w:val="none" w:sz="0" w:space="0" w:color="auto"/>
                    <w:bottom w:val="none" w:sz="0" w:space="0" w:color="auto"/>
                    <w:right w:val="none" w:sz="0" w:space="0" w:color="auto"/>
                  </w:divBdr>
                </w:div>
              </w:divsChild>
            </w:div>
            <w:div w:id="225847138">
              <w:marLeft w:val="0"/>
              <w:marRight w:val="0"/>
              <w:marTop w:val="0"/>
              <w:marBottom w:val="0"/>
              <w:divBdr>
                <w:top w:val="none" w:sz="0" w:space="0" w:color="auto"/>
                <w:left w:val="none" w:sz="0" w:space="0" w:color="auto"/>
                <w:bottom w:val="none" w:sz="0" w:space="0" w:color="auto"/>
                <w:right w:val="none" w:sz="0" w:space="0" w:color="auto"/>
              </w:divBdr>
              <w:divsChild>
                <w:div w:id="826366634">
                  <w:marLeft w:val="640"/>
                  <w:marRight w:val="0"/>
                  <w:marTop w:val="0"/>
                  <w:marBottom w:val="0"/>
                  <w:divBdr>
                    <w:top w:val="none" w:sz="0" w:space="0" w:color="auto"/>
                    <w:left w:val="none" w:sz="0" w:space="0" w:color="auto"/>
                    <w:bottom w:val="none" w:sz="0" w:space="0" w:color="auto"/>
                    <w:right w:val="none" w:sz="0" w:space="0" w:color="auto"/>
                  </w:divBdr>
                </w:div>
                <w:div w:id="1783724091">
                  <w:marLeft w:val="640"/>
                  <w:marRight w:val="0"/>
                  <w:marTop w:val="0"/>
                  <w:marBottom w:val="0"/>
                  <w:divBdr>
                    <w:top w:val="none" w:sz="0" w:space="0" w:color="auto"/>
                    <w:left w:val="none" w:sz="0" w:space="0" w:color="auto"/>
                    <w:bottom w:val="none" w:sz="0" w:space="0" w:color="auto"/>
                    <w:right w:val="none" w:sz="0" w:space="0" w:color="auto"/>
                  </w:divBdr>
                </w:div>
                <w:div w:id="256795507">
                  <w:marLeft w:val="640"/>
                  <w:marRight w:val="0"/>
                  <w:marTop w:val="0"/>
                  <w:marBottom w:val="0"/>
                  <w:divBdr>
                    <w:top w:val="none" w:sz="0" w:space="0" w:color="auto"/>
                    <w:left w:val="none" w:sz="0" w:space="0" w:color="auto"/>
                    <w:bottom w:val="none" w:sz="0" w:space="0" w:color="auto"/>
                    <w:right w:val="none" w:sz="0" w:space="0" w:color="auto"/>
                  </w:divBdr>
                </w:div>
                <w:div w:id="79180569">
                  <w:marLeft w:val="640"/>
                  <w:marRight w:val="0"/>
                  <w:marTop w:val="0"/>
                  <w:marBottom w:val="0"/>
                  <w:divBdr>
                    <w:top w:val="none" w:sz="0" w:space="0" w:color="auto"/>
                    <w:left w:val="none" w:sz="0" w:space="0" w:color="auto"/>
                    <w:bottom w:val="none" w:sz="0" w:space="0" w:color="auto"/>
                    <w:right w:val="none" w:sz="0" w:space="0" w:color="auto"/>
                  </w:divBdr>
                </w:div>
                <w:div w:id="2121535084">
                  <w:marLeft w:val="640"/>
                  <w:marRight w:val="0"/>
                  <w:marTop w:val="0"/>
                  <w:marBottom w:val="0"/>
                  <w:divBdr>
                    <w:top w:val="none" w:sz="0" w:space="0" w:color="auto"/>
                    <w:left w:val="none" w:sz="0" w:space="0" w:color="auto"/>
                    <w:bottom w:val="none" w:sz="0" w:space="0" w:color="auto"/>
                    <w:right w:val="none" w:sz="0" w:space="0" w:color="auto"/>
                  </w:divBdr>
                </w:div>
                <w:div w:id="332728287">
                  <w:marLeft w:val="640"/>
                  <w:marRight w:val="0"/>
                  <w:marTop w:val="0"/>
                  <w:marBottom w:val="0"/>
                  <w:divBdr>
                    <w:top w:val="none" w:sz="0" w:space="0" w:color="auto"/>
                    <w:left w:val="none" w:sz="0" w:space="0" w:color="auto"/>
                    <w:bottom w:val="none" w:sz="0" w:space="0" w:color="auto"/>
                    <w:right w:val="none" w:sz="0" w:space="0" w:color="auto"/>
                  </w:divBdr>
                </w:div>
                <w:div w:id="1431967836">
                  <w:marLeft w:val="640"/>
                  <w:marRight w:val="0"/>
                  <w:marTop w:val="0"/>
                  <w:marBottom w:val="0"/>
                  <w:divBdr>
                    <w:top w:val="none" w:sz="0" w:space="0" w:color="auto"/>
                    <w:left w:val="none" w:sz="0" w:space="0" w:color="auto"/>
                    <w:bottom w:val="none" w:sz="0" w:space="0" w:color="auto"/>
                    <w:right w:val="none" w:sz="0" w:space="0" w:color="auto"/>
                  </w:divBdr>
                </w:div>
                <w:div w:id="817301571">
                  <w:marLeft w:val="640"/>
                  <w:marRight w:val="0"/>
                  <w:marTop w:val="0"/>
                  <w:marBottom w:val="0"/>
                  <w:divBdr>
                    <w:top w:val="none" w:sz="0" w:space="0" w:color="auto"/>
                    <w:left w:val="none" w:sz="0" w:space="0" w:color="auto"/>
                    <w:bottom w:val="none" w:sz="0" w:space="0" w:color="auto"/>
                    <w:right w:val="none" w:sz="0" w:space="0" w:color="auto"/>
                  </w:divBdr>
                </w:div>
                <w:div w:id="1432965989">
                  <w:marLeft w:val="640"/>
                  <w:marRight w:val="0"/>
                  <w:marTop w:val="0"/>
                  <w:marBottom w:val="0"/>
                  <w:divBdr>
                    <w:top w:val="none" w:sz="0" w:space="0" w:color="auto"/>
                    <w:left w:val="none" w:sz="0" w:space="0" w:color="auto"/>
                    <w:bottom w:val="none" w:sz="0" w:space="0" w:color="auto"/>
                    <w:right w:val="none" w:sz="0" w:space="0" w:color="auto"/>
                  </w:divBdr>
                </w:div>
                <w:div w:id="1076243289">
                  <w:marLeft w:val="640"/>
                  <w:marRight w:val="0"/>
                  <w:marTop w:val="0"/>
                  <w:marBottom w:val="0"/>
                  <w:divBdr>
                    <w:top w:val="none" w:sz="0" w:space="0" w:color="auto"/>
                    <w:left w:val="none" w:sz="0" w:space="0" w:color="auto"/>
                    <w:bottom w:val="none" w:sz="0" w:space="0" w:color="auto"/>
                    <w:right w:val="none" w:sz="0" w:space="0" w:color="auto"/>
                  </w:divBdr>
                </w:div>
                <w:div w:id="1437409790">
                  <w:marLeft w:val="640"/>
                  <w:marRight w:val="0"/>
                  <w:marTop w:val="0"/>
                  <w:marBottom w:val="0"/>
                  <w:divBdr>
                    <w:top w:val="none" w:sz="0" w:space="0" w:color="auto"/>
                    <w:left w:val="none" w:sz="0" w:space="0" w:color="auto"/>
                    <w:bottom w:val="none" w:sz="0" w:space="0" w:color="auto"/>
                    <w:right w:val="none" w:sz="0" w:space="0" w:color="auto"/>
                  </w:divBdr>
                </w:div>
                <w:div w:id="1277443014">
                  <w:marLeft w:val="640"/>
                  <w:marRight w:val="0"/>
                  <w:marTop w:val="0"/>
                  <w:marBottom w:val="0"/>
                  <w:divBdr>
                    <w:top w:val="none" w:sz="0" w:space="0" w:color="auto"/>
                    <w:left w:val="none" w:sz="0" w:space="0" w:color="auto"/>
                    <w:bottom w:val="none" w:sz="0" w:space="0" w:color="auto"/>
                    <w:right w:val="none" w:sz="0" w:space="0" w:color="auto"/>
                  </w:divBdr>
                </w:div>
                <w:div w:id="768041609">
                  <w:marLeft w:val="640"/>
                  <w:marRight w:val="0"/>
                  <w:marTop w:val="0"/>
                  <w:marBottom w:val="0"/>
                  <w:divBdr>
                    <w:top w:val="none" w:sz="0" w:space="0" w:color="auto"/>
                    <w:left w:val="none" w:sz="0" w:space="0" w:color="auto"/>
                    <w:bottom w:val="none" w:sz="0" w:space="0" w:color="auto"/>
                    <w:right w:val="none" w:sz="0" w:space="0" w:color="auto"/>
                  </w:divBdr>
                </w:div>
                <w:div w:id="166480400">
                  <w:marLeft w:val="640"/>
                  <w:marRight w:val="0"/>
                  <w:marTop w:val="0"/>
                  <w:marBottom w:val="0"/>
                  <w:divBdr>
                    <w:top w:val="none" w:sz="0" w:space="0" w:color="auto"/>
                    <w:left w:val="none" w:sz="0" w:space="0" w:color="auto"/>
                    <w:bottom w:val="none" w:sz="0" w:space="0" w:color="auto"/>
                    <w:right w:val="none" w:sz="0" w:space="0" w:color="auto"/>
                  </w:divBdr>
                </w:div>
                <w:div w:id="609825972">
                  <w:marLeft w:val="640"/>
                  <w:marRight w:val="0"/>
                  <w:marTop w:val="0"/>
                  <w:marBottom w:val="0"/>
                  <w:divBdr>
                    <w:top w:val="none" w:sz="0" w:space="0" w:color="auto"/>
                    <w:left w:val="none" w:sz="0" w:space="0" w:color="auto"/>
                    <w:bottom w:val="none" w:sz="0" w:space="0" w:color="auto"/>
                    <w:right w:val="none" w:sz="0" w:space="0" w:color="auto"/>
                  </w:divBdr>
                </w:div>
                <w:div w:id="419375555">
                  <w:marLeft w:val="640"/>
                  <w:marRight w:val="0"/>
                  <w:marTop w:val="0"/>
                  <w:marBottom w:val="0"/>
                  <w:divBdr>
                    <w:top w:val="none" w:sz="0" w:space="0" w:color="auto"/>
                    <w:left w:val="none" w:sz="0" w:space="0" w:color="auto"/>
                    <w:bottom w:val="none" w:sz="0" w:space="0" w:color="auto"/>
                    <w:right w:val="none" w:sz="0" w:space="0" w:color="auto"/>
                  </w:divBdr>
                </w:div>
                <w:div w:id="1949509674">
                  <w:marLeft w:val="640"/>
                  <w:marRight w:val="0"/>
                  <w:marTop w:val="0"/>
                  <w:marBottom w:val="0"/>
                  <w:divBdr>
                    <w:top w:val="none" w:sz="0" w:space="0" w:color="auto"/>
                    <w:left w:val="none" w:sz="0" w:space="0" w:color="auto"/>
                    <w:bottom w:val="none" w:sz="0" w:space="0" w:color="auto"/>
                    <w:right w:val="none" w:sz="0" w:space="0" w:color="auto"/>
                  </w:divBdr>
                </w:div>
                <w:div w:id="2060586699">
                  <w:marLeft w:val="640"/>
                  <w:marRight w:val="0"/>
                  <w:marTop w:val="0"/>
                  <w:marBottom w:val="0"/>
                  <w:divBdr>
                    <w:top w:val="none" w:sz="0" w:space="0" w:color="auto"/>
                    <w:left w:val="none" w:sz="0" w:space="0" w:color="auto"/>
                    <w:bottom w:val="none" w:sz="0" w:space="0" w:color="auto"/>
                    <w:right w:val="none" w:sz="0" w:space="0" w:color="auto"/>
                  </w:divBdr>
                </w:div>
                <w:div w:id="1486312690">
                  <w:marLeft w:val="640"/>
                  <w:marRight w:val="0"/>
                  <w:marTop w:val="0"/>
                  <w:marBottom w:val="0"/>
                  <w:divBdr>
                    <w:top w:val="none" w:sz="0" w:space="0" w:color="auto"/>
                    <w:left w:val="none" w:sz="0" w:space="0" w:color="auto"/>
                    <w:bottom w:val="none" w:sz="0" w:space="0" w:color="auto"/>
                    <w:right w:val="none" w:sz="0" w:space="0" w:color="auto"/>
                  </w:divBdr>
                </w:div>
                <w:div w:id="1722636898">
                  <w:marLeft w:val="640"/>
                  <w:marRight w:val="0"/>
                  <w:marTop w:val="0"/>
                  <w:marBottom w:val="0"/>
                  <w:divBdr>
                    <w:top w:val="none" w:sz="0" w:space="0" w:color="auto"/>
                    <w:left w:val="none" w:sz="0" w:space="0" w:color="auto"/>
                    <w:bottom w:val="none" w:sz="0" w:space="0" w:color="auto"/>
                    <w:right w:val="none" w:sz="0" w:space="0" w:color="auto"/>
                  </w:divBdr>
                </w:div>
                <w:div w:id="2071272083">
                  <w:marLeft w:val="640"/>
                  <w:marRight w:val="0"/>
                  <w:marTop w:val="0"/>
                  <w:marBottom w:val="0"/>
                  <w:divBdr>
                    <w:top w:val="none" w:sz="0" w:space="0" w:color="auto"/>
                    <w:left w:val="none" w:sz="0" w:space="0" w:color="auto"/>
                    <w:bottom w:val="none" w:sz="0" w:space="0" w:color="auto"/>
                    <w:right w:val="none" w:sz="0" w:space="0" w:color="auto"/>
                  </w:divBdr>
                </w:div>
                <w:div w:id="1681812761">
                  <w:marLeft w:val="640"/>
                  <w:marRight w:val="0"/>
                  <w:marTop w:val="0"/>
                  <w:marBottom w:val="0"/>
                  <w:divBdr>
                    <w:top w:val="none" w:sz="0" w:space="0" w:color="auto"/>
                    <w:left w:val="none" w:sz="0" w:space="0" w:color="auto"/>
                    <w:bottom w:val="none" w:sz="0" w:space="0" w:color="auto"/>
                    <w:right w:val="none" w:sz="0" w:space="0" w:color="auto"/>
                  </w:divBdr>
                </w:div>
                <w:div w:id="1055084158">
                  <w:marLeft w:val="640"/>
                  <w:marRight w:val="0"/>
                  <w:marTop w:val="0"/>
                  <w:marBottom w:val="0"/>
                  <w:divBdr>
                    <w:top w:val="none" w:sz="0" w:space="0" w:color="auto"/>
                    <w:left w:val="none" w:sz="0" w:space="0" w:color="auto"/>
                    <w:bottom w:val="none" w:sz="0" w:space="0" w:color="auto"/>
                    <w:right w:val="none" w:sz="0" w:space="0" w:color="auto"/>
                  </w:divBdr>
                </w:div>
              </w:divsChild>
            </w:div>
            <w:div w:id="515265041">
              <w:marLeft w:val="0"/>
              <w:marRight w:val="0"/>
              <w:marTop w:val="0"/>
              <w:marBottom w:val="0"/>
              <w:divBdr>
                <w:top w:val="none" w:sz="0" w:space="0" w:color="auto"/>
                <w:left w:val="none" w:sz="0" w:space="0" w:color="auto"/>
                <w:bottom w:val="none" w:sz="0" w:space="0" w:color="auto"/>
                <w:right w:val="none" w:sz="0" w:space="0" w:color="auto"/>
              </w:divBdr>
              <w:divsChild>
                <w:div w:id="1633901959">
                  <w:marLeft w:val="640"/>
                  <w:marRight w:val="0"/>
                  <w:marTop w:val="0"/>
                  <w:marBottom w:val="0"/>
                  <w:divBdr>
                    <w:top w:val="none" w:sz="0" w:space="0" w:color="auto"/>
                    <w:left w:val="none" w:sz="0" w:space="0" w:color="auto"/>
                    <w:bottom w:val="none" w:sz="0" w:space="0" w:color="auto"/>
                    <w:right w:val="none" w:sz="0" w:space="0" w:color="auto"/>
                  </w:divBdr>
                </w:div>
                <w:div w:id="403991694">
                  <w:marLeft w:val="640"/>
                  <w:marRight w:val="0"/>
                  <w:marTop w:val="0"/>
                  <w:marBottom w:val="0"/>
                  <w:divBdr>
                    <w:top w:val="none" w:sz="0" w:space="0" w:color="auto"/>
                    <w:left w:val="none" w:sz="0" w:space="0" w:color="auto"/>
                    <w:bottom w:val="none" w:sz="0" w:space="0" w:color="auto"/>
                    <w:right w:val="none" w:sz="0" w:space="0" w:color="auto"/>
                  </w:divBdr>
                </w:div>
                <w:div w:id="461843861">
                  <w:marLeft w:val="640"/>
                  <w:marRight w:val="0"/>
                  <w:marTop w:val="0"/>
                  <w:marBottom w:val="0"/>
                  <w:divBdr>
                    <w:top w:val="none" w:sz="0" w:space="0" w:color="auto"/>
                    <w:left w:val="none" w:sz="0" w:space="0" w:color="auto"/>
                    <w:bottom w:val="none" w:sz="0" w:space="0" w:color="auto"/>
                    <w:right w:val="none" w:sz="0" w:space="0" w:color="auto"/>
                  </w:divBdr>
                </w:div>
                <w:div w:id="834996744">
                  <w:marLeft w:val="640"/>
                  <w:marRight w:val="0"/>
                  <w:marTop w:val="0"/>
                  <w:marBottom w:val="0"/>
                  <w:divBdr>
                    <w:top w:val="none" w:sz="0" w:space="0" w:color="auto"/>
                    <w:left w:val="none" w:sz="0" w:space="0" w:color="auto"/>
                    <w:bottom w:val="none" w:sz="0" w:space="0" w:color="auto"/>
                    <w:right w:val="none" w:sz="0" w:space="0" w:color="auto"/>
                  </w:divBdr>
                </w:div>
                <w:div w:id="1270744707">
                  <w:marLeft w:val="640"/>
                  <w:marRight w:val="0"/>
                  <w:marTop w:val="0"/>
                  <w:marBottom w:val="0"/>
                  <w:divBdr>
                    <w:top w:val="none" w:sz="0" w:space="0" w:color="auto"/>
                    <w:left w:val="none" w:sz="0" w:space="0" w:color="auto"/>
                    <w:bottom w:val="none" w:sz="0" w:space="0" w:color="auto"/>
                    <w:right w:val="none" w:sz="0" w:space="0" w:color="auto"/>
                  </w:divBdr>
                </w:div>
                <w:div w:id="1819809834">
                  <w:marLeft w:val="640"/>
                  <w:marRight w:val="0"/>
                  <w:marTop w:val="0"/>
                  <w:marBottom w:val="0"/>
                  <w:divBdr>
                    <w:top w:val="none" w:sz="0" w:space="0" w:color="auto"/>
                    <w:left w:val="none" w:sz="0" w:space="0" w:color="auto"/>
                    <w:bottom w:val="none" w:sz="0" w:space="0" w:color="auto"/>
                    <w:right w:val="none" w:sz="0" w:space="0" w:color="auto"/>
                  </w:divBdr>
                </w:div>
                <w:div w:id="657079699">
                  <w:marLeft w:val="640"/>
                  <w:marRight w:val="0"/>
                  <w:marTop w:val="0"/>
                  <w:marBottom w:val="0"/>
                  <w:divBdr>
                    <w:top w:val="none" w:sz="0" w:space="0" w:color="auto"/>
                    <w:left w:val="none" w:sz="0" w:space="0" w:color="auto"/>
                    <w:bottom w:val="none" w:sz="0" w:space="0" w:color="auto"/>
                    <w:right w:val="none" w:sz="0" w:space="0" w:color="auto"/>
                  </w:divBdr>
                </w:div>
                <w:div w:id="1795519597">
                  <w:marLeft w:val="640"/>
                  <w:marRight w:val="0"/>
                  <w:marTop w:val="0"/>
                  <w:marBottom w:val="0"/>
                  <w:divBdr>
                    <w:top w:val="none" w:sz="0" w:space="0" w:color="auto"/>
                    <w:left w:val="none" w:sz="0" w:space="0" w:color="auto"/>
                    <w:bottom w:val="none" w:sz="0" w:space="0" w:color="auto"/>
                    <w:right w:val="none" w:sz="0" w:space="0" w:color="auto"/>
                  </w:divBdr>
                </w:div>
                <w:div w:id="1576817320">
                  <w:marLeft w:val="640"/>
                  <w:marRight w:val="0"/>
                  <w:marTop w:val="0"/>
                  <w:marBottom w:val="0"/>
                  <w:divBdr>
                    <w:top w:val="none" w:sz="0" w:space="0" w:color="auto"/>
                    <w:left w:val="none" w:sz="0" w:space="0" w:color="auto"/>
                    <w:bottom w:val="none" w:sz="0" w:space="0" w:color="auto"/>
                    <w:right w:val="none" w:sz="0" w:space="0" w:color="auto"/>
                  </w:divBdr>
                </w:div>
                <w:div w:id="1788156174">
                  <w:marLeft w:val="640"/>
                  <w:marRight w:val="0"/>
                  <w:marTop w:val="0"/>
                  <w:marBottom w:val="0"/>
                  <w:divBdr>
                    <w:top w:val="none" w:sz="0" w:space="0" w:color="auto"/>
                    <w:left w:val="none" w:sz="0" w:space="0" w:color="auto"/>
                    <w:bottom w:val="none" w:sz="0" w:space="0" w:color="auto"/>
                    <w:right w:val="none" w:sz="0" w:space="0" w:color="auto"/>
                  </w:divBdr>
                </w:div>
                <w:div w:id="1999532577">
                  <w:marLeft w:val="640"/>
                  <w:marRight w:val="0"/>
                  <w:marTop w:val="0"/>
                  <w:marBottom w:val="0"/>
                  <w:divBdr>
                    <w:top w:val="none" w:sz="0" w:space="0" w:color="auto"/>
                    <w:left w:val="none" w:sz="0" w:space="0" w:color="auto"/>
                    <w:bottom w:val="none" w:sz="0" w:space="0" w:color="auto"/>
                    <w:right w:val="none" w:sz="0" w:space="0" w:color="auto"/>
                  </w:divBdr>
                </w:div>
                <w:div w:id="1434323180">
                  <w:marLeft w:val="640"/>
                  <w:marRight w:val="0"/>
                  <w:marTop w:val="0"/>
                  <w:marBottom w:val="0"/>
                  <w:divBdr>
                    <w:top w:val="none" w:sz="0" w:space="0" w:color="auto"/>
                    <w:left w:val="none" w:sz="0" w:space="0" w:color="auto"/>
                    <w:bottom w:val="none" w:sz="0" w:space="0" w:color="auto"/>
                    <w:right w:val="none" w:sz="0" w:space="0" w:color="auto"/>
                  </w:divBdr>
                </w:div>
                <w:div w:id="1484274703">
                  <w:marLeft w:val="640"/>
                  <w:marRight w:val="0"/>
                  <w:marTop w:val="0"/>
                  <w:marBottom w:val="0"/>
                  <w:divBdr>
                    <w:top w:val="none" w:sz="0" w:space="0" w:color="auto"/>
                    <w:left w:val="none" w:sz="0" w:space="0" w:color="auto"/>
                    <w:bottom w:val="none" w:sz="0" w:space="0" w:color="auto"/>
                    <w:right w:val="none" w:sz="0" w:space="0" w:color="auto"/>
                  </w:divBdr>
                </w:div>
                <w:div w:id="1808663250">
                  <w:marLeft w:val="640"/>
                  <w:marRight w:val="0"/>
                  <w:marTop w:val="0"/>
                  <w:marBottom w:val="0"/>
                  <w:divBdr>
                    <w:top w:val="none" w:sz="0" w:space="0" w:color="auto"/>
                    <w:left w:val="none" w:sz="0" w:space="0" w:color="auto"/>
                    <w:bottom w:val="none" w:sz="0" w:space="0" w:color="auto"/>
                    <w:right w:val="none" w:sz="0" w:space="0" w:color="auto"/>
                  </w:divBdr>
                </w:div>
                <w:div w:id="79908399">
                  <w:marLeft w:val="640"/>
                  <w:marRight w:val="0"/>
                  <w:marTop w:val="0"/>
                  <w:marBottom w:val="0"/>
                  <w:divBdr>
                    <w:top w:val="none" w:sz="0" w:space="0" w:color="auto"/>
                    <w:left w:val="none" w:sz="0" w:space="0" w:color="auto"/>
                    <w:bottom w:val="none" w:sz="0" w:space="0" w:color="auto"/>
                    <w:right w:val="none" w:sz="0" w:space="0" w:color="auto"/>
                  </w:divBdr>
                </w:div>
                <w:div w:id="2034067295">
                  <w:marLeft w:val="640"/>
                  <w:marRight w:val="0"/>
                  <w:marTop w:val="0"/>
                  <w:marBottom w:val="0"/>
                  <w:divBdr>
                    <w:top w:val="none" w:sz="0" w:space="0" w:color="auto"/>
                    <w:left w:val="none" w:sz="0" w:space="0" w:color="auto"/>
                    <w:bottom w:val="none" w:sz="0" w:space="0" w:color="auto"/>
                    <w:right w:val="none" w:sz="0" w:space="0" w:color="auto"/>
                  </w:divBdr>
                </w:div>
                <w:div w:id="1534539984">
                  <w:marLeft w:val="640"/>
                  <w:marRight w:val="0"/>
                  <w:marTop w:val="0"/>
                  <w:marBottom w:val="0"/>
                  <w:divBdr>
                    <w:top w:val="none" w:sz="0" w:space="0" w:color="auto"/>
                    <w:left w:val="none" w:sz="0" w:space="0" w:color="auto"/>
                    <w:bottom w:val="none" w:sz="0" w:space="0" w:color="auto"/>
                    <w:right w:val="none" w:sz="0" w:space="0" w:color="auto"/>
                  </w:divBdr>
                </w:div>
                <w:div w:id="335574543">
                  <w:marLeft w:val="640"/>
                  <w:marRight w:val="0"/>
                  <w:marTop w:val="0"/>
                  <w:marBottom w:val="0"/>
                  <w:divBdr>
                    <w:top w:val="none" w:sz="0" w:space="0" w:color="auto"/>
                    <w:left w:val="none" w:sz="0" w:space="0" w:color="auto"/>
                    <w:bottom w:val="none" w:sz="0" w:space="0" w:color="auto"/>
                    <w:right w:val="none" w:sz="0" w:space="0" w:color="auto"/>
                  </w:divBdr>
                </w:div>
                <w:div w:id="1691713341">
                  <w:marLeft w:val="640"/>
                  <w:marRight w:val="0"/>
                  <w:marTop w:val="0"/>
                  <w:marBottom w:val="0"/>
                  <w:divBdr>
                    <w:top w:val="none" w:sz="0" w:space="0" w:color="auto"/>
                    <w:left w:val="none" w:sz="0" w:space="0" w:color="auto"/>
                    <w:bottom w:val="none" w:sz="0" w:space="0" w:color="auto"/>
                    <w:right w:val="none" w:sz="0" w:space="0" w:color="auto"/>
                  </w:divBdr>
                </w:div>
                <w:div w:id="198050148">
                  <w:marLeft w:val="640"/>
                  <w:marRight w:val="0"/>
                  <w:marTop w:val="0"/>
                  <w:marBottom w:val="0"/>
                  <w:divBdr>
                    <w:top w:val="none" w:sz="0" w:space="0" w:color="auto"/>
                    <w:left w:val="none" w:sz="0" w:space="0" w:color="auto"/>
                    <w:bottom w:val="none" w:sz="0" w:space="0" w:color="auto"/>
                    <w:right w:val="none" w:sz="0" w:space="0" w:color="auto"/>
                  </w:divBdr>
                </w:div>
                <w:div w:id="1603293733">
                  <w:marLeft w:val="640"/>
                  <w:marRight w:val="0"/>
                  <w:marTop w:val="0"/>
                  <w:marBottom w:val="0"/>
                  <w:divBdr>
                    <w:top w:val="none" w:sz="0" w:space="0" w:color="auto"/>
                    <w:left w:val="none" w:sz="0" w:space="0" w:color="auto"/>
                    <w:bottom w:val="none" w:sz="0" w:space="0" w:color="auto"/>
                    <w:right w:val="none" w:sz="0" w:space="0" w:color="auto"/>
                  </w:divBdr>
                </w:div>
                <w:div w:id="1461462268">
                  <w:marLeft w:val="640"/>
                  <w:marRight w:val="0"/>
                  <w:marTop w:val="0"/>
                  <w:marBottom w:val="0"/>
                  <w:divBdr>
                    <w:top w:val="none" w:sz="0" w:space="0" w:color="auto"/>
                    <w:left w:val="none" w:sz="0" w:space="0" w:color="auto"/>
                    <w:bottom w:val="none" w:sz="0" w:space="0" w:color="auto"/>
                    <w:right w:val="none" w:sz="0" w:space="0" w:color="auto"/>
                  </w:divBdr>
                </w:div>
                <w:div w:id="189339021">
                  <w:marLeft w:val="640"/>
                  <w:marRight w:val="0"/>
                  <w:marTop w:val="0"/>
                  <w:marBottom w:val="0"/>
                  <w:divBdr>
                    <w:top w:val="none" w:sz="0" w:space="0" w:color="auto"/>
                    <w:left w:val="none" w:sz="0" w:space="0" w:color="auto"/>
                    <w:bottom w:val="none" w:sz="0" w:space="0" w:color="auto"/>
                    <w:right w:val="none" w:sz="0" w:space="0" w:color="auto"/>
                  </w:divBdr>
                </w:div>
              </w:divsChild>
            </w:div>
            <w:div w:id="1821655705">
              <w:marLeft w:val="0"/>
              <w:marRight w:val="0"/>
              <w:marTop w:val="0"/>
              <w:marBottom w:val="0"/>
              <w:divBdr>
                <w:top w:val="none" w:sz="0" w:space="0" w:color="auto"/>
                <w:left w:val="none" w:sz="0" w:space="0" w:color="auto"/>
                <w:bottom w:val="none" w:sz="0" w:space="0" w:color="auto"/>
                <w:right w:val="none" w:sz="0" w:space="0" w:color="auto"/>
              </w:divBdr>
              <w:divsChild>
                <w:div w:id="355547350">
                  <w:marLeft w:val="640"/>
                  <w:marRight w:val="0"/>
                  <w:marTop w:val="0"/>
                  <w:marBottom w:val="0"/>
                  <w:divBdr>
                    <w:top w:val="none" w:sz="0" w:space="0" w:color="auto"/>
                    <w:left w:val="none" w:sz="0" w:space="0" w:color="auto"/>
                    <w:bottom w:val="none" w:sz="0" w:space="0" w:color="auto"/>
                    <w:right w:val="none" w:sz="0" w:space="0" w:color="auto"/>
                  </w:divBdr>
                </w:div>
                <w:div w:id="1280801281">
                  <w:marLeft w:val="640"/>
                  <w:marRight w:val="0"/>
                  <w:marTop w:val="0"/>
                  <w:marBottom w:val="0"/>
                  <w:divBdr>
                    <w:top w:val="none" w:sz="0" w:space="0" w:color="auto"/>
                    <w:left w:val="none" w:sz="0" w:space="0" w:color="auto"/>
                    <w:bottom w:val="none" w:sz="0" w:space="0" w:color="auto"/>
                    <w:right w:val="none" w:sz="0" w:space="0" w:color="auto"/>
                  </w:divBdr>
                </w:div>
                <w:div w:id="1594389031">
                  <w:marLeft w:val="640"/>
                  <w:marRight w:val="0"/>
                  <w:marTop w:val="0"/>
                  <w:marBottom w:val="0"/>
                  <w:divBdr>
                    <w:top w:val="none" w:sz="0" w:space="0" w:color="auto"/>
                    <w:left w:val="none" w:sz="0" w:space="0" w:color="auto"/>
                    <w:bottom w:val="none" w:sz="0" w:space="0" w:color="auto"/>
                    <w:right w:val="none" w:sz="0" w:space="0" w:color="auto"/>
                  </w:divBdr>
                </w:div>
                <w:div w:id="1935672022">
                  <w:marLeft w:val="640"/>
                  <w:marRight w:val="0"/>
                  <w:marTop w:val="0"/>
                  <w:marBottom w:val="0"/>
                  <w:divBdr>
                    <w:top w:val="none" w:sz="0" w:space="0" w:color="auto"/>
                    <w:left w:val="none" w:sz="0" w:space="0" w:color="auto"/>
                    <w:bottom w:val="none" w:sz="0" w:space="0" w:color="auto"/>
                    <w:right w:val="none" w:sz="0" w:space="0" w:color="auto"/>
                  </w:divBdr>
                </w:div>
                <w:div w:id="739595284">
                  <w:marLeft w:val="640"/>
                  <w:marRight w:val="0"/>
                  <w:marTop w:val="0"/>
                  <w:marBottom w:val="0"/>
                  <w:divBdr>
                    <w:top w:val="none" w:sz="0" w:space="0" w:color="auto"/>
                    <w:left w:val="none" w:sz="0" w:space="0" w:color="auto"/>
                    <w:bottom w:val="none" w:sz="0" w:space="0" w:color="auto"/>
                    <w:right w:val="none" w:sz="0" w:space="0" w:color="auto"/>
                  </w:divBdr>
                </w:div>
                <w:div w:id="300572661">
                  <w:marLeft w:val="640"/>
                  <w:marRight w:val="0"/>
                  <w:marTop w:val="0"/>
                  <w:marBottom w:val="0"/>
                  <w:divBdr>
                    <w:top w:val="none" w:sz="0" w:space="0" w:color="auto"/>
                    <w:left w:val="none" w:sz="0" w:space="0" w:color="auto"/>
                    <w:bottom w:val="none" w:sz="0" w:space="0" w:color="auto"/>
                    <w:right w:val="none" w:sz="0" w:space="0" w:color="auto"/>
                  </w:divBdr>
                </w:div>
                <w:div w:id="1978339928">
                  <w:marLeft w:val="640"/>
                  <w:marRight w:val="0"/>
                  <w:marTop w:val="0"/>
                  <w:marBottom w:val="0"/>
                  <w:divBdr>
                    <w:top w:val="none" w:sz="0" w:space="0" w:color="auto"/>
                    <w:left w:val="none" w:sz="0" w:space="0" w:color="auto"/>
                    <w:bottom w:val="none" w:sz="0" w:space="0" w:color="auto"/>
                    <w:right w:val="none" w:sz="0" w:space="0" w:color="auto"/>
                  </w:divBdr>
                </w:div>
                <w:div w:id="1775130907">
                  <w:marLeft w:val="640"/>
                  <w:marRight w:val="0"/>
                  <w:marTop w:val="0"/>
                  <w:marBottom w:val="0"/>
                  <w:divBdr>
                    <w:top w:val="none" w:sz="0" w:space="0" w:color="auto"/>
                    <w:left w:val="none" w:sz="0" w:space="0" w:color="auto"/>
                    <w:bottom w:val="none" w:sz="0" w:space="0" w:color="auto"/>
                    <w:right w:val="none" w:sz="0" w:space="0" w:color="auto"/>
                  </w:divBdr>
                </w:div>
                <w:div w:id="1327635026">
                  <w:marLeft w:val="640"/>
                  <w:marRight w:val="0"/>
                  <w:marTop w:val="0"/>
                  <w:marBottom w:val="0"/>
                  <w:divBdr>
                    <w:top w:val="none" w:sz="0" w:space="0" w:color="auto"/>
                    <w:left w:val="none" w:sz="0" w:space="0" w:color="auto"/>
                    <w:bottom w:val="none" w:sz="0" w:space="0" w:color="auto"/>
                    <w:right w:val="none" w:sz="0" w:space="0" w:color="auto"/>
                  </w:divBdr>
                </w:div>
                <w:div w:id="558172732">
                  <w:marLeft w:val="640"/>
                  <w:marRight w:val="0"/>
                  <w:marTop w:val="0"/>
                  <w:marBottom w:val="0"/>
                  <w:divBdr>
                    <w:top w:val="none" w:sz="0" w:space="0" w:color="auto"/>
                    <w:left w:val="none" w:sz="0" w:space="0" w:color="auto"/>
                    <w:bottom w:val="none" w:sz="0" w:space="0" w:color="auto"/>
                    <w:right w:val="none" w:sz="0" w:space="0" w:color="auto"/>
                  </w:divBdr>
                </w:div>
                <w:div w:id="1194611293">
                  <w:marLeft w:val="640"/>
                  <w:marRight w:val="0"/>
                  <w:marTop w:val="0"/>
                  <w:marBottom w:val="0"/>
                  <w:divBdr>
                    <w:top w:val="none" w:sz="0" w:space="0" w:color="auto"/>
                    <w:left w:val="none" w:sz="0" w:space="0" w:color="auto"/>
                    <w:bottom w:val="none" w:sz="0" w:space="0" w:color="auto"/>
                    <w:right w:val="none" w:sz="0" w:space="0" w:color="auto"/>
                  </w:divBdr>
                </w:div>
                <w:div w:id="1237279661">
                  <w:marLeft w:val="640"/>
                  <w:marRight w:val="0"/>
                  <w:marTop w:val="0"/>
                  <w:marBottom w:val="0"/>
                  <w:divBdr>
                    <w:top w:val="none" w:sz="0" w:space="0" w:color="auto"/>
                    <w:left w:val="none" w:sz="0" w:space="0" w:color="auto"/>
                    <w:bottom w:val="none" w:sz="0" w:space="0" w:color="auto"/>
                    <w:right w:val="none" w:sz="0" w:space="0" w:color="auto"/>
                  </w:divBdr>
                </w:div>
                <w:div w:id="1482648522">
                  <w:marLeft w:val="640"/>
                  <w:marRight w:val="0"/>
                  <w:marTop w:val="0"/>
                  <w:marBottom w:val="0"/>
                  <w:divBdr>
                    <w:top w:val="none" w:sz="0" w:space="0" w:color="auto"/>
                    <w:left w:val="none" w:sz="0" w:space="0" w:color="auto"/>
                    <w:bottom w:val="none" w:sz="0" w:space="0" w:color="auto"/>
                    <w:right w:val="none" w:sz="0" w:space="0" w:color="auto"/>
                  </w:divBdr>
                </w:div>
                <w:div w:id="1683580023">
                  <w:marLeft w:val="640"/>
                  <w:marRight w:val="0"/>
                  <w:marTop w:val="0"/>
                  <w:marBottom w:val="0"/>
                  <w:divBdr>
                    <w:top w:val="none" w:sz="0" w:space="0" w:color="auto"/>
                    <w:left w:val="none" w:sz="0" w:space="0" w:color="auto"/>
                    <w:bottom w:val="none" w:sz="0" w:space="0" w:color="auto"/>
                    <w:right w:val="none" w:sz="0" w:space="0" w:color="auto"/>
                  </w:divBdr>
                </w:div>
                <w:div w:id="1740246099">
                  <w:marLeft w:val="640"/>
                  <w:marRight w:val="0"/>
                  <w:marTop w:val="0"/>
                  <w:marBottom w:val="0"/>
                  <w:divBdr>
                    <w:top w:val="none" w:sz="0" w:space="0" w:color="auto"/>
                    <w:left w:val="none" w:sz="0" w:space="0" w:color="auto"/>
                    <w:bottom w:val="none" w:sz="0" w:space="0" w:color="auto"/>
                    <w:right w:val="none" w:sz="0" w:space="0" w:color="auto"/>
                  </w:divBdr>
                </w:div>
                <w:div w:id="62534489">
                  <w:marLeft w:val="640"/>
                  <w:marRight w:val="0"/>
                  <w:marTop w:val="0"/>
                  <w:marBottom w:val="0"/>
                  <w:divBdr>
                    <w:top w:val="none" w:sz="0" w:space="0" w:color="auto"/>
                    <w:left w:val="none" w:sz="0" w:space="0" w:color="auto"/>
                    <w:bottom w:val="none" w:sz="0" w:space="0" w:color="auto"/>
                    <w:right w:val="none" w:sz="0" w:space="0" w:color="auto"/>
                  </w:divBdr>
                </w:div>
                <w:div w:id="728188189">
                  <w:marLeft w:val="640"/>
                  <w:marRight w:val="0"/>
                  <w:marTop w:val="0"/>
                  <w:marBottom w:val="0"/>
                  <w:divBdr>
                    <w:top w:val="none" w:sz="0" w:space="0" w:color="auto"/>
                    <w:left w:val="none" w:sz="0" w:space="0" w:color="auto"/>
                    <w:bottom w:val="none" w:sz="0" w:space="0" w:color="auto"/>
                    <w:right w:val="none" w:sz="0" w:space="0" w:color="auto"/>
                  </w:divBdr>
                </w:div>
                <w:div w:id="1858738">
                  <w:marLeft w:val="640"/>
                  <w:marRight w:val="0"/>
                  <w:marTop w:val="0"/>
                  <w:marBottom w:val="0"/>
                  <w:divBdr>
                    <w:top w:val="none" w:sz="0" w:space="0" w:color="auto"/>
                    <w:left w:val="none" w:sz="0" w:space="0" w:color="auto"/>
                    <w:bottom w:val="none" w:sz="0" w:space="0" w:color="auto"/>
                    <w:right w:val="none" w:sz="0" w:space="0" w:color="auto"/>
                  </w:divBdr>
                </w:div>
                <w:div w:id="1125392081">
                  <w:marLeft w:val="640"/>
                  <w:marRight w:val="0"/>
                  <w:marTop w:val="0"/>
                  <w:marBottom w:val="0"/>
                  <w:divBdr>
                    <w:top w:val="none" w:sz="0" w:space="0" w:color="auto"/>
                    <w:left w:val="none" w:sz="0" w:space="0" w:color="auto"/>
                    <w:bottom w:val="none" w:sz="0" w:space="0" w:color="auto"/>
                    <w:right w:val="none" w:sz="0" w:space="0" w:color="auto"/>
                  </w:divBdr>
                </w:div>
                <w:div w:id="77291732">
                  <w:marLeft w:val="640"/>
                  <w:marRight w:val="0"/>
                  <w:marTop w:val="0"/>
                  <w:marBottom w:val="0"/>
                  <w:divBdr>
                    <w:top w:val="none" w:sz="0" w:space="0" w:color="auto"/>
                    <w:left w:val="none" w:sz="0" w:space="0" w:color="auto"/>
                    <w:bottom w:val="none" w:sz="0" w:space="0" w:color="auto"/>
                    <w:right w:val="none" w:sz="0" w:space="0" w:color="auto"/>
                  </w:divBdr>
                </w:div>
                <w:div w:id="384914159">
                  <w:marLeft w:val="640"/>
                  <w:marRight w:val="0"/>
                  <w:marTop w:val="0"/>
                  <w:marBottom w:val="0"/>
                  <w:divBdr>
                    <w:top w:val="none" w:sz="0" w:space="0" w:color="auto"/>
                    <w:left w:val="none" w:sz="0" w:space="0" w:color="auto"/>
                    <w:bottom w:val="none" w:sz="0" w:space="0" w:color="auto"/>
                    <w:right w:val="none" w:sz="0" w:space="0" w:color="auto"/>
                  </w:divBdr>
                </w:div>
                <w:div w:id="2014600547">
                  <w:marLeft w:val="640"/>
                  <w:marRight w:val="0"/>
                  <w:marTop w:val="0"/>
                  <w:marBottom w:val="0"/>
                  <w:divBdr>
                    <w:top w:val="none" w:sz="0" w:space="0" w:color="auto"/>
                    <w:left w:val="none" w:sz="0" w:space="0" w:color="auto"/>
                    <w:bottom w:val="none" w:sz="0" w:space="0" w:color="auto"/>
                    <w:right w:val="none" w:sz="0" w:space="0" w:color="auto"/>
                  </w:divBdr>
                </w:div>
                <w:div w:id="1194657602">
                  <w:marLeft w:val="640"/>
                  <w:marRight w:val="0"/>
                  <w:marTop w:val="0"/>
                  <w:marBottom w:val="0"/>
                  <w:divBdr>
                    <w:top w:val="none" w:sz="0" w:space="0" w:color="auto"/>
                    <w:left w:val="none" w:sz="0" w:space="0" w:color="auto"/>
                    <w:bottom w:val="none" w:sz="0" w:space="0" w:color="auto"/>
                    <w:right w:val="none" w:sz="0" w:space="0" w:color="auto"/>
                  </w:divBdr>
                </w:div>
              </w:divsChild>
            </w:div>
            <w:div w:id="887374858">
              <w:marLeft w:val="0"/>
              <w:marRight w:val="0"/>
              <w:marTop w:val="0"/>
              <w:marBottom w:val="0"/>
              <w:divBdr>
                <w:top w:val="none" w:sz="0" w:space="0" w:color="auto"/>
                <w:left w:val="none" w:sz="0" w:space="0" w:color="auto"/>
                <w:bottom w:val="none" w:sz="0" w:space="0" w:color="auto"/>
                <w:right w:val="none" w:sz="0" w:space="0" w:color="auto"/>
              </w:divBdr>
              <w:divsChild>
                <w:div w:id="585501103">
                  <w:marLeft w:val="640"/>
                  <w:marRight w:val="0"/>
                  <w:marTop w:val="0"/>
                  <w:marBottom w:val="0"/>
                  <w:divBdr>
                    <w:top w:val="none" w:sz="0" w:space="0" w:color="auto"/>
                    <w:left w:val="none" w:sz="0" w:space="0" w:color="auto"/>
                    <w:bottom w:val="none" w:sz="0" w:space="0" w:color="auto"/>
                    <w:right w:val="none" w:sz="0" w:space="0" w:color="auto"/>
                  </w:divBdr>
                </w:div>
                <w:div w:id="276915443">
                  <w:marLeft w:val="640"/>
                  <w:marRight w:val="0"/>
                  <w:marTop w:val="0"/>
                  <w:marBottom w:val="0"/>
                  <w:divBdr>
                    <w:top w:val="none" w:sz="0" w:space="0" w:color="auto"/>
                    <w:left w:val="none" w:sz="0" w:space="0" w:color="auto"/>
                    <w:bottom w:val="none" w:sz="0" w:space="0" w:color="auto"/>
                    <w:right w:val="none" w:sz="0" w:space="0" w:color="auto"/>
                  </w:divBdr>
                </w:div>
                <w:div w:id="1382293575">
                  <w:marLeft w:val="640"/>
                  <w:marRight w:val="0"/>
                  <w:marTop w:val="0"/>
                  <w:marBottom w:val="0"/>
                  <w:divBdr>
                    <w:top w:val="none" w:sz="0" w:space="0" w:color="auto"/>
                    <w:left w:val="none" w:sz="0" w:space="0" w:color="auto"/>
                    <w:bottom w:val="none" w:sz="0" w:space="0" w:color="auto"/>
                    <w:right w:val="none" w:sz="0" w:space="0" w:color="auto"/>
                  </w:divBdr>
                </w:div>
                <w:div w:id="1405494778">
                  <w:marLeft w:val="640"/>
                  <w:marRight w:val="0"/>
                  <w:marTop w:val="0"/>
                  <w:marBottom w:val="0"/>
                  <w:divBdr>
                    <w:top w:val="none" w:sz="0" w:space="0" w:color="auto"/>
                    <w:left w:val="none" w:sz="0" w:space="0" w:color="auto"/>
                    <w:bottom w:val="none" w:sz="0" w:space="0" w:color="auto"/>
                    <w:right w:val="none" w:sz="0" w:space="0" w:color="auto"/>
                  </w:divBdr>
                </w:div>
                <w:div w:id="175846057">
                  <w:marLeft w:val="640"/>
                  <w:marRight w:val="0"/>
                  <w:marTop w:val="0"/>
                  <w:marBottom w:val="0"/>
                  <w:divBdr>
                    <w:top w:val="none" w:sz="0" w:space="0" w:color="auto"/>
                    <w:left w:val="none" w:sz="0" w:space="0" w:color="auto"/>
                    <w:bottom w:val="none" w:sz="0" w:space="0" w:color="auto"/>
                    <w:right w:val="none" w:sz="0" w:space="0" w:color="auto"/>
                  </w:divBdr>
                </w:div>
                <w:div w:id="80831748">
                  <w:marLeft w:val="640"/>
                  <w:marRight w:val="0"/>
                  <w:marTop w:val="0"/>
                  <w:marBottom w:val="0"/>
                  <w:divBdr>
                    <w:top w:val="none" w:sz="0" w:space="0" w:color="auto"/>
                    <w:left w:val="none" w:sz="0" w:space="0" w:color="auto"/>
                    <w:bottom w:val="none" w:sz="0" w:space="0" w:color="auto"/>
                    <w:right w:val="none" w:sz="0" w:space="0" w:color="auto"/>
                  </w:divBdr>
                </w:div>
                <w:div w:id="1897424808">
                  <w:marLeft w:val="640"/>
                  <w:marRight w:val="0"/>
                  <w:marTop w:val="0"/>
                  <w:marBottom w:val="0"/>
                  <w:divBdr>
                    <w:top w:val="none" w:sz="0" w:space="0" w:color="auto"/>
                    <w:left w:val="none" w:sz="0" w:space="0" w:color="auto"/>
                    <w:bottom w:val="none" w:sz="0" w:space="0" w:color="auto"/>
                    <w:right w:val="none" w:sz="0" w:space="0" w:color="auto"/>
                  </w:divBdr>
                </w:div>
                <w:div w:id="1876428499">
                  <w:marLeft w:val="640"/>
                  <w:marRight w:val="0"/>
                  <w:marTop w:val="0"/>
                  <w:marBottom w:val="0"/>
                  <w:divBdr>
                    <w:top w:val="none" w:sz="0" w:space="0" w:color="auto"/>
                    <w:left w:val="none" w:sz="0" w:space="0" w:color="auto"/>
                    <w:bottom w:val="none" w:sz="0" w:space="0" w:color="auto"/>
                    <w:right w:val="none" w:sz="0" w:space="0" w:color="auto"/>
                  </w:divBdr>
                </w:div>
                <w:div w:id="1667200094">
                  <w:marLeft w:val="640"/>
                  <w:marRight w:val="0"/>
                  <w:marTop w:val="0"/>
                  <w:marBottom w:val="0"/>
                  <w:divBdr>
                    <w:top w:val="none" w:sz="0" w:space="0" w:color="auto"/>
                    <w:left w:val="none" w:sz="0" w:space="0" w:color="auto"/>
                    <w:bottom w:val="none" w:sz="0" w:space="0" w:color="auto"/>
                    <w:right w:val="none" w:sz="0" w:space="0" w:color="auto"/>
                  </w:divBdr>
                </w:div>
                <w:div w:id="1583105830">
                  <w:marLeft w:val="640"/>
                  <w:marRight w:val="0"/>
                  <w:marTop w:val="0"/>
                  <w:marBottom w:val="0"/>
                  <w:divBdr>
                    <w:top w:val="none" w:sz="0" w:space="0" w:color="auto"/>
                    <w:left w:val="none" w:sz="0" w:space="0" w:color="auto"/>
                    <w:bottom w:val="none" w:sz="0" w:space="0" w:color="auto"/>
                    <w:right w:val="none" w:sz="0" w:space="0" w:color="auto"/>
                  </w:divBdr>
                </w:div>
                <w:div w:id="184052829">
                  <w:marLeft w:val="640"/>
                  <w:marRight w:val="0"/>
                  <w:marTop w:val="0"/>
                  <w:marBottom w:val="0"/>
                  <w:divBdr>
                    <w:top w:val="none" w:sz="0" w:space="0" w:color="auto"/>
                    <w:left w:val="none" w:sz="0" w:space="0" w:color="auto"/>
                    <w:bottom w:val="none" w:sz="0" w:space="0" w:color="auto"/>
                    <w:right w:val="none" w:sz="0" w:space="0" w:color="auto"/>
                  </w:divBdr>
                </w:div>
                <w:div w:id="579632375">
                  <w:marLeft w:val="640"/>
                  <w:marRight w:val="0"/>
                  <w:marTop w:val="0"/>
                  <w:marBottom w:val="0"/>
                  <w:divBdr>
                    <w:top w:val="none" w:sz="0" w:space="0" w:color="auto"/>
                    <w:left w:val="none" w:sz="0" w:space="0" w:color="auto"/>
                    <w:bottom w:val="none" w:sz="0" w:space="0" w:color="auto"/>
                    <w:right w:val="none" w:sz="0" w:space="0" w:color="auto"/>
                  </w:divBdr>
                </w:div>
                <w:div w:id="138039693">
                  <w:marLeft w:val="640"/>
                  <w:marRight w:val="0"/>
                  <w:marTop w:val="0"/>
                  <w:marBottom w:val="0"/>
                  <w:divBdr>
                    <w:top w:val="none" w:sz="0" w:space="0" w:color="auto"/>
                    <w:left w:val="none" w:sz="0" w:space="0" w:color="auto"/>
                    <w:bottom w:val="none" w:sz="0" w:space="0" w:color="auto"/>
                    <w:right w:val="none" w:sz="0" w:space="0" w:color="auto"/>
                  </w:divBdr>
                </w:div>
                <w:div w:id="728194007">
                  <w:marLeft w:val="640"/>
                  <w:marRight w:val="0"/>
                  <w:marTop w:val="0"/>
                  <w:marBottom w:val="0"/>
                  <w:divBdr>
                    <w:top w:val="none" w:sz="0" w:space="0" w:color="auto"/>
                    <w:left w:val="none" w:sz="0" w:space="0" w:color="auto"/>
                    <w:bottom w:val="none" w:sz="0" w:space="0" w:color="auto"/>
                    <w:right w:val="none" w:sz="0" w:space="0" w:color="auto"/>
                  </w:divBdr>
                </w:div>
                <w:div w:id="267389562">
                  <w:marLeft w:val="640"/>
                  <w:marRight w:val="0"/>
                  <w:marTop w:val="0"/>
                  <w:marBottom w:val="0"/>
                  <w:divBdr>
                    <w:top w:val="none" w:sz="0" w:space="0" w:color="auto"/>
                    <w:left w:val="none" w:sz="0" w:space="0" w:color="auto"/>
                    <w:bottom w:val="none" w:sz="0" w:space="0" w:color="auto"/>
                    <w:right w:val="none" w:sz="0" w:space="0" w:color="auto"/>
                  </w:divBdr>
                </w:div>
                <w:div w:id="1873566688">
                  <w:marLeft w:val="640"/>
                  <w:marRight w:val="0"/>
                  <w:marTop w:val="0"/>
                  <w:marBottom w:val="0"/>
                  <w:divBdr>
                    <w:top w:val="none" w:sz="0" w:space="0" w:color="auto"/>
                    <w:left w:val="none" w:sz="0" w:space="0" w:color="auto"/>
                    <w:bottom w:val="none" w:sz="0" w:space="0" w:color="auto"/>
                    <w:right w:val="none" w:sz="0" w:space="0" w:color="auto"/>
                  </w:divBdr>
                </w:div>
                <w:div w:id="141196471">
                  <w:marLeft w:val="640"/>
                  <w:marRight w:val="0"/>
                  <w:marTop w:val="0"/>
                  <w:marBottom w:val="0"/>
                  <w:divBdr>
                    <w:top w:val="none" w:sz="0" w:space="0" w:color="auto"/>
                    <w:left w:val="none" w:sz="0" w:space="0" w:color="auto"/>
                    <w:bottom w:val="none" w:sz="0" w:space="0" w:color="auto"/>
                    <w:right w:val="none" w:sz="0" w:space="0" w:color="auto"/>
                  </w:divBdr>
                </w:div>
                <w:div w:id="10954023">
                  <w:marLeft w:val="640"/>
                  <w:marRight w:val="0"/>
                  <w:marTop w:val="0"/>
                  <w:marBottom w:val="0"/>
                  <w:divBdr>
                    <w:top w:val="none" w:sz="0" w:space="0" w:color="auto"/>
                    <w:left w:val="none" w:sz="0" w:space="0" w:color="auto"/>
                    <w:bottom w:val="none" w:sz="0" w:space="0" w:color="auto"/>
                    <w:right w:val="none" w:sz="0" w:space="0" w:color="auto"/>
                  </w:divBdr>
                </w:div>
                <w:div w:id="1483548621">
                  <w:marLeft w:val="640"/>
                  <w:marRight w:val="0"/>
                  <w:marTop w:val="0"/>
                  <w:marBottom w:val="0"/>
                  <w:divBdr>
                    <w:top w:val="none" w:sz="0" w:space="0" w:color="auto"/>
                    <w:left w:val="none" w:sz="0" w:space="0" w:color="auto"/>
                    <w:bottom w:val="none" w:sz="0" w:space="0" w:color="auto"/>
                    <w:right w:val="none" w:sz="0" w:space="0" w:color="auto"/>
                  </w:divBdr>
                </w:div>
                <w:div w:id="333920748">
                  <w:marLeft w:val="640"/>
                  <w:marRight w:val="0"/>
                  <w:marTop w:val="0"/>
                  <w:marBottom w:val="0"/>
                  <w:divBdr>
                    <w:top w:val="none" w:sz="0" w:space="0" w:color="auto"/>
                    <w:left w:val="none" w:sz="0" w:space="0" w:color="auto"/>
                    <w:bottom w:val="none" w:sz="0" w:space="0" w:color="auto"/>
                    <w:right w:val="none" w:sz="0" w:space="0" w:color="auto"/>
                  </w:divBdr>
                </w:div>
                <w:div w:id="1465194886">
                  <w:marLeft w:val="640"/>
                  <w:marRight w:val="0"/>
                  <w:marTop w:val="0"/>
                  <w:marBottom w:val="0"/>
                  <w:divBdr>
                    <w:top w:val="none" w:sz="0" w:space="0" w:color="auto"/>
                    <w:left w:val="none" w:sz="0" w:space="0" w:color="auto"/>
                    <w:bottom w:val="none" w:sz="0" w:space="0" w:color="auto"/>
                    <w:right w:val="none" w:sz="0" w:space="0" w:color="auto"/>
                  </w:divBdr>
                </w:div>
                <w:div w:id="408768653">
                  <w:marLeft w:val="640"/>
                  <w:marRight w:val="0"/>
                  <w:marTop w:val="0"/>
                  <w:marBottom w:val="0"/>
                  <w:divBdr>
                    <w:top w:val="none" w:sz="0" w:space="0" w:color="auto"/>
                    <w:left w:val="none" w:sz="0" w:space="0" w:color="auto"/>
                    <w:bottom w:val="none" w:sz="0" w:space="0" w:color="auto"/>
                    <w:right w:val="none" w:sz="0" w:space="0" w:color="auto"/>
                  </w:divBdr>
                </w:div>
                <w:div w:id="437601343">
                  <w:marLeft w:val="640"/>
                  <w:marRight w:val="0"/>
                  <w:marTop w:val="0"/>
                  <w:marBottom w:val="0"/>
                  <w:divBdr>
                    <w:top w:val="none" w:sz="0" w:space="0" w:color="auto"/>
                    <w:left w:val="none" w:sz="0" w:space="0" w:color="auto"/>
                    <w:bottom w:val="none" w:sz="0" w:space="0" w:color="auto"/>
                    <w:right w:val="none" w:sz="0" w:space="0" w:color="auto"/>
                  </w:divBdr>
                </w:div>
                <w:div w:id="1313413983">
                  <w:marLeft w:val="640"/>
                  <w:marRight w:val="0"/>
                  <w:marTop w:val="0"/>
                  <w:marBottom w:val="0"/>
                  <w:divBdr>
                    <w:top w:val="none" w:sz="0" w:space="0" w:color="auto"/>
                    <w:left w:val="none" w:sz="0" w:space="0" w:color="auto"/>
                    <w:bottom w:val="none" w:sz="0" w:space="0" w:color="auto"/>
                    <w:right w:val="none" w:sz="0" w:space="0" w:color="auto"/>
                  </w:divBdr>
                </w:div>
              </w:divsChild>
            </w:div>
            <w:div w:id="1507286778">
              <w:marLeft w:val="0"/>
              <w:marRight w:val="0"/>
              <w:marTop w:val="0"/>
              <w:marBottom w:val="0"/>
              <w:divBdr>
                <w:top w:val="none" w:sz="0" w:space="0" w:color="auto"/>
                <w:left w:val="none" w:sz="0" w:space="0" w:color="auto"/>
                <w:bottom w:val="none" w:sz="0" w:space="0" w:color="auto"/>
                <w:right w:val="none" w:sz="0" w:space="0" w:color="auto"/>
              </w:divBdr>
              <w:divsChild>
                <w:div w:id="1106852470">
                  <w:marLeft w:val="640"/>
                  <w:marRight w:val="0"/>
                  <w:marTop w:val="0"/>
                  <w:marBottom w:val="0"/>
                  <w:divBdr>
                    <w:top w:val="none" w:sz="0" w:space="0" w:color="auto"/>
                    <w:left w:val="none" w:sz="0" w:space="0" w:color="auto"/>
                    <w:bottom w:val="none" w:sz="0" w:space="0" w:color="auto"/>
                    <w:right w:val="none" w:sz="0" w:space="0" w:color="auto"/>
                  </w:divBdr>
                </w:div>
                <w:div w:id="1069810950">
                  <w:marLeft w:val="640"/>
                  <w:marRight w:val="0"/>
                  <w:marTop w:val="0"/>
                  <w:marBottom w:val="0"/>
                  <w:divBdr>
                    <w:top w:val="none" w:sz="0" w:space="0" w:color="auto"/>
                    <w:left w:val="none" w:sz="0" w:space="0" w:color="auto"/>
                    <w:bottom w:val="none" w:sz="0" w:space="0" w:color="auto"/>
                    <w:right w:val="none" w:sz="0" w:space="0" w:color="auto"/>
                  </w:divBdr>
                </w:div>
                <w:div w:id="220211730">
                  <w:marLeft w:val="640"/>
                  <w:marRight w:val="0"/>
                  <w:marTop w:val="0"/>
                  <w:marBottom w:val="0"/>
                  <w:divBdr>
                    <w:top w:val="none" w:sz="0" w:space="0" w:color="auto"/>
                    <w:left w:val="none" w:sz="0" w:space="0" w:color="auto"/>
                    <w:bottom w:val="none" w:sz="0" w:space="0" w:color="auto"/>
                    <w:right w:val="none" w:sz="0" w:space="0" w:color="auto"/>
                  </w:divBdr>
                </w:div>
                <w:div w:id="2087337570">
                  <w:marLeft w:val="640"/>
                  <w:marRight w:val="0"/>
                  <w:marTop w:val="0"/>
                  <w:marBottom w:val="0"/>
                  <w:divBdr>
                    <w:top w:val="none" w:sz="0" w:space="0" w:color="auto"/>
                    <w:left w:val="none" w:sz="0" w:space="0" w:color="auto"/>
                    <w:bottom w:val="none" w:sz="0" w:space="0" w:color="auto"/>
                    <w:right w:val="none" w:sz="0" w:space="0" w:color="auto"/>
                  </w:divBdr>
                </w:div>
                <w:div w:id="1863931333">
                  <w:marLeft w:val="640"/>
                  <w:marRight w:val="0"/>
                  <w:marTop w:val="0"/>
                  <w:marBottom w:val="0"/>
                  <w:divBdr>
                    <w:top w:val="none" w:sz="0" w:space="0" w:color="auto"/>
                    <w:left w:val="none" w:sz="0" w:space="0" w:color="auto"/>
                    <w:bottom w:val="none" w:sz="0" w:space="0" w:color="auto"/>
                    <w:right w:val="none" w:sz="0" w:space="0" w:color="auto"/>
                  </w:divBdr>
                </w:div>
                <w:div w:id="2034333705">
                  <w:marLeft w:val="640"/>
                  <w:marRight w:val="0"/>
                  <w:marTop w:val="0"/>
                  <w:marBottom w:val="0"/>
                  <w:divBdr>
                    <w:top w:val="none" w:sz="0" w:space="0" w:color="auto"/>
                    <w:left w:val="none" w:sz="0" w:space="0" w:color="auto"/>
                    <w:bottom w:val="none" w:sz="0" w:space="0" w:color="auto"/>
                    <w:right w:val="none" w:sz="0" w:space="0" w:color="auto"/>
                  </w:divBdr>
                </w:div>
                <w:div w:id="1362390004">
                  <w:marLeft w:val="640"/>
                  <w:marRight w:val="0"/>
                  <w:marTop w:val="0"/>
                  <w:marBottom w:val="0"/>
                  <w:divBdr>
                    <w:top w:val="none" w:sz="0" w:space="0" w:color="auto"/>
                    <w:left w:val="none" w:sz="0" w:space="0" w:color="auto"/>
                    <w:bottom w:val="none" w:sz="0" w:space="0" w:color="auto"/>
                    <w:right w:val="none" w:sz="0" w:space="0" w:color="auto"/>
                  </w:divBdr>
                </w:div>
                <w:div w:id="1396661997">
                  <w:marLeft w:val="640"/>
                  <w:marRight w:val="0"/>
                  <w:marTop w:val="0"/>
                  <w:marBottom w:val="0"/>
                  <w:divBdr>
                    <w:top w:val="none" w:sz="0" w:space="0" w:color="auto"/>
                    <w:left w:val="none" w:sz="0" w:space="0" w:color="auto"/>
                    <w:bottom w:val="none" w:sz="0" w:space="0" w:color="auto"/>
                    <w:right w:val="none" w:sz="0" w:space="0" w:color="auto"/>
                  </w:divBdr>
                </w:div>
                <w:div w:id="1145389993">
                  <w:marLeft w:val="640"/>
                  <w:marRight w:val="0"/>
                  <w:marTop w:val="0"/>
                  <w:marBottom w:val="0"/>
                  <w:divBdr>
                    <w:top w:val="none" w:sz="0" w:space="0" w:color="auto"/>
                    <w:left w:val="none" w:sz="0" w:space="0" w:color="auto"/>
                    <w:bottom w:val="none" w:sz="0" w:space="0" w:color="auto"/>
                    <w:right w:val="none" w:sz="0" w:space="0" w:color="auto"/>
                  </w:divBdr>
                </w:div>
                <w:div w:id="425813514">
                  <w:marLeft w:val="640"/>
                  <w:marRight w:val="0"/>
                  <w:marTop w:val="0"/>
                  <w:marBottom w:val="0"/>
                  <w:divBdr>
                    <w:top w:val="none" w:sz="0" w:space="0" w:color="auto"/>
                    <w:left w:val="none" w:sz="0" w:space="0" w:color="auto"/>
                    <w:bottom w:val="none" w:sz="0" w:space="0" w:color="auto"/>
                    <w:right w:val="none" w:sz="0" w:space="0" w:color="auto"/>
                  </w:divBdr>
                </w:div>
                <w:div w:id="1561088567">
                  <w:marLeft w:val="640"/>
                  <w:marRight w:val="0"/>
                  <w:marTop w:val="0"/>
                  <w:marBottom w:val="0"/>
                  <w:divBdr>
                    <w:top w:val="none" w:sz="0" w:space="0" w:color="auto"/>
                    <w:left w:val="none" w:sz="0" w:space="0" w:color="auto"/>
                    <w:bottom w:val="none" w:sz="0" w:space="0" w:color="auto"/>
                    <w:right w:val="none" w:sz="0" w:space="0" w:color="auto"/>
                  </w:divBdr>
                </w:div>
                <w:div w:id="977299082">
                  <w:marLeft w:val="640"/>
                  <w:marRight w:val="0"/>
                  <w:marTop w:val="0"/>
                  <w:marBottom w:val="0"/>
                  <w:divBdr>
                    <w:top w:val="none" w:sz="0" w:space="0" w:color="auto"/>
                    <w:left w:val="none" w:sz="0" w:space="0" w:color="auto"/>
                    <w:bottom w:val="none" w:sz="0" w:space="0" w:color="auto"/>
                    <w:right w:val="none" w:sz="0" w:space="0" w:color="auto"/>
                  </w:divBdr>
                </w:div>
                <w:div w:id="846285148">
                  <w:marLeft w:val="640"/>
                  <w:marRight w:val="0"/>
                  <w:marTop w:val="0"/>
                  <w:marBottom w:val="0"/>
                  <w:divBdr>
                    <w:top w:val="none" w:sz="0" w:space="0" w:color="auto"/>
                    <w:left w:val="none" w:sz="0" w:space="0" w:color="auto"/>
                    <w:bottom w:val="none" w:sz="0" w:space="0" w:color="auto"/>
                    <w:right w:val="none" w:sz="0" w:space="0" w:color="auto"/>
                  </w:divBdr>
                </w:div>
                <w:div w:id="271323340">
                  <w:marLeft w:val="640"/>
                  <w:marRight w:val="0"/>
                  <w:marTop w:val="0"/>
                  <w:marBottom w:val="0"/>
                  <w:divBdr>
                    <w:top w:val="none" w:sz="0" w:space="0" w:color="auto"/>
                    <w:left w:val="none" w:sz="0" w:space="0" w:color="auto"/>
                    <w:bottom w:val="none" w:sz="0" w:space="0" w:color="auto"/>
                    <w:right w:val="none" w:sz="0" w:space="0" w:color="auto"/>
                  </w:divBdr>
                </w:div>
                <w:div w:id="486938120">
                  <w:marLeft w:val="640"/>
                  <w:marRight w:val="0"/>
                  <w:marTop w:val="0"/>
                  <w:marBottom w:val="0"/>
                  <w:divBdr>
                    <w:top w:val="none" w:sz="0" w:space="0" w:color="auto"/>
                    <w:left w:val="none" w:sz="0" w:space="0" w:color="auto"/>
                    <w:bottom w:val="none" w:sz="0" w:space="0" w:color="auto"/>
                    <w:right w:val="none" w:sz="0" w:space="0" w:color="auto"/>
                  </w:divBdr>
                </w:div>
                <w:div w:id="2028866132">
                  <w:marLeft w:val="640"/>
                  <w:marRight w:val="0"/>
                  <w:marTop w:val="0"/>
                  <w:marBottom w:val="0"/>
                  <w:divBdr>
                    <w:top w:val="none" w:sz="0" w:space="0" w:color="auto"/>
                    <w:left w:val="none" w:sz="0" w:space="0" w:color="auto"/>
                    <w:bottom w:val="none" w:sz="0" w:space="0" w:color="auto"/>
                    <w:right w:val="none" w:sz="0" w:space="0" w:color="auto"/>
                  </w:divBdr>
                </w:div>
                <w:div w:id="1881819018">
                  <w:marLeft w:val="640"/>
                  <w:marRight w:val="0"/>
                  <w:marTop w:val="0"/>
                  <w:marBottom w:val="0"/>
                  <w:divBdr>
                    <w:top w:val="none" w:sz="0" w:space="0" w:color="auto"/>
                    <w:left w:val="none" w:sz="0" w:space="0" w:color="auto"/>
                    <w:bottom w:val="none" w:sz="0" w:space="0" w:color="auto"/>
                    <w:right w:val="none" w:sz="0" w:space="0" w:color="auto"/>
                  </w:divBdr>
                </w:div>
                <w:div w:id="1702516828">
                  <w:marLeft w:val="640"/>
                  <w:marRight w:val="0"/>
                  <w:marTop w:val="0"/>
                  <w:marBottom w:val="0"/>
                  <w:divBdr>
                    <w:top w:val="none" w:sz="0" w:space="0" w:color="auto"/>
                    <w:left w:val="none" w:sz="0" w:space="0" w:color="auto"/>
                    <w:bottom w:val="none" w:sz="0" w:space="0" w:color="auto"/>
                    <w:right w:val="none" w:sz="0" w:space="0" w:color="auto"/>
                  </w:divBdr>
                </w:div>
                <w:div w:id="1686520630">
                  <w:marLeft w:val="640"/>
                  <w:marRight w:val="0"/>
                  <w:marTop w:val="0"/>
                  <w:marBottom w:val="0"/>
                  <w:divBdr>
                    <w:top w:val="none" w:sz="0" w:space="0" w:color="auto"/>
                    <w:left w:val="none" w:sz="0" w:space="0" w:color="auto"/>
                    <w:bottom w:val="none" w:sz="0" w:space="0" w:color="auto"/>
                    <w:right w:val="none" w:sz="0" w:space="0" w:color="auto"/>
                  </w:divBdr>
                </w:div>
                <w:div w:id="1678190316">
                  <w:marLeft w:val="640"/>
                  <w:marRight w:val="0"/>
                  <w:marTop w:val="0"/>
                  <w:marBottom w:val="0"/>
                  <w:divBdr>
                    <w:top w:val="none" w:sz="0" w:space="0" w:color="auto"/>
                    <w:left w:val="none" w:sz="0" w:space="0" w:color="auto"/>
                    <w:bottom w:val="none" w:sz="0" w:space="0" w:color="auto"/>
                    <w:right w:val="none" w:sz="0" w:space="0" w:color="auto"/>
                  </w:divBdr>
                </w:div>
                <w:div w:id="11150487">
                  <w:marLeft w:val="640"/>
                  <w:marRight w:val="0"/>
                  <w:marTop w:val="0"/>
                  <w:marBottom w:val="0"/>
                  <w:divBdr>
                    <w:top w:val="none" w:sz="0" w:space="0" w:color="auto"/>
                    <w:left w:val="none" w:sz="0" w:space="0" w:color="auto"/>
                    <w:bottom w:val="none" w:sz="0" w:space="0" w:color="auto"/>
                    <w:right w:val="none" w:sz="0" w:space="0" w:color="auto"/>
                  </w:divBdr>
                </w:div>
                <w:div w:id="1960213023">
                  <w:marLeft w:val="640"/>
                  <w:marRight w:val="0"/>
                  <w:marTop w:val="0"/>
                  <w:marBottom w:val="0"/>
                  <w:divBdr>
                    <w:top w:val="none" w:sz="0" w:space="0" w:color="auto"/>
                    <w:left w:val="none" w:sz="0" w:space="0" w:color="auto"/>
                    <w:bottom w:val="none" w:sz="0" w:space="0" w:color="auto"/>
                    <w:right w:val="none" w:sz="0" w:space="0" w:color="auto"/>
                  </w:divBdr>
                </w:div>
                <w:div w:id="1792893343">
                  <w:marLeft w:val="640"/>
                  <w:marRight w:val="0"/>
                  <w:marTop w:val="0"/>
                  <w:marBottom w:val="0"/>
                  <w:divBdr>
                    <w:top w:val="none" w:sz="0" w:space="0" w:color="auto"/>
                    <w:left w:val="none" w:sz="0" w:space="0" w:color="auto"/>
                    <w:bottom w:val="none" w:sz="0" w:space="0" w:color="auto"/>
                    <w:right w:val="none" w:sz="0" w:space="0" w:color="auto"/>
                  </w:divBdr>
                </w:div>
                <w:div w:id="1383483263">
                  <w:marLeft w:val="640"/>
                  <w:marRight w:val="0"/>
                  <w:marTop w:val="0"/>
                  <w:marBottom w:val="0"/>
                  <w:divBdr>
                    <w:top w:val="none" w:sz="0" w:space="0" w:color="auto"/>
                    <w:left w:val="none" w:sz="0" w:space="0" w:color="auto"/>
                    <w:bottom w:val="none" w:sz="0" w:space="0" w:color="auto"/>
                    <w:right w:val="none" w:sz="0" w:space="0" w:color="auto"/>
                  </w:divBdr>
                </w:div>
              </w:divsChild>
            </w:div>
            <w:div w:id="880098613">
              <w:marLeft w:val="0"/>
              <w:marRight w:val="0"/>
              <w:marTop w:val="0"/>
              <w:marBottom w:val="0"/>
              <w:divBdr>
                <w:top w:val="none" w:sz="0" w:space="0" w:color="auto"/>
                <w:left w:val="none" w:sz="0" w:space="0" w:color="auto"/>
                <w:bottom w:val="none" w:sz="0" w:space="0" w:color="auto"/>
                <w:right w:val="none" w:sz="0" w:space="0" w:color="auto"/>
              </w:divBdr>
              <w:divsChild>
                <w:div w:id="46956165">
                  <w:marLeft w:val="640"/>
                  <w:marRight w:val="0"/>
                  <w:marTop w:val="0"/>
                  <w:marBottom w:val="0"/>
                  <w:divBdr>
                    <w:top w:val="none" w:sz="0" w:space="0" w:color="auto"/>
                    <w:left w:val="none" w:sz="0" w:space="0" w:color="auto"/>
                    <w:bottom w:val="none" w:sz="0" w:space="0" w:color="auto"/>
                    <w:right w:val="none" w:sz="0" w:space="0" w:color="auto"/>
                  </w:divBdr>
                </w:div>
                <w:div w:id="1507473806">
                  <w:marLeft w:val="640"/>
                  <w:marRight w:val="0"/>
                  <w:marTop w:val="0"/>
                  <w:marBottom w:val="0"/>
                  <w:divBdr>
                    <w:top w:val="none" w:sz="0" w:space="0" w:color="auto"/>
                    <w:left w:val="none" w:sz="0" w:space="0" w:color="auto"/>
                    <w:bottom w:val="none" w:sz="0" w:space="0" w:color="auto"/>
                    <w:right w:val="none" w:sz="0" w:space="0" w:color="auto"/>
                  </w:divBdr>
                </w:div>
                <w:div w:id="337588036">
                  <w:marLeft w:val="640"/>
                  <w:marRight w:val="0"/>
                  <w:marTop w:val="0"/>
                  <w:marBottom w:val="0"/>
                  <w:divBdr>
                    <w:top w:val="none" w:sz="0" w:space="0" w:color="auto"/>
                    <w:left w:val="none" w:sz="0" w:space="0" w:color="auto"/>
                    <w:bottom w:val="none" w:sz="0" w:space="0" w:color="auto"/>
                    <w:right w:val="none" w:sz="0" w:space="0" w:color="auto"/>
                  </w:divBdr>
                </w:div>
                <w:div w:id="704911058">
                  <w:marLeft w:val="640"/>
                  <w:marRight w:val="0"/>
                  <w:marTop w:val="0"/>
                  <w:marBottom w:val="0"/>
                  <w:divBdr>
                    <w:top w:val="none" w:sz="0" w:space="0" w:color="auto"/>
                    <w:left w:val="none" w:sz="0" w:space="0" w:color="auto"/>
                    <w:bottom w:val="none" w:sz="0" w:space="0" w:color="auto"/>
                    <w:right w:val="none" w:sz="0" w:space="0" w:color="auto"/>
                  </w:divBdr>
                </w:div>
                <w:div w:id="188299354">
                  <w:marLeft w:val="640"/>
                  <w:marRight w:val="0"/>
                  <w:marTop w:val="0"/>
                  <w:marBottom w:val="0"/>
                  <w:divBdr>
                    <w:top w:val="none" w:sz="0" w:space="0" w:color="auto"/>
                    <w:left w:val="none" w:sz="0" w:space="0" w:color="auto"/>
                    <w:bottom w:val="none" w:sz="0" w:space="0" w:color="auto"/>
                    <w:right w:val="none" w:sz="0" w:space="0" w:color="auto"/>
                  </w:divBdr>
                </w:div>
                <w:div w:id="1037438538">
                  <w:marLeft w:val="640"/>
                  <w:marRight w:val="0"/>
                  <w:marTop w:val="0"/>
                  <w:marBottom w:val="0"/>
                  <w:divBdr>
                    <w:top w:val="none" w:sz="0" w:space="0" w:color="auto"/>
                    <w:left w:val="none" w:sz="0" w:space="0" w:color="auto"/>
                    <w:bottom w:val="none" w:sz="0" w:space="0" w:color="auto"/>
                    <w:right w:val="none" w:sz="0" w:space="0" w:color="auto"/>
                  </w:divBdr>
                </w:div>
                <w:div w:id="1220049352">
                  <w:marLeft w:val="640"/>
                  <w:marRight w:val="0"/>
                  <w:marTop w:val="0"/>
                  <w:marBottom w:val="0"/>
                  <w:divBdr>
                    <w:top w:val="none" w:sz="0" w:space="0" w:color="auto"/>
                    <w:left w:val="none" w:sz="0" w:space="0" w:color="auto"/>
                    <w:bottom w:val="none" w:sz="0" w:space="0" w:color="auto"/>
                    <w:right w:val="none" w:sz="0" w:space="0" w:color="auto"/>
                  </w:divBdr>
                </w:div>
                <w:div w:id="1939291749">
                  <w:marLeft w:val="640"/>
                  <w:marRight w:val="0"/>
                  <w:marTop w:val="0"/>
                  <w:marBottom w:val="0"/>
                  <w:divBdr>
                    <w:top w:val="none" w:sz="0" w:space="0" w:color="auto"/>
                    <w:left w:val="none" w:sz="0" w:space="0" w:color="auto"/>
                    <w:bottom w:val="none" w:sz="0" w:space="0" w:color="auto"/>
                    <w:right w:val="none" w:sz="0" w:space="0" w:color="auto"/>
                  </w:divBdr>
                </w:div>
                <w:div w:id="808090002">
                  <w:marLeft w:val="640"/>
                  <w:marRight w:val="0"/>
                  <w:marTop w:val="0"/>
                  <w:marBottom w:val="0"/>
                  <w:divBdr>
                    <w:top w:val="none" w:sz="0" w:space="0" w:color="auto"/>
                    <w:left w:val="none" w:sz="0" w:space="0" w:color="auto"/>
                    <w:bottom w:val="none" w:sz="0" w:space="0" w:color="auto"/>
                    <w:right w:val="none" w:sz="0" w:space="0" w:color="auto"/>
                  </w:divBdr>
                </w:div>
                <w:div w:id="247349850">
                  <w:marLeft w:val="640"/>
                  <w:marRight w:val="0"/>
                  <w:marTop w:val="0"/>
                  <w:marBottom w:val="0"/>
                  <w:divBdr>
                    <w:top w:val="none" w:sz="0" w:space="0" w:color="auto"/>
                    <w:left w:val="none" w:sz="0" w:space="0" w:color="auto"/>
                    <w:bottom w:val="none" w:sz="0" w:space="0" w:color="auto"/>
                    <w:right w:val="none" w:sz="0" w:space="0" w:color="auto"/>
                  </w:divBdr>
                </w:div>
                <w:div w:id="2013489623">
                  <w:marLeft w:val="640"/>
                  <w:marRight w:val="0"/>
                  <w:marTop w:val="0"/>
                  <w:marBottom w:val="0"/>
                  <w:divBdr>
                    <w:top w:val="none" w:sz="0" w:space="0" w:color="auto"/>
                    <w:left w:val="none" w:sz="0" w:space="0" w:color="auto"/>
                    <w:bottom w:val="none" w:sz="0" w:space="0" w:color="auto"/>
                    <w:right w:val="none" w:sz="0" w:space="0" w:color="auto"/>
                  </w:divBdr>
                </w:div>
                <w:div w:id="1942568992">
                  <w:marLeft w:val="640"/>
                  <w:marRight w:val="0"/>
                  <w:marTop w:val="0"/>
                  <w:marBottom w:val="0"/>
                  <w:divBdr>
                    <w:top w:val="none" w:sz="0" w:space="0" w:color="auto"/>
                    <w:left w:val="none" w:sz="0" w:space="0" w:color="auto"/>
                    <w:bottom w:val="none" w:sz="0" w:space="0" w:color="auto"/>
                    <w:right w:val="none" w:sz="0" w:space="0" w:color="auto"/>
                  </w:divBdr>
                </w:div>
                <w:div w:id="579368116">
                  <w:marLeft w:val="640"/>
                  <w:marRight w:val="0"/>
                  <w:marTop w:val="0"/>
                  <w:marBottom w:val="0"/>
                  <w:divBdr>
                    <w:top w:val="none" w:sz="0" w:space="0" w:color="auto"/>
                    <w:left w:val="none" w:sz="0" w:space="0" w:color="auto"/>
                    <w:bottom w:val="none" w:sz="0" w:space="0" w:color="auto"/>
                    <w:right w:val="none" w:sz="0" w:space="0" w:color="auto"/>
                  </w:divBdr>
                </w:div>
                <w:div w:id="1544249282">
                  <w:marLeft w:val="640"/>
                  <w:marRight w:val="0"/>
                  <w:marTop w:val="0"/>
                  <w:marBottom w:val="0"/>
                  <w:divBdr>
                    <w:top w:val="none" w:sz="0" w:space="0" w:color="auto"/>
                    <w:left w:val="none" w:sz="0" w:space="0" w:color="auto"/>
                    <w:bottom w:val="none" w:sz="0" w:space="0" w:color="auto"/>
                    <w:right w:val="none" w:sz="0" w:space="0" w:color="auto"/>
                  </w:divBdr>
                </w:div>
                <w:div w:id="2133211438">
                  <w:marLeft w:val="640"/>
                  <w:marRight w:val="0"/>
                  <w:marTop w:val="0"/>
                  <w:marBottom w:val="0"/>
                  <w:divBdr>
                    <w:top w:val="none" w:sz="0" w:space="0" w:color="auto"/>
                    <w:left w:val="none" w:sz="0" w:space="0" w:color="auto"/>
                    <w:bottom w:val="none" w:sz="0" w:space="0" w:color="auto"/>
                    <w:right w:val="none" w:sz="0" w:space="0" w:color="auto"/>
                  </w:divBdr>
                </w:div>
                <w:div w:id="433328671">
                  <w:marLeft w:val="640"/>
                  <w:marRight w:val="0"/>
                  <w:marTop w:val="0"/>
                  <w:marBottom w:val="0"/>
                  <w:divBdr>
                    <w:top w:val="none" w:sz="0" w:space="0" w:color="auto"/>
                    <w:left w:val="none" w:sz="0" w:space="0" w:color="auto"/>
                    <w:bottom w:val="none" w:sz="0" w:space="0" w:color="auto"/>
                    <w:right w:val="none" w:sz="0" w:space="0" w:color="auto"/>
                  </w:divBdr>
                </w:div>
                <w:div w:id="802967593">
                  <w:marLeft w:val="640"/>
                  <w:marRight w:val="0"/>
                  <w:marTop w:val="0"/>
                  <w:marBottom w:val="0"/>
                  <w:divBdr>
                    <w:top w:val="none" w:sz="0" w:space="0" w:color="auto"/>
                    <w:left w:val="none" w:sz="0" w:space="0" w:color="auto"/>
                    <w:bottom w:val="none" w:sz="0" w:space="0" w:color="auto"/>
                    <w:right w:val="none" w:sz="0" w:space="0" w:color="auto"/>
                  </w:divBdr>
                </w:div>
                <w:div w:id="1966690258">
                  <w:marLeft w:val="640"/>
                  <w:marRight w:val="0"/>
                  <w:marTop w:val="0"/>
                  <w:marBottom w:val="0"/>
                  <w:divBdr>
                    <w:top w:val="none" w:sz="0" w:space="0" w:color="auto"/>
                    <w:left w:val="none" w:sz="0" w:space="0" w:color="auto"/>
                    <w:bottom w:val="none" w:sz="0" w:space="0" w:color="auto"/>
                    <w:right w:val="none" w:sz="0" w:space="0" w:color="auto"/>
                  </w:divBdr>
                </w:div>
                <w:div w:id="432018773">
                  <w:marLeft w:val="640"/>
                  <w:marRight w:val="0"/>
                  <w:marTop w:val="0"/>
                  <w:marBottom w:val="0"/>
                  <w:divBdr>
                    <w:top w:val="none" w:sz="0" w:space="0" w:color="auto"/>
                    <w:left w:val="none" w:sz="0" w:space="0" w:color="auto"/>
                    <w:bottom w:val="none" w:sz="0" w:space="0" w:color="auto"/>
                    <w:right w:val="none" w:sz="0" w:space="0" w:color="auto"/>
                  </w:divBdr>
                </w:div>
                <w:div w:id="1169713078">
                  <w:marLeft w:val="640"/>
                  <w:marRight w:val="0"/>
                  <w:marTop w:val="0"/>
                  <w:marBottom w:val="0"/>
                  <w:divBdr>
                    <w:top w:val="none" w:sz="0" w:space="0" w:color="auto"/>
                    <w:left w:val="none" w:sz="0" w:space="0" w:color="auto"/>
                    <w:bottom w:val="none" w:sz="0" w:space="0" w:color="auto"/>
                    <w:right w:val="none" w:sz="0" w:space="0" w:color="auto"/>
                  </w:divBdr>
                </w:div>
                <w:div w:id="543368865">
                  <w:marLeft w:val="640"/>
                  <w:marRight w:val="0"/>
                  <w:marTop w:val="0"/>
                  <w:marBottom w:val="0"/>
                  <w:divBdr>
                    <w:top w:val="none" w:sz="0" w:space="0" w:color="auto"/>
                    <w:left w:val="none" w:sz="0" w:space="0" w:color="auto"/>
                    <w:bottom w:val="none" w:sz="0" w:space="0" w:color="auto"/>
                    <w:right w:val="none" w:sz="0" w:space="0" w:color="auto"/>
                  </w:divBdr>
                </w:div>
                <w:div w:id="961302407">
                  <w:marLeft w:val="640"/>
                  <w:marRight w:val="0"/>
                  <w:marTop w:val="0"/>
                  <w:marBottom w:val="0"/>
                  <w:divBdr>
                    <w:top w:val="none" w:sz="0" w:space="0" w:color="auto"/>
                    <w:left w:val="none" w:sz="0" w:space="0" w:color="auto"/>
                    <w:bottom w:val="none" w:sz="0" w:space="0" w:color="auto"/>
                    <w:right w:val="none" w:sz="0" w:space="0" w:color="auto"/>
                  </w:divBdr>
                </w:div>
                <w:div w:id="1975719512">
                  <w:marLeft w:val="640"/>
                  <w:marRight w:val="0"/>
                  <w:marTop w:val="0"/>
                  <w:marBottom w:val="0"/>
                  <w:divBdr>
                    <w:top w:val="none" w:sz="0" w:space="0" w:color="auto"/>
                    <w:left w:val="none" w:sz="0" w:space="0" w:color="auto"/>
                    <w:bottom w:val="none" w:sz="0" w:space="0" w:color="auto"/>
                    <w:right w:val="none" w:sz="0" w:space="0" w:color="auto"/>
                  </w:divBdr>
                </w:div>
                <w:div w:id="950284125">
                  <w:marLeft w:val="640"/>
                  <w:marRight w:val="0"/>
                  <w:marTop w:val="0"/>
                  <w:marBottom w:val="0"/>
                  <w:divBdr>
                    <w:top w:val="none" w:sz="0" w:space="0" w:color="auto"/>
                    <w:left w:val="none" w:sz="0" w:space="0" w:color="auto"/>
                    <w:bottom w:val="none" w:sz="0" w:space="0" w:color="auto"/>
                    <w:right w:val="none" w:sz="0" w:space="0" w:color="auto"/>
                  </w:divBdr>
                </w:div>
              </w:divsChild>
            </w:div>
            <w:div w:id="111824163">
              <w:marLeft w:val="0"/>
              <w:marRight w:val="0"/>
              <w:marTop w:val="0"/>
              <w:marBottom w:val="0"/>
              <w:divBdr>
                <w:top w:val="none" w:sz="0" w:space="0" w:color="auto"/>
                <w:left w:val="none" w:sz="0" w:space="0" w:color="auto"/>
                <w:bottom w:val="none" w:sz="0" w:space="0" w:color="auto"/>
                <w:right w:val="none" w:sz="0" w:space="0" w:color="auto"/>
              </w:divBdr>
              <w:divsChild>
                <w:div w:id="405345452">
                  <w:marLeft w:val="640"/>
                  <w:marRight w:val="0"/>
                  <w:marTop w:val="0"/>
                  <w:marBottom w:val="0"/>
                  <w:divBdr>
                    <w:top w:val="none" w:sz="0" w:space="0" w:color="auto"/>
                    <w:left w:val="none" w:sz="0" w:space="0" w:color="auto"/>
                    <w:bottom w:val="none" w:sz="0" w:space="0" w:color="auto"/>
                    <w:right w:val="none" w:sz="0" w:space="0" w:color="auto"/>
                  </w:divBdr>
                </w:div>
                <w:div w:id="1064335986">
                  <w:marLeft w:val="640"/>
                  <w:marRight w:val="0"/>
                  <w:marTop w:val="0"/>
                  <w:marBottom w:val="0"/>
                  <w:divBdr>
                    <w:top w:val="none" w:sz="0" w:space="0" w:color="auto"/>
                    <w:left w:val="none" w:sz="0" w:space="0" w:color="auto"/>
                    <w:bottom w:val="none" w:sz="0" w:space="0" w:color="auto"/>
                    <w:right w:val="none" w:sz="0" w:space="0" w:color="auto"/>
                  </w:divBdr>
                </w:div>
                <w:div w:id="1699744476">
                  <w:marLeft w:val="640"/>
                  <w:marRight w:val="0"/>
                  <w:marTop w:val="0"/>
                  <w:marBottom w:val="0"/>
                  <w:divBdr>
                    <w:top w:val="none" w:sz="0" w:space="0" w:color="auto"/>
                    <w:left w:val="none" w:sz="0" w:space="0" w:color="auto"/>
                    <w:bottom w:val="none" w:sz="0" w:space="0" w:color="auto"/>
                    <w:right w:val="none" w:sz="0" w:space="0" w:color="auto"/>
                  </w:divBdr>
                </w:div>
                <w:div w:id="244993977">
                  <w:marLeft w:val="640"/>
                  <w:marRight w:val="0"/>
                  <w:marTop w:val="0"/>
                  <w:marBottom w:val="0"/>
                  <w:divBdr>
                    <w:top w:val="none" w:sz="0" w:space="0" w:color="auto"/>
                    <w:left w:val="none" w:sz="0" w:space="0" w:color="auto"/>
                    <w:bottom w:val="none" w:sz="0" w:space="0" w:color="auto"/>
                    <w:right w:val="none" w:sz="0" w:space="0" w:color="auto"/>
                  </w:divBdr>
                </w:div>
                <w:div w:id="17397668">
                  <w:marLeft w:val="640"/>
                  <w:marRight w:val="0"/>
                  <w:marTop w:val="0"/>
                  <w:marBottom w:val="0"/>
                  <w:divBdr>
                    <w:top w:val="none" w:sz="0" w:space="0" w:color="auto"/>
                    <w:left w:val="none" w:sz="0" w:space="0" w:color="auto"/>
                    <w:bottom w:val="none" w:sz="0" w:space="0" w:color="auto"/>
                    <w:right w:val="none" w:sz="0" w:space="0" w:color="auto"/>
                  </w:divBdr>
                </w:div>
                <w:div w:id="1621523056">
                  <w:marLeft w:val="640"/>
                  <w:marRight w:val="0"/>
                  <w:marTop w:val="0"/>
                  <w:marBottom w:val="0"/>
                  <w:divBdr>
                    <w:top w:val="none" w:sz="0" w:space="0" w:color="auto"/>
                    <w:left w:val="none" w:sz="0" w:space="0" w:color="auto"/>
                    <w:bottom w:val="none" w:sz="0" w:space="0" w:color="auto"/>
                    <w:right w:val="none" w:sz="0" w:space="0" w:color="auto"/>
                  </w:divBdr>
                </w:div>
                <w:div w:id="1915431727">
                  <w:marLeft w:val="640"/>
                  <w:marRight w:val="0"/>
                  <w:marTop w:val="0"/>
                  <w:marBottom w:val="0"/>
                  <w:divBdr>
                    <w:top w:val="none" w:sz="0" w:space="0" w:color="auto"/>
                    <w:left w:val="none" w:sz="0" w:space="0" w:color="auto"/>
                    <w:bottom w:val="none" w:sz="0" w:space="0" w:color="auto"/>
                    <w:right w:val="none" w:sz="0" w:space="0" w:color="auto"/>
                  </w:divBdr>
                </w:div>
                <w:div w:id="1898541783">
                  <w:marLeft w:val="640"/>
                  <w:marRight w:val="0"/>
                  <w:marTop w:val="0"/>
                  <w:marBottom w:val="0"/>
                  <w:divBdr>
                    <w:top w:val="none" w:sz="0" w:space="0" w:color="auto"/>
                    <w:left w:val="none" w:sz="0" w:space="0" w:color="auto"/>
                    <w:bottom w:val="none" w:sz="0" w:space="0" w:color="auto"/>
                    <w:right w:val="none" w:sz="0" w:space="0" w:color="auto"/>
                  </w:divBdr>
                </w:div>
                <w:div w:id="1300113232">
                  <w:marLeft w:val="640"/>
                  <w:marRight w:val="0"/>
                  <w:marTop w:val="0"/>
                  <w:marBottom w:val="0"/>
                  <w:divBdr>
                    <w:top w:val="none" w:sz="0" w:space="0" w:color="auto"/>
                    <w:left w:val="none" w:sz="0" w:space="0" w:color="auto"/>
                    <w:bottom w:val="none" w:sz="0" w:space="0" w:color="auto"/>
                    <w:right w:val="none" w:sz="0" w:space="0" w:color="auto"/>
                  </w:divBdr>
                </w:div>
                <w:div w:id="1678728584">
                  <w:marLeft w:val="640"/>
                  <w:marRight w:val="0"/>
                  <w:marTop w:val="0"/>
                  <w:marBottom w:val="0"/>
                  <w:divBdr>
                    <w:top w:val="none" w:sz="0" w:space="0" w:color="auto"/>
                    <w:left w:val="none" w:sz="0" w:space="0" w:color="auto"/>
                    <w:bottom w:val="none" w:sz="0" w:space="0" w:color="auto"/>
                    <w:right w:val="none" w:sz="0" w:space="0" w:color="auto"/>
                  </w:divBdr>
                </w:div>
                <w:div w:id="854727367">
                  <w:marLeft w:val="640"/>
                  <w:marRight w:val="0"/>
                  <w:marTop w:val="0"/>
                  <w:marBottom w:val="0"/>
                  <w:divBdr>
                    <w:top w:val="none" w:sz="0" w:space="0" w:color="auto"/>
                    <w:left w:val="none" w:sz="0" w:space="0" w:color="auto"/>
                    <w:bottom w:val="none" w:sz="0" w:space="0" w:color="auto"/>
                    <w:right w:val="none" w:sz="0" w:space="0" w:color="auto"/>
                  </w:divBdr>
                </w:div>
                <w:div w:id="1926306915">
                  <w:marLeft w:val="640"/>
                  <w:marRight w:val="0"/>
                  <w:marTop w:val="0"/>
                  <w:marBottom w:val="0"/>
                  <w:divBdr>
                    <w:top w:val="none" w:sz="0" w:space="0" w:color="auto"/>
                    <w:left w:val="none" w:sz="0" w:space="0" w:color="auto"/>
                    <w:bottom w:val="none" w:sz="0" w:space="0" w:color="auto"/>
                    <w:right w:val="none" w:sz="0" w:space="0" w:color="auto"/>
                  </w:divBdr>
                </w:div>
                <w:div w:id="40061854">
                  <w:marLeft w:val="640"/>
                  <w:marRight w:val="0"/>
                  <w:marTop w:val="0"/>
                  <w:marBottom w:val="0"/>
                  <w:divBdr>
                    <w:top w:val="none" w:sz="0" w:space="0" w:color="auto"/>
                    <w:left w:val="none" w:sz="0" w:space="0" w:color="auto"/>
                    <w:bottom w:val="none" w:sz="0" w:space="0" w:color="auto"/>
                    <w:right w:val="none" w:sz="0" w:space="0" w:color="auto"/>
                  </w:divBdr>
                </w:div>
                <w:div w:id="344672703">
                  <w:marLeft w:val="640"/>
                  <w:marRight w:val="0"/>
                  <w:marTop w:val="0"/>
                  <w:marBottom w:val="0"/>
                  <w:divBdr>
                    <w:top w:val="none" w:sz="0" w:space="0" w:color="auto"/>
                    <w:left w:val="none" w:sz="0" w:space="0" w:color="auto"/>
                    <w:bottom w:val="none" w:sz="0" w:space="0" w:color="auto"/>
                    <w:right w:val="none" w:sz="0" w:space="0" w:color="auto"/>
                  </w:divBdr>
                </w:div>
                <w:div w:id="1614433310">
                  <w:marLeft w:val="640"/>
                  <w:marRight w:val="0"/>
                  <w:marTop w:val="0"/>
                  <w:marBottom w:val="0"/>
                  <w:divBdr>
                    <w:top w:val="none" w:sz="0" w:space="0" w:color="auto"/>
                    <w:left w:val="none" w:sz="0" w:space="0" w:color="auto"/>
                    <w:bottom w:val="none" w:sz="0" w:space="0" w:color="auto"/>
                    <w:right w:val="none" w:sz="0" w:space="0" w:color="auto"/>
                  </w:divBdr>
                </w:div>
                <w:div w:id="164320734">
                  <w:marLeft w:val="640"/>
                  <w:marRight w:val="0"/>
                  <w:marTop w:val="0"/>
                  <w:marBottom w:val="0"/>
                  <w:divBdr>
                    <w:top w:val="none" w:sz="0" w:space="0" w:color="auto"/>
                    <w:left w:val="none" w:sz="0" w:space="0" w:color="auto"/>
                    <w:bottom w:val="none" w:sz="0" w:space="0" w:color="auto"/>
                    <w:right w:val="none" w:sz="0" w:space="0" w:color="auto"/>
                  </w:divBdr>
                </w:div>
                <w:div w:id="22026331">
                  <w:marLeft w:val="640"/>
                  <w:marRight w:val="0"/>
                  <w:marTop w:val="0"/>
                  <w:marBottom w:val="0"/>
                  <w:divBdr>
                    <w:top w:val="none" w:sz="0" w:space="0" w:color="auto"/>
                    <w:left w:val="none" w:sz="0" w:space="0" w:color="auto"/>
                    <w:bottom w:val="none" w:sz="0" w:space="0" w:color="auto"/>
                    <w:right w:val="none" w:sz="0" w:space="0" w:color="auto"/>
                  </w:divBdr>
                </w:div>
                <w:div w:id="1425489934">
                  <w:marLeft w:val="640"/>
                  <w:marRight w:val="0"/>
                  <w:marTop w:val="0"/>
                  <w:marBottom w:val="0"/>
                  <w:divBdr>
                    <w:top w:val="none" w:sz="0" w:space="0" w:color="auto"/>
                    <w:left w:val="none" w:sz="0" w:space="0" w:color="auto"/>
                    <w:bottom w:val="none" w:sz="0" w:space="0" w:color="auto"/>
                    <w:right w:val="none" w:sz="0" w:space="0" w:color="auto"/>
                  </w:divBdr>
                </w:div>
                <w:div w:id="375279561">
                  <w:marLeft w:val="640"/>
                  <w:marRight w:val="0"/>
                  <w:marTop w:val="0"/>
                  <w:marBottom w:val="0"/>
                  <w:divBdr>
                    <w:top w:val="none" w:sz="0" w:space="0" w:color="auto"/>
                    <w:left w:val="none" w:sz="0" w:space="0" w:color="auto"/>
                    <w:bottom w:val="none" w:sz="0" w:space="0" w:color="auto"/>
                    <w:right w:val="none" w:sz="0" w:space="0" w:color="auto"/>
                  </w:divBdr>
                </w:div>
                <w:div w:id="551961632">
                  <w:marLeft w:val="640"/>
                  <w:marRight w:val="0"/>
                  <w:marTop w:val="0"/>
                  <w:marBottom w:val="0"/>
                  <w:divBdr>
                    <w:top w:val="none" w:sz="0" w:space="0" w:color="auto"/>
                    <w:left w:val="none" w:sz="0" w:space="0" w:color="auto"/>
                    <w:bottom w:val="none" w:sz="0" w:space="0" w:color="auto"/>
                    <w:right w:val="none" w:sz="0" w:space="0" w:color="auto"/>
                  </w:divBdr>
                </w:div>
                <w:div w:id="790586622">
                  <w:marLeft w:val="640"/>
                  <w:marRight w:val="0"/>
                  <w:marTop w:val="0"/>
                  <w:marBottom w:val="0"/>
                  <w:divBdr>
                    <w:top w:val="none" w:sz="0" w:space="0" w:color="auto"/>
                    <w:left w:val="none" w:sz="0" w:space="0" w:color="auto"/>
                    <w:bottom w:val="none" w:sz="0" w:space="0" w:color="auto"/>
                    <w:right w:val="none" w:sz="0" w:space="0" w:color="auto"/>
                  </w:divBdr>
                </w:div>
                <w:div w:id="2039158250">
                  <w:marLeft w:val="640"/>
                  <w:marRight w:val="0"/>
                  <w:marTop w:val="0"/>
                  <w:marBottom w:val="0"/>
                  <w:divBdr>
                    <w:top w:val="none" w:sz="0" w:space="0" w:color="auto"/>
                    <w:left w:val="none" w:sz="0" w:space="0" w:color="auto"/>
                    <w:bottom w:val="none" w:sz="0" w:space="0" w:color="auto"/>
                    <w:right w:val="none" w:sz="0" w:space="0" w:color="auto"/>
                  </w:divBdr>
                </w:div>
                <w:div w:id="1707830373">
                  <w:marLeft w:val="640"/>
                  <w:marRight w:val="0"/>
                  <w:marTop w:val="0"/>
                  <w:marBottom w:val="0"/>
                  <w:divBdr>
                    <w:top w:val="none" w:sz="0" w:space="0" w:color="auto"/>
                    <w:left w:val="none" w:sz="0" w:space="0" w:color="auto"/>
                    <w:bottom w:val="none" w:sz="0" w:space="0" w:color="auto"/>
                    <w:right w:val="none" w:sz="0" w:space="0" w:color="auto"/>
                  </w:divBdr>
                </w:div>
                <w:div w:id="501504284">
                  <w:marLeft w:val="640"/>
                  <w:marRight w:val="0"/>
                  <w:marTop w:val="0"/>
                  <w:marBottom w:val="0"/>
                  <w:divBdr>
                    <w:top w:val="none" w:sz="0" w:space="0" w:color="auto"/>
                    <w:left w:val="none" w:sz="0" w:space="0" w:color="auto"/>
                    <w:bottom w:val="none" w:sz="0" w:space="0" w:color="auto"/>
                    <w:right w:val="none" w:sz="0" w:space="0" w:color="auto"/>
                  </w:divBdr>
                </w:div>
                <w:div w:id="1455558402">
                  <w:marLeft w:val="640"/>
                  <w:marRight w:val="0"/>
                  <w:marTop w:val="0"/>
                  <w:marBottom w:val="0"/>
                  <w:divBdr>
                    <w:top w:val="none" w:sz="0" w:space="0" w:color="auto"/>
                    <w:left w:val="none" w:sz="0" w:space="0" w:color="auto"/>
                    <w:bottom w:val="none" w:sz="0" w:space="0" w:color="auto"/>
                    <w:right w:val="none" w:sz="0" w:space="0" w:color="auto"/>
                  </w:divBdr>
                </w:div>
              </w:divsChild>
            </w:div>
            <w:div w:id="1935358241">
              <w:marLeft w:val="0"/>
              <w:marRight w:val="0"/>
              <w:marTop w:val="0"/>
              <w:marBottom w:val="0"/>
              <w:divBdr>
                <w:top w:val="none" w:sz="0" w:space="0" w:color="auto"/>
                <w:left w:val="none" w:sz="0" w:space="0" w:color="auto"/>
                <w:bottom w:val="none" w:sz="0" w:space="0" w:color="auto"/>
                <w:right w:val="none" w:sz="0" w:space="0" w:color="auto"/>
              </w:divBdr>
              <w:divsChild>
                <w:div w:id="1356424025">
                  <w:marLeft w:val="640"/>
                  <w:marRight w:val="0"/>
                  <w:marTop w:val="0"/>
                  <w:marBottom w:val="0"/>
                  <w:divBdr>
                    <w:top w:val="none" w:sz="0" w:space="0" w:color="auto"/>
                    <w:left w:val="none" w:sz="0" w:space="0" w:color="auto"/>
                    <w:bottom w:val="none" w:sz="0" w:space="0" w:color="auto"/>
                    <w:right w:val="none" w:sz="0" w:space="0" w:color="auto"/>
                  </w:divBdr>
                </w:div>
                <w:div w:id="1327978869">
                  <w:marLeft w:val="640"/>
                  <w:marRight w:val="0"/>
                  <w:marTop w:val="0"/>
                  <w:marBottom w:val="0"/>
                  <w:divBdr>
                    <w:top w:val="none" w:sz="0" w:space="0" w:color="auto"/>
                    <w:left w:val="none" w:sz="0" w:space="0" w:color="auto"/>
                    <w:bottom w:val="none" w:sz="0" w:space="0" w:color="auto"/>
                    <w:right w:val="none" w:sz="0" w:space="0" w:color="auto"/>
                  </w:divBdr>
                </w:div>
                <w:div w:id="759059998">
                  <w:marLeft w:val="640"/>
                  <w:marRight w:val="0"/>
                  <w:marTop w:val="0"/>
                  <w:marBottom w:val="0"/>
                  <w:divBdr>
                    <w:top w:val="none" w:sz="0" w:space="0" w:color="auto"/>
                    <w:left w:val="none" w:sz="0" w:space="0" w:color="auto"/>
                    <w:bottom w:val="none" w:sz="0" w:space="0" w:color="auto"/>
                    <w:right w:val="none" w:sz="0" w:space="0" w:color="auto"/>
                  </w:divBdr>
                </w:div>
                <w:div w:id="1338465012">
                  <w:marLeft w:val="640"/>
                  <w:marRight w:val="0"/>
                  <w:marTop w:val="0"/>
                  <w:marBottom w:val="0"/>
                  <w:divBdr>
                    <w:top w:val="none" w:sz="0" w:space="0" w:color="auto"/>
                    <w:left w:val="none" w:sz="0" w:space="0" w:color="auto"/>
                    <w:bottom w:val="none" w:sz="0" w:space="0" w:color="auto"/>
                    <w:right w:val="none" w:sz="0" w:space="0" w:color="auto"/>
                  </w:divBdr>
                </w:div>
                <w:div w:id="1595699621">
                  <w:marLeft w:val="640"/>
                  <w:marRight w:val="0"/>
                  <w:marTop w:val="0"/>
                  <w:marBottom w:val="0"/>
                  <w:divBdr>
                    <w:top w:val="none" w:sz="0" w:space="0" w:color="auto"/>
                    <w:left w:val="none" w:sz="0" w:space="0" w:color="auto"/>
                    <w:bottom w:val="none" w:sz="0" w:space="0" w:color="auto"/>
                    <w:right w:val="none" w:sz="0" w:space="0" w:color="auto"/>
                  </w:divBdr>
                </w:div>
                <w:div w:id="67314029">
                  <w:marLeft w:val="640"/>
                  <w:marRight w:val="0"/>
                  <w:marTop w:val="0"/>
                  <w:marBottom w:val="0"/>
                  <w:divBdr>
                    <w:top w:val="none" w:sz="0" w:space="0" w:color="auto"/>
                    <w:left w:val="none" w:sz="0" w:space="0" w:color="auto"/>
                    <w:bottom w:val="none" w:sz="0" w:space="0" w:color="auto"/>
                    <w:right w:val="none" w:sz="0" w:space="0" w:color="auto"/>
                  </w:divBdr>
                </w:div>
                <w:div w:id="1395739430">
                  <w:marLeft w:val="640"/>
                  <w:marRight w:val="0"/>
                  <w:marTop w:val="0"/>
                  <w:marBottom w:val="0"/>
                  <w:divBdr>
                    <w:top w:val="none" w:sz="0" w:space="0" w:color="auto"/>
                    <w:left w:val="none" w:sz="0" w:space="0" w:color="auto"/>
                    <w:bottom w:val="none" w:sz="0" w:space="0" w:color="auto"/>
                    <w:right w:val="none" w:sz="0" w:space="0" w:color="auto"/>
                  </w:divBdr>
                </w:div>
                <w:div w:id="1378506672">
                  <w:marLeft w:val="640"/>
                  <w:marRight w:val="0"/>
                  <w:marTop w:val="0"/>
                  <w:marBottom w:val="0"/>
                  <w:divBdr>
                    <w:top w:val="none" w:sz="0" w:space="0" w:color="auto"/>
                    <w:left w:val="none" w:sz="0" w:space="0" w:color="auto"/>
                    <w:bottom w:val="none" w:sz="0" w:space="0" w:color="auto"/>
                    <w:right w:val="none" w:sz="0" w:space="0" w:color="auto"/>
                  </w:divBdr>
                </w:div>
                <w:div w:id="1902016683">
                  <w:marLeft w:val="640"/>
                  <w:marRight w:val="0"/>
                  <w:marTop w:val="0"/>
                  <w:marBottom w:val="0"/>
                  <w:divBdr>
                    <w:top w:val="none" w:sz="0" w:space="0" w:color="auto"/>
                    <w:left w:val="none" w:sz="0" w:space="0" w:color="auto"/>
                    <w:bottom w:val="none" w:sz="0" w:space="0" w:color="auto"/>
                    <w:right w:val="none" w:sz="0" w:space="0" w:color="auto"/>
                  </w:divBdr>
                </w:div>
                <w:div w:id="146822467">
                  <w:marLeft w:val="640"/>
                  <w:marRight w:val="0"/>
                  <w:marTop w:val="0"/>
                  <w:marBottom w:val="0"/>
                  <w:divBdr>
                    <w:top w:val="none" w:sz="0" w:space="0" w:color="auto"/>
                    <w:left w:val="none" w:sz="0" w:space="0" w:color="auto"/>
                    <w:bottom w:val="none" w:sz="0" w:space="0" w:color="auto"/>
                    <w:right w:val="none" w:sz="0" w:space="0" w:color="auto"/>
                  </w:divBdr>
                </w:div>
                <w:div w:id="965427218">
                  <w:marLeft w:val="640"/>
                  <w:marRight w:val="0"/>
                  <w:marTop w:val="0"/>
                  <w:marBottom w:val="0"/>
                  <w:divBdr>
                    <w:top w:val="none" w:sz="0" w:space="0" w:color="auto"/>
                    <w:left w:val="none" w:sz="0" w:space="0" w:color="auto"/>
                    <w:bottom w:val="none" w:sz="0" w:space="0" w:color="auto"/>
                    <w:right w:val="none" w:sz="0" w:space="0" w:color="auto"/>
                  </w:divBdr>
                </w:div>
                <w:div w:id="385685018">
                  <w:marLeft w:val="640"/>
                  <w:marRight w:val="0"/>
                  <w:marTop w:val="0"/>
                  <w:marBottom w:val="0"/>
                  <w:divBdr>
                    <w:top w:val="none" w:sz="0" w:space="0" w:color="auto"/>
                    <w:left w:val="none" w:sz="0" w:space="0" w:color="auto"/>
                    <w:bottom w:val="none" w:sz="0" w:space="0" w:color="auto"/>
                    <w:right w:val="none" w:sz="0" w:space="0" w:color="auto"/>
                  </w:divBdr>
                </w:div>
                <w:div w:id="631788990">
                  <w:marLeft w:val="640"/>
                  <w:marRight w:val="0"/>
                  <w:marTop w:val="0"/>
                  <w:marBottom w:val="0"/>
                  <w:divBdr>
                    <w:top w:val="none" w:sz="0" w:space="0" w:color="auto"/>
                    <w:left w:val="none" w:sz="0" w:space="0" w:color="auto"/>
                    <w:bottom w:val="none" w:sz="0" w:space="0" w:color="auto"/>
                    <w:right w:val="none" w:sz="0" w:space="0" w:color="auto"/>
                  </w:divBdr>
                </w:div>
                <w:div w:id="799228523">
                  <w:marLeft w:val="640"/>
                  <w:marRight w:val="0"/>
                  <w:marTop w:val="0"/>
                  <w:marBottom w:val="0"/>
                  <w:divBdr>
                    <w:top w:val="none" w:sz="0" w:space="0" w:color="auto"/>
                    <w:left w:val="none" w:sz="0" w:space="0" w:color="auto"/>
                    <w:bottom w:val="none" w:sz="0" w:space="0" w:color="auto"/>
                    <w:right w:val="none" w:sz="0" w:space="0" w:color="auto"/>
                  </w:divBdr>
                </w:div>
                <w:div w:id="1644264174">
                  <w:marLeft w:val="640"/>
                  <w:marRight w:val="0"/>
                  <w:marTop w:val="0"/>
                  <w:marBottom w:val="0"/>
                  <w:divBdr>
                    <w:top w:val="none" w:sz="0" w:space="0" w:color="auto"/>
                    <w:left w:val="none" w:sz="0" w:space="0" w:color="auto"/>
                    <w:bottom w:val="none" w:sz="0" w:space="0" w:color="auto"/>
                    <w:right w:val="none" w:sz="0" w:space="0" w:color="auto"/>
                  </w:divBdr>
                </w:div>
                <w:div w:id="696662556">
                  <w:marLeft w:val="640"/>
                  <w:marRight w:val="0"/>
                  <w:marTop w:val="0"/>
                  <w:marBottom w:val="0"/>
                  <w:divBdr>
                    <w:top w:val="none" w:sz="0" w:space="0" w:color="auto"/>
                    <w:left w:val="none" w:sz="0" w:space="0" w:color="auto"/>
                    <w:bottom w:val="none" w:sz="0" w:space="0" w:color="auto"/>
                    <w:right w:val="none" w:sz="0" w:space="0" w:color="auto"/>
                  </w:divBdr>
                </w:div>
                <w:div w:id="370693855">
                  <w:marLeft w:val="640"/>
                  <w:marRight w:val="0"/>
                  <w:marTop w:val="0"/>
                  <w:marBottom w:val="0"/>
                  <w:divBdr>
                    <w:top w:val="none" w:sz="0" w:space="0" w:color="auto"/>
                    <w:left w:val="none" w:sz="0" w:space="0" w:color="auto"/>
                    <w:bottom w:val="none" w:sz="0" w:space="0" w:color="auto"/>
                    <w:right w:val="none" w:sz="0" w:space="0" w:color="auto"/>
                  </w:divBdr>
                </w:div>
                <w:div w:id="787892542">
                  <w:marLeft w:val="640"/>
                  <w:marRight w:val="0"/>
                  <w:marTop w:val="0"/>
                  <w:marBottom w:val="0"/>
                  <w:divBdr>
                    <w:top w:val="none" w:sz="0" w:space="0" w:color="auto"/>
                    <w:left w:val="none" w:sz="0" w:space="0" w:color="auto"/>
                    <w:bottom w:val="none" w:sz="0" w:space="0" w:color="auto"/>
                    <w:right w:val="none" w:sz="0" w:space="0" w:color="auto"/>
                  </w:divBdr>
                </w:div>
                <w:div w:id="1922714991">
                  <w:marLeft w:val="640"/>
                  <w:marRight w:val="0"/>
                  <w:marTop w:val="0"/>
                  <w:marBottom w:val="0"/>
                  <w:divBdr>
                    <w:top w:val="none" w:sz="0" w:space="0" w:color="auto"/>
                    <w:left w:val="none" w:sz="0" w:space="0" w:color="auto"/>
                    <w:bottom w:val="none" w:sz="0" w:space="0" w:color="auto"/>
                    <w:right w:val="none" w:sz="0" w:space="0" w:color="auto"/>
                  </w:divBdr>
                </w:div>
                <w:div w:id="428625251">
                  <w:marLeft w:val="640"/>
                  <w:marRight w:val="0"/>
                  <w:marTop w:val="0"/>
                  <w:marBottom w:val="0"/>
                  <w:divBdr>
                    <w:top w:val="none" w:sz="0" w:space="0" w:color="auto"/>
                    <w:left w:val="none" w:sz="0" w:space="0" w:color="auto"/>
                    <w:bottom w:val="none" w:sz="0" w:space="0" w:color="auto"/>
                    <w:right w:val="none" w:sz="0" w:space="0" w:color="auto"/>
                  </w:divBdr>
                </w:div>
                <w:div w:id="968246007">
                  <w:marLeft w:val="640"/>
                  <w:marRight w:val="0"/>
                  <w:marTop w:val="0"/>
                  <w:marBottom w:val="0"/>
                  <w:divBdr>
                    <w:top w:val="none" w:sz="0" w:space="0" w:color="auto"/>
                    <w:left w:val="none" w:sz="0" w:space="0" w:color="auto"/>
                    <w:bottom w:val="none" w:sz="0" w:space="0" w:color="auto"/>
                    <w:right w:val="none" w:sz="0" w:space="0" w:color="auto"/>
                  </w:divBdr>
                </w:div>
                <w:div w:id="582956479">
                  <w:marLeft w:val="640"/>
                  <w:marRight w:val="0"/>
                  <w:marTop w:val="0"/>
                  <w:marBottom w:val="0"/>
                  <w:divBdr>
                    <w:top w:val="none" w:sz="0" w:space="0" w:color="auto"/>
                    <w:left w:val="none" w:sz="0" w:space="0" w:color="auto"/>
                    <w:bottom w:val="none" w:sz="0" w:space="0" w:color="auto"/>
                    <w:right w:val="none" w:sz="0" w:space="0" w:color="auto"/>
                  </w:divBdr>
                </w:div>
                <w:div w:id="506751549">
                  <w:marLeft w:val="640"/>
                  <w:marRight w:val="0"/>
                  <w:marTop w:val="0"/>
                  <w:marBottom w:val="0"/>
                  <w:divBdr>
                    <w:top w:val="none" w:sz="0" w:space="0" w:color="auto"/>
                    <w:left w:val="none" w:sz="0" w:space="0" w:color="auto"/>
                    <w:bottom w:val="none" w:sz="0" w:space="0" w:color="auto"/>
                    <w:right w:val="none" w:sz="0" w:space="0" w:color="auto"/>
                  </w:divBdr>
                </w:div>
                <w:div w:id="169295888">
                  <w:marLeft w:val="640"/>
                  <w:marRight w:val="0"/>
                  <w:marTop w:val="0"/>
                  <w:marBottom w:val="0"/>
                  <w:divBdr>
                    <w:top w:val="none" w:sz="0" w:space="0" w:color="auto"/>
                    <w:left w:val="none" w:sz="0" w:space="0" w:color="auto"/>
                    <w:bottom w:val="none" w:sz="0" w:space="0" w:color="auto"/>
                    <w:right w:val="none" w:sz="0" w:space="0" w:color="auto"/>
                  </w:divBdr>
                </w:div>
                <w:div w:id="1874808959">
                  <w:marLeft w:val="640"/>
                  <w:marRight w:val="0"/>
                  <w:marTop w:val="0"/>
                  <w:marBottom w:val="0"/>
                  <w:divBdr>
                    <w:top w:val="none" w:sz="0" w:space="0" w:color="auto"/>
                    <w:left w:val="none" w:sz="0" w:space="0" w:color="auto"/>
                    <w:bottom w:val="none" w:sz="0" w:space="0" w:color="auto"/>
                    <w:right w:val="none" w:sz="0" w:space="0" w:color="auto"/>
                  </w:divBdr>
                </w:div>
              </w:divsChild>
            </w:div>
            <w:div w:id="816413982">
              <w:marLeft w:val="0"/>
              <w:marRight w:val="0"/>
              <w:marTop w:val="0"/>
              <w:marBottom w:val="0"/>
              <w:divBdr>
                <w:top w:val="none" w:sz="0" w:space="0" w:color="auto"/>
                <w:left w:val="none" w:sz="0" w:space="0" w:color="auto"/>
                <w:bottom w:val="none" w:sz="0" w:space="0" w:color="auto"/>
                <w:right w:val="none" w:sz="0" w:space="0" w:color="auto"/>
              </w:divBdr>
              <w:divsChild>
                <w:div w:id="1577468784">
                  <w:marLeft w:val="640"/>
                  <w:marRight w:val="0"/>
                  <w:marTop w:val="0"/>
                  <w:marBottom w:val="0"/>
                  <w:divBdr>
                    <w:top w:val="none" w:sz="0" w:space="0" w:color="auto"/>
                    <w:left w:val="none" w:sz="0" w:space="0" w:color="auto"/>
                    <w:bottom w:val="none" w:sz="0" w:space="0" w:color="auto"/>
                    <w:right w:val="none" w:sz="0" w:space="0" w:color="auto"/>
                  </w:divBdr>
                </w:div>
                <w:div w:id="313685136">
                  <w:marLeft w:val="640"/>
                  <w:marRight w:val="0"/>
                  <w:marTop w:val="0"/>
                  <w:marBottom w:val="0"/>
                  <w:divBdr>
                    <w:top w:val="none" w:sz="0" w:space="0" w:color="auto"/>
                    <w:left w:val="none" w:sz="0" w:space="0" w:color="auto"/>
                    <w:bottom w:val="none" w:sz="0" w:space="0" w:color="auto"/>
                    <w:right w:val="none" w:sz="0" w:space="0" w:color="auto"/>
                  </w:divBdr>
                </w:div>
                <w:div w:id="1407456771">
                  <w:marLeft w:val="640"/>
                  <w:marRight w:val="0"/>
                  <w:marTop w:val="0"/>
                  <w:marBottom w:val="0"/>
                  <w:divBdr>
                    <w:top w:val="none" w:sz="0" w:space="0" w:color="auto"/>
                    <w:left w:val="none" w:sz="0" w:space="0" w:color="auto"/>
                    <w:bottom w:val="none" w:sz="0" w:space="0" w:color="auto"/>
                    <w:right w:val="none" w:sz="0" w:space="0" w:color="auto"/>
                  </w:divBdr>
                </w:div>
                <w:div w:id="60174900">
                  <w:marLeft w:val="640"/>
                  <w:marRight w:val="0"/>
                  <w:marTop w:val="0"/>
                  <w:marBottom w:val="0"/>
                  <w:divBdr>
                    <w:top w:val="none" w:sz="0" w:space="0" w:color="auto"/>
                    <w:left w:val="none" w:sz="0" w:space="0" w:color="auto"/>
                    <w:bottom w:val="none" w:sz="0" w:space="0" w:color="auto"/>
                    <w:right w:val="none" w:sz="0" w:space="0" w:color="auto"/>
                  </w:divBdr>
                </w:div>
                <w:div w:id="1695233214">
                  <w:marLeft w:val="640"/>
                  <w:marRight w:val="0"/>
                  <w:marTop w:val="0"/>
                  <w:marBottom w:val="0"/>
                  <w:divBdr>
                    <w:top w:val="none" w:sz="0" w:space="0" w:color="auto"/>
                    <w:left w:val="none" w:sz="0" w:space="0" w:color="auto"/>
                    <w:bottom w:val="none" w:sz="0" w:space="0" w:color="auto"/>
                    <w:right w:val="none" w:sz="0" w:space="0" w:color="auto"/>
                  </w:divBdr>
                </w:div>
                <w:div w:id="1747874532">
                  <w:marLeft w:val="640"/>
                  <w:marRight w:val="0"/>
                  <w:marTop w:val="0"/>
                  <w:marBottom w:val="0"/>
                  <w:divBdr>
                    <w:top w:val="none" w:sz="0" w:space="0" w:color="auto"/>
                    <w:left w:val="none" w:sz="0" w:space="0" w:color="auto"/>
                    <w:bottom w:val="none" w:sz="0" w:space="0" w:color="auto"/>
                    <w:right w:val="none" w:sz="0" w:space="0" w:color="auto"/>
                  </w:divBdr>
                </w:div>
                <w:div w:id="1591622764">
                  <w:marLeft w:val="640"/>
                  <w:marRight w:val="0"/>
                  <w:marTop w:val="0"/>
                  <w:marBottom w:val="0"/>
                  <w:divBdr>
                    <w:top w:val="none" w:sz="0" w:space="0" w:color="auto"/>
                    <w:left w:val="none" w:sz="0" w:space="0" w:color="auto"/>
                    <w:bottom w:val="none" w:sz="0" w:space="0" w:color="auto"/>
                    <w:right w:val="none" w:sz="0" w:space="0" w:color="auto"/>
                  </w:divBdr>
                </w:div>
                <w:div w:id="957443867">
                  <w:marLeft w:val="640"/>
                  <w:marRight w:val="0"/>
                  <w:marTop w:val="0"/>
                  <w:marBottom w:val="0"/>
                  <w:divBdr>
                    <w:top w:val="none" w:sz="0" w:space="0" w:color="auto"/>
                    <w:left w:val="none" w:sz="0" w:space="0" w:color="auto"/>
                    <w:bottom w:val="none" w:sz="0" w:space="0" w:color="auto"/>
                    <w:right w:val="none" w:sz="0" w:space="0" w:color="auto"/>
                  </w:divBdr>
                </w:div>
                <w:div w:id="52896193">
                  <w:marLeft w:val="640"/>
                  <w:marRight w:val="0"/>
                  <w:marTop w:val="0"/>
                  <w:marBottom w:val="0"/>
                  <w:divBdr>
                    <w:top w:val="none" w:sz="0" w:space="0" w:color="auto"/>
                    <w:left w:val="none" w:sz="0" w:space="0" w:color="auto"/>
                    <w:bottom w:val="none" w:sz="0" w:space="0" w:color="auto"/>
                    <w:right w:val="none" w:sz="0" w:space="0" w:color="auto"/>
                  </w:divBdr>
                </w:div>
                <w:div w:id="660692825">
                  <w:marLeft w:val="640"/>
                  <w:marRight w:val="0"/>
                  <w:marTop w:val="0"/>
                  <w:marBottom w:val="0"/>
                  <w:divBdr>
                    <w:top w:val="none" w:sz="0" w:space="0" w:color="auto"/>
                    <w:left w:val="none" w:sz="0" w:space="0" w:color="auto"/>
                    <w:bottom w:val="none" w:sz="0" w:space="0" w:color="auto"/>
                    <w:right w:val="none" w:sz="0" w:space="0" w:color="auto"/>
                  </w:divBdr>
                </w:div>
                <w:div w:id="1145512926">
                  <w:marLeft w:val="640"/>
                  <w:marRight w:val="0"/>
                  <w:marTop w:val="0"/>
                  <w:marBottom w:val="0"/>
                  <w:divBdr>
                    <w:top w:val="none" w:sz="0" w:space="0" w:color="auto"/>
                    <w:left w:val="none" w:sz="0" w:space="0" w:color="auto"/>
                    <w:bottom w:val="none" w:sz="0" w:space="0" w:color="auto"/>
                    <w:right w:val="none" w:sz="0" w:space="0" w:color="auto"/>
                  </w:divBdr>
                </w:div>
                <w:div w:id="824933204">
                  <w:marLeft w:val="640"/>
                  <w:marRight w:val="0"/>
                  <w:marTop w:val="0"/>
                  <w:marBottom w:val="0"/>
                  <w:divBdr>
                    <w:top w:val="none" w:sz="0" w:space="0" w:color="auto"/>
                    <w:left w:val="none" w:sz="0" w:space="0" w:color="auto"/>
                    <w:bottom w:val="none" w:sz="0" w:space="0" w:color="auto"/>
                    <w:right w:val="none" w:sz="0" w:space="0" w:color="auto"/>
                  </w:divBdr>
                </w:div>
                <w:div w:id="1345135533">
                  <w:marLeft w:val="640"/>
                  <w:marRight w:val="0"/>
                  <w:marTop w:val="0"/>
                  <w:marBottom w:val="0"/>
                  <w:divBdr>
                    <w:top w:val="none" w:sz="0" w:space="0" w:color="auto"/>
                    <w:left w:val="none" w:sz="0" w:space="0" w:color="auto"/>
                    <w:bottom w:val="none" w:sz="0" w:space="0" w:color="auto"/>
                    <w:right w:val="none" w:sz="0" w:space="0" w:color="auto"/>
                  </w:divBdr>
                </w:div>
                <w:div w:id="1314988425">
                  <w:marLeft w:val="640"/>
                  <w:marRight w:val="0"/>
                  <w:marTop w:val="0"/>
                  <w:marBottom w:val="0"/>
                  <w:divBdr>
                    <w:top w:val="none" w:sz="0" w:space="0" w:color="auto"/>
                    <w:left w:val="none" w:sz="0" w:space="0" w:color="auto"/>
                    <w:bottom w:val="none" w:sz="0" w:space="0" w:color="auto"/>
                    <w:right w:val="none" w:sz="0" w:space="0" w:color="auto"/>
                  </w:divBdr>
                </w:div>
                <w:div w:id="588468552">
                  <w:marLeft w:val="640"/>
                  <w:marRight w:val="0"/>
                  <w:marTop w:val="0"/>
                  <w:marBottom w:val="0"/>
                  <w:divBdr>
                    <w:top w:val="none" w:sz="0" w:space="0" w:color="auto"/>
                    <w:left w:val="none" w:sz="0" w:space="0" w:color="auto"/>
                    <w:bottom w:val="none" w:sz="0" w:space="0" w:color="auto"/>
                    <w:right w:val="none" w:sz="0" w:space="0" w:color="auto"/>
                  </w:divBdr>
                </w:div>
                <w:div w:id="216864098">
                  <w:marLeft w:val="640"/>
                  <w:marRight w:val="0"/>
                  <w:marTop w:val="0"/>
                  <w:marBottom w:val="0"/>
                  <w:divBdr>
                    <w:top w:val="none" w:sz="0" w:space="0" w:color="auto"/>
                    <w:left w:val="none" w:sz="0" w:space="0" w:color="auto"/>
                    <w:bottom w:val="none" w:sz="0" w:space="0" w:color="auto"/>
                    <w:right w:val="none" w:sz="0" w:space="0" w:color="auto"/>
                  </w:divBdr>
                </w:div>
                <w:div w:id="1925144634">
                  <w:marLeft w:val="640"/>
                  <w:marRight w:val="0"/>
                  <w:marTop w:val="0"/>
                  <w:marBottom w:val="0"/>
                  <w:divBdr>
                    <w:top w:val="none" w:sz="0" w:space="0" w:color="auto"/>
                    <w:left w:val="none" w:sz="0" w:space="0" w:color="auto"/>
                    <w:bottom w:val="none" w:sz="0" w:space="0" w:color="auto"/>
                    <w:right w:val="none" w:sz="0" w:space="0" w:color="auto"/>
                  </w:divBdr>
                </w:div>
                <w:div w:id="470248084">
                  <w:marLeft w:val="640"/>
                  <w:marRight w:val="0"/>
                  <w:marTop w:val="0"/>
                  <w:marBottom w:val="0"/>
                  <w:divBdr>
                    <w:top w:val="none" w:sz="0" w:space="0" w:color="auto"/>
                    <w:left w:val="none" w:sz="0" w:space="0" w:color="auto"/>
                    <w:bottom w:val="none" w:sz="0" w:space="0" w:color="auto"/>
                    <w:right w:val="none" w:sz="0" w:space="0" w:color="auto"/>
                  </w:divBdr>
                </w:div>
                <w:div w:id="36470176">
                  <w:marLeft w:val="640"/>
                  <w:marRight w:val="0"/>
                  <w:marTop w:val="0"/>
                  <w:marBottom w:val="0"/>
                  <w:divBdr>
                    <w:top w:val="none" w:sz="0" w:space="0" w:color="auto"/>
                    <w:left w:val="none" w:sz="0" w:space="0" w:color="auto"/>
                    <w:bottom w:val="none" w:sz="0" w:space="0" w:color="auto"/>
                    <w:right w:val="none" w:sz="0" w:space="0" w:color="auto"/>
                  </w:divBdr>
                </w:div>
                <w:div w:id="776028600">
                  <w:marLeft w:val="640"/>
                  <w:marRight w:val="0"/>
                  <w:marTop w:val="0"/>
                  <w:marBottom w:val="0"/>
                  <w:divBdr>
                    <w:top w:val="none" w:sz="0" w:space="0" w:color="auto"/>
                    <w:left w:val="none" w:sz="0" w:space="0" w:color="auto"/>
                    <w:bottom w:val="none" w:sz="0" w:space="0" w:color="auto"/>
                    <w:right w:val="none" w:sz="0" w:space="0" w:color="auto"/>
                  </w:divBdr>
                </w:div>
                <w:div w:id="1301620128">
                  <w:marLeft w:val="640"/>
                  <w:marRight w:val="0"/>
                  <w:marTop w:val="0"/>
                  <w:marBottom w:val="0"/>
                  <w:divBdr>
                    <w:top w:val="none" w:sz="0" w:space="0" w:color="auto"/>
                    <w:left w:val="none" w:sz="0" w:space="0" w:color="auto"/>
                    <w:bottom w:val="none" w:sz="0" w:space="0" w:color="auto"/>
                    <w:right w:val="none" w:sz="0" w:space="0" w:color="auto"/>
                  </w:divBdr>
                </w:div>
                <w:div w:id="2008828928">
                  <w:marLeft w:val="640"/>
                  <w:marRight w:val="0"/>
                  <w:marTop w:val="0"/>
                  <w:marBottom w:val="0"/>
                  <w:divBdr>
                    <w:top w:val="none" w:sz="0" w:space="0" w:color="auto"/>
                    <w:left w:val="none" w:sz="0" w:space="0" w:color="auto"/>
                    <w:bottom w:val="none" w:sz="0" w:space="0" w:color="auto"/>
                    <w:right w:val="none" w:sz="0" w:space="0" w:color="auto"/>
                  </w:divBdr>
                </w:div>
                <w:div w:id="1780568579">
                  <w:marLeft w:val="640"/>
                  <w:marRight w:val="0"/>
                  <w:marTop w:val="0"/>
                  <w:marBottom w:val="0"/>
                  <w:divBdr>
                    <w:top w:val="none" w:sz="0" w:space="0" w:color="auto"/>
                    <w:left w:val="none" w:sz="0" w:space="0" w:color="auto"/>
                    <w:bottom w:val="none" w:sz="0" w:space="0" w:color="auto"/>
                    <w:right w:val="none" w:sz="0" w:space="0" w:color="auto"/>
                  </w:divBdr>
                </w:div>
                <w:div w:id="751467736">
                  <w:marLeft w:val="640"/>
                  <w:marRight w:val="0"/>
                  <w:marTop w:val="0"/>
                  <w:marBottom w:val="0"/>
                  <w:divBdr>
                    <w:top w:val="none" w:sz="0" w:space="0" w:color="auto"/>
                    <w:left w:val="none" w:sz="0" w:space="0" w:color="auto"/>
                    <w:bottom w:val="none" w:sz="0" w:space="0" w:color="auto"/>
                    <w:right w:val="none" w:sz="0" w:space="0" w:color="auto"/>
                  </w:divBdr>
                </w:div>
                <w:div w:id="1222403276">
                  <w:marLeft w:val="640"/>
                  <w:marRight w:val="0"/>
                  <w:marTop w:val="0"/>
                  <w:marBottom w:val="0"/>
                  <w:divBdr>
                    <w:top w:val="none" w:sz="0" w:space="0" w:color="auto"/>
                    <w:left w:val="none" w:sz="0" w:space="0" w:color="auto"/>
                    <w:bottom w:val="none" w:sz="0" w:space="0" w:color="auto"/>
                    <w:right w:val="none" w:sz="0" w:space="0" w:color="auto"/>
                  </w:divBdr>
                </w:div>
              </w:divsChild>
            </w:div>
            <w:div w:id="1028214160">
              <w:marLeft w:val="0"/>
              <w:marRight w:val="0"/>
              <w:marTop w:val="0"/>
              <w:marBottom w:val="0"/>
              <w:divBdr>
                <w:top w:val="none" w:sz="0" w:space="0" w:color="auto"/>
                <w:left w:val="none" w:sz="0" w:space="0" w:color="auto"/>
                <w:bottom w:val="none" w:sz="0" w:space="0" w:color="auto"/>
                <w:right w:val="none" w:sz="0" w:space="0" w:color="auto"/>
              </w:divBdr>
              <w:divsChild>
                <w:div w:id="1223831147">
                  <w:marLeft w:val="640"/>
                  <w:marRight w:val="0"/>
                  <w:marTop w:val="0"/>
                  <w:marBottom w:val="0"/>
                  <w:divBdr>
                    <w:top w:val="none" w:sz="0" w:space="0" w:color="auto"/>
                    <w:left w:val="none" w:sz="0" w:space="0" w:color="auto"/>
                    <w:bottom w:val="none" w:sz="0" w:space="0" w:color="auto"/>
                    <w:right w:val="none" w:sz="0" w:space="0" w:color="auto"/>
                  </w:divBdr>
                </w:div>
                <w:div w:id="2041200957">
                  <w:marLeft w:val="640"/>
                  <w:marRight w:val="0"/>
                  <w:marTop w:val="0"/>
                  <w:marBottom w:val="0"/>
                  <w:divBdr>
                    <w:top w:val="none" w:sz="0" w:space="0" w:color="auto"/>
                    <w:left w:val="none" w:sz="0" w:space="0" w:color="auto"/>
                    <w:bottom w:val="none" w:sz="0" w:space="0" w:color="auto"/>
                    <w:right w:val="none" w:sz="0" w:space="0" w:color="auto"/>
                  </w:divBdr>
                </w:div>
                <w:div w:id="593393442">
                  <w:marLeft w:val="640"/>
                  <w:marRight w:val="0"/>
                  <w:marTop w:val="0"/>
                  <w:marBottom w:val="0"/>
                  <w:divBdr>
                    <w:top w:val="none" w:sz="0" w:space="0" w:color="auto"/>
                    <w:left w:val="none" w:sz="0" w:space="0" w:color="auto"/>
                    <w:bottom w:val="none" w:sz="0" w:space="0" w:color="auto"/>
                    <w:right w:val="none" w:sz="0" w:space="0" w:color="auto"/>
                  </w:divBdr>
                </w:div>
                <w:div w:id="1949777733">
                  <w:marLeft w:val="640"/>
                  <w:marRight w:val="0"/>
                  <w:marTop w:val="0"/>
                  <w:marBottom w:val="0"/>
                  <w:divBdr>
                    <w:top w:val="none" w:sz="0" w:space="0" w:color="auto"/>
                    <w:left w:val="none" w:sz="0" w:space="0" w:color="auto"/>
                    <w:bottom w:val="none" w:sz="0" w:space="0" w:color="auto"/>
                    <w:right w:val="none" w:sz="0" w:space="0" w:color="auto"/>
                  </w:divBdr>
                </w:div>
                <w:div w:id="706876990">
                  <w:marLeft w:val="640"/>
                  <w:marRight w:val="0"/>
                  <w:marTop w:val="0"/>
                  <w:marBottom w:val="0"/>
                  <w:divBdr>
                    <w:top w:val="none" w:sz="0" w:space="0" w:color="auto"/>
                    <w:left w:val="none" w:sz="0" w:space="0" w:color="auto"/>
                    <w:bottom w:val="none" w:sz="0" w:space="0" w:color="auto"/>
                    <w:right w:val="none" w:sz="0" w:space="0" w:color="auto"/>
                  </w:divBdr>
                </w:div>
                <w:div w:id="1005981845">
                  <w:marLeft w:val="640"/>
                  <w:marRight w:val="0"/>
                  <w:marTop w:val="0"/>
                  <w:marBottom w:val="0"/>
                  <w:divBdr>
                    <w:top w:val="none" w:sz="0" w:space="0" w:color="auto"/>
                    <w:left w:val="none" w:sz="0" w:space="0" w:color="auto"/>
                    <w:bottom w:val="none" w:sz="0" w:space="0" w:color="auto"/>
                    <w:right w:val="none" w:sz="0" w:space="0" w:color="auto"/>
                  </w:divBdr>
                </w:div>
                <w:div w:id="1669166403">
                  <w:marLeft w:val="640"/>
                  <w:marRight w:val="0"/>
                  <w:marTop w:val="0"/>
                  <w:marBottom w:val="0"/>
                  <w:divBdr>
                    <w:top w:val="none" w:sz="0" w:space="0" w:color="auto"/>
                    <w:left w:val="none" w:sz="0" w:space="0" w:color="auto"/>
                    <w:bottom w:val="none" w:sz="0" w:space="0" w:color="auto"/>
                    <w:right w:val="none" w:sz="0" w:space="0" w:color="auto"/>
                  </w:divBdr>
                </w:div>
                <w:div w:id="1686663434">
                  <w:marLeft w:val="640"/>
                  <w:marRight w:val="0"/>
                  <w:marTop w:val="0"/>
                  <w:marBottom w:val="0"/>
                  <w:divBdr>
                    <w:top w:val="none" w:sz="0" w:space="0" w:color="auto"/>
                    <w:left w:val="none" w:sz="0" w:space="0" w:color="auto"/>
                    <w:bottom w:val="none" w:sz="0" w:space="0" w:color="auto"/>
                    <w:right w:val="none" w:sz="0" w:space="0" w:color="auto"/>
                  </w:divBdr>
                </w:div>
                <w:div w:id="1041633767">
                  <w:marLeft w:val="640"/>
                  <w:marRight w:val="0"/>
                  <w:marTop w:val="0"/>
                  <w:marBottom w:val="0"/>
                  <w:divBdr>
                    <w:top w:val="none" w:sz="0" w:space="0" w:color="auto"/>
                    <w:left w:val="none" w:sz="0" w:space="0" w:color="auto"/>
                    <w:bottom w:val="none" w:sz="0" w:space="0" w:color="auto"/>
                    <w:right w:val="none" w:sz="0" w:space="0" w:color="auto"/>
                  </w:divBdr>
                </w:div>
                <w:div w:id="135147829">
                  <w:marLeft w:val="640"/>
                  <w:marRight w:val="0"/>
                  <w:marTop w:val="0"/>
                  <w:marBottom w:val="0"/>
                  <w:divBdr>
                    <w:top w:val="none" w:sz="0" w:space="0" w:color="auto"/>
                    <w:left w:val="none" w:sz="0" w:space="0" w:color="auto"/>
                    <w:bottom w:val="none" w:sz="0" w:space="0" w:color="auto"/>
                    <w:right w:val="none" w:sz="0" w:space="0" w:color="auto"/>
                  </w:divBdr>
                </w:div>
                <w:div w:id="1370373298">
                  <w:marLeft w:val="640"/>
                  <w:marRight w:val="0"/>
                  <w:marTop w:val="0"/>
                  <w:marBottom w:val="0"/>
                  <w:divBdr>
                    <w:top w:val="none" w:sz="0" w:space="0" w:color="auto"/>
                    <w:left w:val="none" w:sz="0" w:space="0" w:color="auto"/>
                    <w:bottom w:val="none" w:sz="0" w:space="0" w:color="auto"/>
                    <w:right w:val="none" w:sz="0" w:space="0" w:color="auto"/>
                  </w:divBdr>
                </w:div>
                <w:div w:id="64189469">
                  <w:marLeft w:val="640"/>
                  <w:marRight w:val="0"/>
                  <w:marTop w:val="0"/>
                  <w:marBottom w:val="0"/>
                  <w:divBdr>
                    <w:top w:val="none" w:sz="0" w:space="0" w:color="auto"/>
                    <w:left w:val="none" w:sz="0" w:space="0" w:color="auto"/>
                    <w:bottom w:val="none" w:sz="0" w:space="0" w:color="auto"/>
                    <w:right w:val="none" w:sz="0" w:space="0" w:color="auto"/>
                  </w:divBdr>
                </w:div>
                <w:div w:id="2144930358">
                  <w:marLeft w:val="640"/>
                  <w:marRight w:val="0"/>
                  <w:marTop w:val="0"/>
                  <w:marBottom w:val="0"/>
                  <w:divBdr>
                    <w:top w:val="none" w:sz="0" w:space="0" w:color="auto"/>
                    <w:left w:val="none" w:sz="0" w:space="0" w:color="auto"/>
                    <w:bottom w:val="none" w:sz="0" w:space="0" w:color="auto"/>
                    <w:right w:val="none" w:sz="0" w:space="0" w:color="auto"/>
                  </w:divBdr>
                </w:div>
                <w:div w:id="1918588579">
                  <w:marLeft w:val="640"/>
                  <w:marRight w:val="0"/>
                  <w:marTop w:val="0"/>
                  <w:marBottom w:val="0"/>
                  <w:divBdr>
                    <w:top w:val="none" w:sz="0" w:space="0" w:color="auto"/>
                    <w:left w:val="none" w:sz="0" w:space="0" w:color="auto"/>
                    <w:bottom w:val="none" w:sz="0" w:space="0" w:color="auto"/>
                    <w:right w:val="none" w:sz="0" w:space="0" w:color="auto"/>
                  </w:divBdr>
                </w:div>
                <w:div w:id="279455142">
                  <w:marLeft w:val="640"/>
                  <w:marRight w:val="0"/>
                  <w:marTop w:val="0"/>
                  <w:marBottom w:val="0"/>
                  <w:divBdr>
                    <w:top w:val="none" w:sz="0" w:space="0" w:color="auto"/>
                    <w:left w:val="none" w:sz="0" w:space="0" w:color="auto"/>
                    <w:bottom w:val="none" w:sz="0" w:space="0" w:color="auto"/>
                    <w:right w:val="none" w:sz="0" w:space="0" w:color="auto"/>
                  </w:divBdr>
                </w:div>
                <w:div w:id="129130280">
                  <w:marLeft w:val="640"/>
                  <w:marRight w:val="0"/>
                  <w:marTop w:val="0"/>
                  <w:marBottom w:val="0"/>
                  <w:divBdr>
                    <w:top w:val="none" w:sz="0" w:space="0" w:color="auto"/>
                    <w:left w:val="none" w:sz="0" w:space="0" w:color="auto"/>
                    <w:bottom w:val="none" w:sz="0" w:space="0" w:color="auto"/>
                    <w:right w:val="none" w:sz="0" w:space="0" w:color="auto"/>
                  </w:divBdr>
                </w:div>
                <w:div w:id="1980187322">
                  <w:marLeft w:val="640"/>
                  <w:marRight w:val="0"/>
                  <w:marTop w:val="0"/>
                  <w:marBottom w:val="0"/>
                  <w:divBdr>
                    <w:top w:val="none" w:sz="0" w:space="0" w:color="auto"/>
                    <w:left w:val="none" w:sz="0" w:space="0" w:color="auto"/>
                    <w:bottom w:val="none" w:sz="0" w:space="0" w:color="auto"/>
                    <w:right w:val="none" w:sz="0" w:space="0" w:color="auto"/>
                  </w:divBdr>
                </w:div>
                <w:div w:id="1761100012">
                  <w:marLeft w:val="640"/>
                  <w:marRight w:val="0"/>
                  <w:marTop w:val="0"/>
                  <w:marBottom w:val="0"/>
                  <w:divBdr>
                    <w:top w:val="none" w:sz="0" w:space="0" w:color="auto"/>
                    <w:left w:val="none" w:sz="0" w:space="0" w:color="auto"/>
                    <w:bottom w:val="none" w:sz="0" w:space="0" w:color="auto"/>
                    <w:right w:val="none" w:sz="0" w:space="0" w:color="auto"/>
                  </w:divBdr>
                </w:div>
                <w:div w:id="61413904">
                  <w:marLeft w:val="640"/>
                  <w:marRight w:val="0"/>
                  <w:marTop w:val="0"/>
                  <w:marBottom w:val="0"/>
                  <w:divBdr>
                    <w:top w:val="none" w:sz="0" w:space="0" w:color="auto"/>
                    <w:left w:val="none" w:sz="0" w:space="0" w:color="auto"/>
                    <w:bottom w:val="none" w:sz="0" w:space="0" w:color="auto"/>
                    <w:right w:val="none" w:sz="0" w:space="0" w:color="auto"/>
                  </w:divBdr>
                </w:div>
                <w:div w:id="1317029101">
                  <w:marLeft w:val="640"/>
                  <w:marRight w:val="0"/>
                  <w:marTop w:val="0"/>
                  <w:marBottom w:val="0"/>
                  <w:divBdr>
                    <w:top w:val="none" w:sz="0" w:space="0" w:color="auto"/>
                    <w:left w:val="none" w:sz="0" w:space="0" w:color="auto"/>
                    <w:bottom w:val="none" w:sz="0" w:space="0" w:color="auto"/>
                    <w:right w:val="none" w:sz="0" w:space="0" w:color="auto"/>
                  </w:divBdr>
                </w:div>
                <w:div w:id="1458184878">
                  <w:marLeft w:val="640"/>
                  <w:marRight w:val="0"/>
                  <w:marTop w:val="0"/>
                  <w:marBottom w:val="0"/>
                  <w:divBdr>
                    <w:top w:val="none" w:sz="0" w:space="0" w:color="auto"/>
                    <w:left w:val="none" w:sz="0" w:space="0" w:color="auto"/>
                    <w:bottom w:val="none" w:sz="0" w:space="0" w:color="auto"/>
                    <w:right w:val="none" w:sz="0" w:space="0" w:color="auto"/>
                  </w:divBdr>
                </w:div>
                <w:div w:id="127280529">
                  <w:marLeft w:val="640"/>
                  <w:marRight w:val="0"/>
                  <w:marTop w:val="0"/>
                  <w:marBottom w:val="0"/>
                  <w:divBdr>
                    <w:top w:val="none" w:sz="0" w:space="0" w:color="auto"/>
                    <w:left w:val="none" w:sz="0" w:space="0" w:color="auto"/>
                    <w:bottom w:val="none" w:sz="0" w:space="0" w:color="auto"/>
                    <w:right w:val="none" w:sz="0" w:space="0" w:color="auto"/>
                  </w:divBdr>
                </w:div>
                <w:div w:id="142738269">
                  <w:marLeft w:val="640"/>
                  <w:marRight w:val="0"/>
                  <w:marTop w:val="0"/>
                  <w:marBottom w:val="0"/>
                  <w:divBdr>
                    <w:top w:val="none" w:sz="0" w:space="0" w:color="auto"/>
                    <w:left w:val="none" w:sz="0" w:space="0" w:color="auto"/>
                    <w:bottom w:val="none" w:sz="0" w:space="0" w:color="auto"/>
                    <w:right w:val="none" w:sz="0" w:space="0" w:color="auto"/>
                  </w:divBdr>
                </w:div>
                <w:div w:id="46416079">
                  <w:marLeft w:val="640"/>
                  <w:marRight w:val="0"/>
                  <w:marTop w:val="0"/>
                  <w:marBottom w:val="0"/>
                  <w:divBdr>
                    <w:top w:val="none" w:sz="0" w:space="0" w:color="auto"/>
                    <w:left w:val="none" w:sz="0" w:space="0" w:color="auto"/>
                    <w:bottom w:val="none" w:sz="0" w:space="0" w:color="auto"/>
                    <w:right w:val="none" w:sz="0" w:space="0" w:color="auto"/>
                  </w:divBdr>
                </w:div>
                <w:div w:id="2067603430">
                  <w:marLeft w:val="640"/>
                  <w:marRight w:val="0"/>
                  <w:marTop w:val="0"/>
                  <w:marBottom w:val="0"/>
                  <w:divBdr>
                    <w:top w:val="none" w:sz="0" w:space="0" w:color="auto"/>
                    <w:left w:val="none" w:sz="0" w:space="0" w:color="auto"/>
                    <w:bottom w:val="none" w:sz="0" w:space="0" w:color="auto"/>
                    <w:right w:val="none" w:sz="0" w:space="0" w:color="auto"/>
                  </w:divBdr>
                </w:div>
                <w:div w:id="610628390">
                  <w:marLeft w:val="640"/>
                  <w:marRight w:val="0"/>
                  <w:marTop w:val="0"/>
                  <w:marBottom w:val="0"/>
                  <w:divBdr>
                    <w:top w:val="none" w:sz="0" w:space="0" w:color="auto"/>
                    <w:left w:val="none" w:sz="0" w:space="0" w:color="auto"/>
                    <w:bottom w:val="none" w:sz="0" w:space="0" w:color="auto"/>
                    <w:right w:val="none" w:sz="0" w:space="0" w:color="auto"/>
                  </w:divBdr>
                  <w:divsChild>
                    <w:div w:id="754471338">
                      <w:marLeft w:val="0"/>
                      <w:marRight w:val="0"/>
                      <w:marTop w:val="0"/>
                      <w:marBottom w:val="0"/>
                      <w:divBdr>
                        <w:top w:val="none" w:sz="0" w:space="0" w:color="auto"/>
                        <w:left w:val="none" w:sz="0" w:space="0" w:color="auto"/>
                        <w:bottom w:val="none" w:sz="0" w:space="0" w:color="auto"/>
                        <w:right w:val="none" w:sz="0" w:space="0" w:color="auto"/>
                      </w:divBdr>
                      <w:divsChild>
                        <w:div w:id="1297645260">
                          <w:marLeft w:val="640"/>
                          <w:marRight w:val="0"/>
                          <w:marTop w:val="0"/>
                          <w:marBottom w:val="0"/>
                          <w:divBdr>
                            <w:top w:val="none" w:sz="0" w:space="0" w:color="auto"/>
                            <w:left w:val="none" w:sz="0" w:space="0" w:color="auto"/>
                            <w:bottom w:val="none" w:sz="0" w:space="0" w:color="auto"/>
                            <w:right w:val="none" w:sz="0" w:space="0" w:color="auto"/>
                          </w:divBdr>
                        </w:div>
                        <w:div w:id="506407447">
                          <w:marLeft w:val="640"/>
                          <w:marRight w:val="0"/>
                          <w:marTop w:val="0"/>
                          <w:marBottom w:val="0"/>
                          <w:divBdr>
                            <w:top w:val="none" w:sz="0" w:space="0" w:color="auto"/>
                            <w:left w:val="none" w:sz="0" w:space="0" w:color="auto"/>
                            <w:bottom w:val="none" w:sz="0" w:space="0" w:color="auto"/>
                            <w:right w:val="none" w:sz="0" w:space="0" w:color="auto"/>
                          </w:divBdr>
                        </w:div>
                        <w:div w:id="385379895">
                          <w:marLeft w:val="640"/>
                          <w:marRight w:val="0"/>
                          <w:marTop w:val="0"/>
                          <w:marBottom w:val="0"/>
                          <w:divBdr>
                            <w:top w:val="none" w:sz="0" w:space="0" w:color="auto"/>
                            <w:left w:val="none" w:sz="0" w:space="0" w:color="auto"/>
                            <w:bottom w:val="none" w:sz="0" w:space="0" w:color="auto"/>
                            <w:right w:val="none" w:sz="0" w:space="0" w:color="auto"/>
                          </w:divBdr>
                        </w:div>
                        <w:div w:id="1475561475">
                          <w:marLeft w:val="640"/>
                          <w:marRight w:val="0"/>
                          <w:marTop w:val="0"/>
                          <w:marBottom w:val="0"/>
                          <w:divBdr>
                            <w:top w:val="none" w:sz="0" w:space="0" w:color="auto"/>
                            <w:left w:val="none" w:sz="0" w:space="0" w:color="auto"/>
                            <w:bottom w:val="none" w:sz="0" w:space="0" w:color="auto"/>
                            <w:right w:val="none" w:sz="0" w:space="0" w:color="auto"/>
                          </w:divBdr>
                        </w:div>
                        <w:div w:id="821001491">
                          <w:marLeft w:val="640"/>
                          <w:marRight w:val="0"/>
                          <w:marTop w:val="0"/>
                          <w:marBottom w:val="0"/>
                          <w:divBdr>
                            <w:top w:val="none" w:sz="0" w:space="0" w:color="auto"/>
                            <w:left w:val="none" w:sz="0" w:space="0" w:color="auto"/>
                            <w:bottom w:val="none" w:sz="0" w:space="0" w:color="auto"/>
                            <w:right w:val="none" w:sz="0" w:space="0" w:color="auto"/>
                          </w:divBdr>
                        </w:div>
                        <w:div w:id="1166095699">
                          <w:marLeft w:val="640"/>
                          <w:marRight w:val="0"/>
                          <w:marTop w:val="0"/>
                          <w:marBottom w:val="0"/>
                          <w:divBdr>
                            <w:top w:val="none" w:sz="0" w:space="0" w:color="auto"/>
                            <w:left w:val="none" w:sz="0" w:space="0" w:color="auto"/>
                            <w:bottom w:val="none" w:sz="0" w:space="0" w:color="auto"/>
                            <w:right w:val="none" w:sz="0" w:space="0" w:color="auto"/>
                          </w:divBdr>
                        </w:div>
                        <w:div w:id="1696422522">
                          <w:marLeft w:val="640"/>
                          <w:marRight w:val="0"/>
                          <w:marTop w:val="0"/>
                          <w:marBottom w:val="0"/>
                          <w:divBdr>
                            <w:top w:val="none" w:sz="0" w:space="0" w:color="auto"/>
                            <w:left w:val="none" w:sz="0" w:space="0" w:color="auto"/>
                            <w:bottom w:val="none" w:sz="0" w:space="0" w:color="auto"/>
                            <w:right w:val="none" w:sz="0" w:space="0" w:color="auto"/>
                          </w:divBdr>
                        </w:div>
                        <w:div w:id="1357267062">
                          <w:marLeft w:val="640"/>
                          <w:marRight w:val="0"/>
                          <w:marTop w:val="0"/>
                          <w:marBottom w:val="0"/>
                          <w:divBdr>
                            <w:top w:val="none" w:sz="0" w:space="0" w:color="auto"/>
                            <w:left w:val="none" w:sz="0" w:space="0" w:color="auto"/>
                            <w:bottom w:val="none" w:sz="0" w:space="0" w:color="auto"/>
                            <w:right w:val="none" w:sz="0" w:space="0" w:color="auto"/>
                          </w:divBdr>
                        </w:div>
                        <w:div w:id="1921671224">
                          <w:marLeft w:val="640"/>
                          <w:marRight w:val="0"/>
                          <w:marTop w:val="0"/>
                          <w:marBottom w:val="0"/>
                          <w:divBdr>
                            <w:top w:val="none" w:sz="0" w:space="0" w:color="auto"/>
                            <w:left w:val="none" w:sz="0" w:space="0" w:color="auto"/>
                            <w:bottom w:val="none" w:sz="0" w:space="0" w:color="auto"/>
                            <w:right w:val="none" w:sz="0" w:space="0" w:color="auto"/>
                          </w:divBdr>
                        </w:div>
                        <w:div w:id="634457931">
                          <w:marLeft w:val="640"/>
                          <w:marRight w:val="0"/>
                          <w:marTop w:val="0"/>
                          <w:marBottom w:val="0"/>
                          <w:divBdr>
                            <w:top w:val="none" w:sz="0" w:space="0" w:color="auto"/>
                            <w:left w:val="none" w:sz="0" w:space="0" w:color="auto"/>
                            <w:bottom w:val="none" w:sz="0" w:space="0" w:color="auto"/>
                            <w:right w:val="none" w:sz="0" w:space="0" w:color="auto"/>
                          </w:divBdr>
                        </w:div>
                        <w:div w:id="14426331">
                          <w:marLeft w:val="640"/>
                          <w:marRight w:val="0"/>
                          <w:marTop w:val="0"/>
                          <w:marBottom w:val="0"/>
                          <w:divBdr>
                            <w:top w:val="none" w:sz="0" w:space="0" w:color="auto"/>
                            <w:left w:val="none" w:sz="0" w:space="0" w:color="auto"/>
                            <w:bottom w:val="none" w:sz="0" w:space="0" w:color="auto"/>
                            <w:right w:val="none" w:sz="0" w:space="0" w:color="auto"/>
                          </w:divBdr>
                        </w:div>
                        <w:div w:id="2073847039">
                          <w:marLeft w:val="640"/>
                          <w:marRight w:val="0"/>
                          <w:marTop w:val="0"/>
                          <w:marBottom w:val="0"/>
                          <w:divBdr>
                            <w:top w:val="none" w:sz="0" w:space="0" w:color="auto"/>
                            <w:left w:val="none" w:sz="0" w:space="0" w:color="auto"/>
                            <w:bottom w:val="none" w:sz="0" w:space="0" w:color="auto"/>
                            <w:right w:val="none" w:sz="0" w:space="0" w:color="auto"/>
                          </w:divBdr>
                        </w:div>
                        <w:div w:id="681785549">
                          <w:marLeft w:val="640"/>
                          <w:marRight w:val="0"/>
                          <w:marTop w:val="0"/>
                          <w:marBottom w:val="0"/>
                          <w:divBdr>
                            <w:top w:val="none" w:sz="0" w:space="0" w:color="auto"/>
                            <w:left w:val="none" w:sz="0" w:space="0" w:color="auto"/>
                            <w:bottom w:val="none" w:sz="0" w:space="0" w:color="auto"/>
                            <w:right w:val="none" w:sz="0" w:space="0" w:color="auto"/>
                          </w:divBdr>
                        </w:div>
                        <w:div w:id="284774271">
                          <w:marLeft w:val="640"/>
                          <w:marRight w:val="0"/>
                          <w:marTop w:val="0"/>
                          <w:marBottom w:val="0"/>
                          <w:divBdr>
                            <w:top w:val="none" w:sz="0" w:space="0" w:color="auto"/>
                            <w:left w:val="none" w:sz="0" w:space="0" w:color="auto"/>
                            <w:bottom w:val="none" w:sz="0" w:space="0" w:color="auto"/>
                            <w:right w:val="none" w:sz="0" w:space="0" w:color="auto"/>
                          </w:divBdr>
                        </w:div>
                        <w:div w:id="784543116">
                          <w:marLeft w:val="640"/>
                          <w:marRight w:val="0"/>
                          <w:marTop w:val="0"/>
                          <w:marBottom w:val="0"/>
                          <w:divBdr>
                            <w:top w:val="none" w:sz="0" w:space="0" w:color="auto"/>
                            <w:left w:val="none" w:sz="0" w:space="0" w:color="auto"/>
                            <w:bottom w:val="none" w:sz="0" w:space="0" w:color="auto"/>
                            <w:right w:val="none" w:sz="0" w:space="0" w:color="auto"/>
                          </w:divBdr>
                        </w:div>
                        <w:div w:id="1647776567">
                          <w:marLeft w:val="640"/>
                          <w:marRight w:val="0"/>
                          <w:marTop w:val="0"/>
                          <w:marBottom w:val="0"/>
                          <w:divBdr>
                            <w:top w:val="none" w:sz="0" w:space="0" w:color="auto"/>
                            <w:left w:val="none" w:sz="0" w:space="0" w:color="auto"/>
                            <w:bottom w:val="none" w:sz="0" w:space="0" w:color="auto"/>
                            <w:right w:val="none" w:sz="0" w:space="0" w:color="auto"/>
                          </w:divBdr>
                        </w:div>
                        <w:div w:id="314844183">
                          <w:marLeft w:val="640"/>
                          <w:marRight w:val="0"/>
                          <w:marTop w:val="0"/>
                          <w:marBottom w:val="0"/>
                          <w:divBdr>
                            <w:top w:val="none" w:sz="0" w:space="0" w:color="auto"/>
                            <w:left w:val="none" w:sz="0" w:space="0" w:color="auto"/>
                            <w:bottom w:val="none" w:sz="0" w:space="0" w:color="auto"/>
                            <w:right w:val="none" w:sz="0" w:space="0" w:color="auto"/>
                          </w:divBdr>
                        </w:div>
                        <w:div w:id="1236429624">
                          <w:marLeft w:val="640"/>
                          <w:marRight w:val="0"/>
                          <w:marTop w:val="0"/>
                          <w:marBottom w:val="0"/>
                          <w:divBdr>
                            <w:top w:val="none" w:sz="0" w:space="0" w:color="auto"/>
                            <w:left w:val="none" w:sz="0" w:space="0" w:color="auto"/>
                            <w:bottom w:val="none" w:sz="0" w:space="0" w:color="auto"/>
                            <w:right w:val="none" w:sz="0" w:space="0" w:color="auto"/>
                          </w:divBdr>
                        </w:div>
                        <w:div w:id="136995037">
                          <w:marLeft w:val="640"/>
                          <w:marRight w:val="0"/>
                          <w:marTop w:val="0"/>
                          <w:marBottom w:val="0"/>
                          <w:divBdr>
                            <w:top w:val="none" w:sz="0" w:space="0" w:color="auto"/>
                            <w:left w:val="none" w:sz="0" w:space="0" w:color="auto"/>
                            <w:bottom w:val="none" w:sz="0" w:space="0" w:color="auto"/>
                            <w:right w:val="none" w:sz="0" w:space="0" w:color="auto"/>
                          </w:divBdr>
                        </w:div>
                        <w:div w:id="772625369">
                          <w:marLeft w:val="640"/>
                          <w:marRight w:val="0"/>
                          <w:marTop w:val="0"/>
                          <w:marBottom w:val="0"/>
                          <w:divBdr>
                            <w:top w:val="none" w:sz="0" w:space="0" w:color="auto"/>
                            <w:left w:val="none" w:sz="0" w:space="0" w:color="auto"/>
                            <w:bottom w:val="none" w:sz="0" w:space="0" w:color="auto"/>
                            <w:right w:val="none" w:sz="0" w:space="0" w:color="auto"/>
                          </w:divBdr>
                        </w:div>
                        <w:div w:id="35785875">
                          <w:marLeft w:val="640"/>
                          <w:marRight w:val="0"/>
                          <w:marTop w:val="0"/>
                          <w:marBottom w:val="0"/>
                          <w:divBdr>
                            <w:top w:val="none" w:sz="0" w:space="0" w:color="auto"/>
                            <w:left w:val="none" w:sz="0" w:space="0" w:color="auto"/>
                            <w:bottom w:val="none" w:sz="0" w:space="0" w:color="auto"/>
                            <w:right w:val="none" w:sz="0" w:space="0" w:color="auto"/>
                          </w:divBdr>
                        </w:div>
                        <w:div w:id="463541996">
                          <w:marLeft w:val="640"/>
                          <w:marRight w:val="0"/>
                          <w:marTop w:val="0"/>
                          <w:marBottom w:val="0"/>
                          <w:divBdr>
                            <w:top w:val="none" w:sz="0" w:space="0" w:color="auto"/>
                            <w:left w:val="none" w:sz="0" w:space="0" w:color="auto"/>
                            <w:bottom w:val="none" w:sz="0" w:space="0" w:color="auto"/>
                            <w:right w:val="none" w:sz="0" w:space="0" w:color="auto"/>
                          </w:divBdr>
                        </w:div>
                        <w:div w:id="1297762131">
                          <w:marLeft w:val="640"/>
                          <w:marRight w:val="0"/>
                          <w:marTop w:val="0"/>
                          <w:marBottom w:val="0"/>
                          <w:divBdr>
                            <w:top w:val="none" w:sz="0" w:space="0" w:color="auto"/>
                            <w:left w:val="none" w:sz="0" w:space="0" w:color="auto"/>
                            <w:bottom w:val="none" w:sz="0" w:space="0" w:color="auto"/>
                            <w:right w:val="none" w:sz="0" w:space="0" w:color="auto"/>
                          </w:divBdr>
                        </w:div>
                        <w:div w:id="1219629210">
                          <w:marLeft w:val="640"/>
                          <w:marRight w:val="0"/>
                          <w:marTop w:val="0"/>
                          <w:marBottom w:val="0"/>
                          <w:divBdr>
                            <w:top w:val="none" w:sz="0" w:space="0" w:color="auto"/>
                            <w:left w:val="none" w:sz="0" w:space="0" w:color="auto"/>
                            <w:bottom w:val="none" w:sz="0" w:space="0" w:color="auto"/>
                            <w:right w:val="none" w:sz="0" w:space="0" w:color="auto"/>
                          </w:divBdr>
                        </w:div>
                        <w:div w:id="1730181005">
                          <w:marLeft w:val="640"/>
                          <w:marRight w:val="0"/>
                          <w:marTop w:val="0"/>
                          <w:marBottom w:val="0"/>
                          <w:divBdr>
                            <w:top w:val="none" w:sz="0" w:space="0" w:color="auto"/>
                            <w:left w:val="none" w:sz="0" w:space="0" w:color="auto"/>
                            <w:bottom w:val="none" w:sz="0" w:space="0" w:color="auto"/>
                            <w:right w:val="none" w:sz="0" w:space="0" w:color="auto"/>
                          </w:divBdr>
                        </w:div>
                        <w:div w:id="773671695">
                          <w:marLeft w:val="640"/>
                          <w:marRight w:val="0"/>
                          <w:marTop w:val="0"/>
                          <w:marBottom w:val="0"/>
                          <w:divBdr>
                            <w:top w:val="none" w:sz="0" w:space="0" w:color="auto"/>
                            <w:left w:val="none" w:sz="0" w:space="0" w:color="auto"/>
                            <w:bottom w:val="none" w:sz="0" w:space="0" w:color="auto"/>
                            <w:right w:val="none" w:sz="0" w:space="0" w:color="auto"/>
                          </w:divBdr>
                        </w:div>
                      </w:divsChild>
                    </w:div>
                    <w:div w:id="42676450">
                      <w:marLeft w:val="0"/>
                      <w:marRight w:val="0"/>
                      <w:marTop w:val="0"/>
                      <w:marBottom w:val="0"/>
                      <w:divBdr>
                        <w:top w:val="none" w:sz="0" w:space="0" w:color="auto"/>
                        <w:left w:val="none" w:sz="0" w:space="0" w:color="auto"/>
                        <w:bottom w:val="none" w:sz="0" w:space="0" w:color="auto"/>
                        <w:right w:val="none" w:sz="0" w:space="0" w:color="auto"/>
                      </w:divBdr>
                      <w:divsChild>
                        <w:div w:id="1698845823">
                          <w:marLeft w:val="640"/>
                          <w:marRight w:val="0"/>
                          <w:marTop w:val="0"/>
                          <w:marBottom w:val="0"/>
                          <w:divBdr>
                            <w:top w:val="none" w:sz="0" w:space="0" w:color="auto"/>
                            <w:left w:val="none" w:sz="0" w:space="0" w:color="auto"/>
                            <w:bottom w:val="none" w:sz="0" w:space="0" w:color="auto"/>
                            <w:right w:val="none" w:sz="0" w:space="0" w:color="auto"/>
                          </w:divBdr>
                        </w:div>
                        <w:div w:id="1191994061">
                          <w:marLeft w:val="640"/>
                          <w:marRight w:val="0"/>
                          <w:marTop w:val="0"/>
                          <w:marBottom w:val="0"/>
                          <w:divBdr>
                            <w:top w:val="none" w:sz="0" w:space="0" w:color="auto"/>
                            <w:left w:val="none" w:sz="0" w:space="0" w:color="auto"/>
                            <w:bottom w:val="none" w:sz="0" w:space="0" w:color="auto"/>
                            <w:right w:val="none" w:sz="0" w:space="0" w:color="auto"/>
                          </w:divBdr>
                        </w:div>
                        <w:div w:id="1145124979">
                          <w:marLeft w:val="640"/>
                          <w:marRight w:val="0"/>
                          <w:marTop w:val="0"/>
                          <w:marBottom w:val="0"/>
                          <w:divBdr>
                            <w:top w:val="none" w:sz="0" w:space="0" w:color="auto"/>
                            <w:left w:val="none" w:sz="0" w:space="0" w:color="auto"/>
                            <w:bottom w:val="none" w:sz="0" w:space="0" w:color="auto"/>
                            <w:right w:val="none" w:sz="0" w:space="0" w:color="auto"/>
                          </w:divBdr>
                        </w:div>
                        <w:div w:id="777023194">
                          <w:marLeft w:val="640"/>
                          <w:marRight w:val="0"/>
                          <w:marTop w:val="0"/>
                          <w:marBottom w:val="0"/>
                          <w:divBdr>
                            <w:top w:val="none" w:sz="0" w:space="0" w:color="auto"/>
                            <w:left w:val="none" w:sz="0" w:space="0" w:color="auto"/>
                            <w:bottom w:val="none" w:sz="0" w:space="0" w:color="auto"/>
                            <w:right w:val="none" w:sz="0" w:space="0" w:color="auto"/>
                          </w:divBdr>
                        </w:div>
                        <w:div w:id="1925802354">
                          <w:marLeft w:val="640"/>
                          <w:marRight w:val="0"/>
                          <w:marTop w:val="0"/>
                          <w:marBottom w:val="0"/>
                          <w:divBdr>
                            <w:top w:val="none" w:sz="0" w:space="0" w:color="auto"/>
                            <w:left w:val="none" w:sz="0" w:space="0" w:color="auto"/>
                            <w:bottom w:val="none" w:sz="0" w:space="0" w:color="auto"/>
                            <w:right w:val="none" w:sz="0" w:space="0" w:color="auto"/>
                          </w:divBdr>
                        </w:div>
                        <w:div w:id="504445557">
                          <w:marLeft w:val="640"/>
                          <w:marRight w:val="0"/>
                          <w:marTop w:val="0"/>
                          <w:marBottom w:val="0"/>
                          <w:divBdr>
                            <w:top w:val="none" w:sz="0" w:space="0" w:color="auto"/>
                            <w:left w:val="none" w:sz="0" w:space="0" w:color="auto"/>
                            <w:bottom w:val="none" w:sz="0" w:space="0" w:color="auto"/>
                            <w:right w:val="none" w:sz="0" w:space="0" w:color="auto"/>
                          </w:divBdr>
                        </w:div>
                        <w:div w:id="231889474">
                          <w:marLeft w:val="640"/>
                          <w:marRight w:val="0"/>
                          <w:marTop w:val="0"/>
                          <w:marBottom w:val="0"/>
                          <w:divBdr>
                            <w:top w:val="none" w:sz="0" w:space="0" w:color="auto"/>
                            <w:left w:val="none" w:sz="0" w:space="0" w:color="auto"/>
                            <w:bottom w:val="none" w:sz="0" w:space="0" w:color="auto"/>
                            <w:right w:val="none" w:sz="0" w:space="0" w:color="auto"/>
                          </w:divBdr>
                        </w:div>
                        <w:div w:id="545331792">
                          <w:marLeft w:val="640"/>
                          <w:marRight w:val="0"/>
                          <w:marTop w:val="0"/>
                          <w:marBottom w:val="0"/>
                          <w:divBdr>
                            <w:top w:val="none" w:sz="0" w:space="0" w:color="auto"/>
                            <w:left w:val="none" w:sz="0" w:space="0" w:color="auto"/>
                            <w:bottom w:val="none" w:sz="0" w:space="0" w:color="auto"/>
                            <w:right w:val="none" w:sz="0" w:space="0" w:color="auto"/>
                          </w:divBdr>
                        </w:div>
                        <w:div w:id="251358690">
                          <w:marLeft w:val="640"/>
                          <w:marRight w:val="0"/>
                          <w:marTop w:val="0"/>
                          <w:marBottom w:val="0"/>
                          <w:divBdr>
                            <w:top w:val="none" w:sz="0" w:space="0" w:color="auto"/>
                            <w:left w:val="none" w:sz="0" w:space="0" w:color="auto"/>
                            <w:bottom w:val="none" w:sz="0" w:space="0" w:color="auto"/>
                            <w:right w:val="none" w:sz="0" w:space="0" w:color="auto"/>
                          </w:divBdr>
                        </w:div>
                        <w:div w:id="763576469">
                          <w:marLeft w:val="640"/>
                          <w:marRight w:val="0"/>
                          <w:marTop w:val="0"/>
                          <w:marBottom w:val="0"/>
                          <w:divBdr>
                            <w:top w:val="none" w:sz="0" w:space="0" w:color="auto"/>
                            <w:left w:val="none" w:sz="0" w:space="0" w:color="auto"/>
                            <w:bottom w:val="none" w:sz="0" w:space="0" w:color="auto"/>
                            <w:right w:val="none" w:sz="0" w:space="0" w:color="auto"/>
                          </w:divBdr>
                        </w:div>
                        <w:div w:id="1930698886">
                          <w:marLeft w:val="640"/>
                          <w:marRight w:val="0"/>
                          <w:marTop w:val="0"/>
                          <w:marBottom w:val="0"/>
                          <w:divBdr>
                            <w:top w:val="none" w:sz="0" w:space="0" w:color="auto"/>
                            <w:left w:val="none" w:sz="0" w:space="0" w:color="auto"/>
                            <w:bottom w:val="none" w:sz="0" w:space="0" w:color="auto"/>
                            <w:right w:val="none" w:sz="0" w:space="0" w:color="auto"/>
                          </w:divBdr>
                        </w:div>
                        <w:div w:id="1100103466">
                          <w:marLeft w:val="640"/>
                          <w:marRight w:val="0"/>
                          <w:marTop w:val="0"/>
                          <w:marBottom w:val="0"/>
                          <w:divBdr>
                            <w:top w:val="none" w:sz="0" w:space="0" w:color="auto"/>
                            <w:left w:val="none" w:sz="0" w:space="0" w:color="auto"/>
                            <w:bottom w:val="none" w:sz="0" w:space="0" w:color="auto"/>
                            <w:right w:val="none" w:sz="0" w:space="0" w:color="auto"/>
                          </w:divBdr>
                        </w:div>
                        <w:div w:id="227618621">
                          <w:marLeft w:val="640"/>
                          <w:marRight w:val="0"/>
                          <w:marTop w:val="0"/>
                          <w:marBottom w:val="0"/>
                          <w:divBdr>
                            <w:top w:val="none" w:sz="0" w:space="0" w:color="auto"/>
                            <w:left w:val="none" w:sz="0" w:space="0" w:color="auto"/>
                            <w:bottom w:val="none" w:sz="0" w:space="0" w:color="auto"/>
                            <w:right w:val="none" w:sz="0" w:space="0" w:color="auto"/>
                          </w:divBdr>
                        </w:div>
                        <w:div w:id="811019561">
                          <w:marLeft w:val="640"/>
                          <w:marRight w:val="0"/>
                          <w:marTop w:val="0"/>
                          <w:marBottom w:val="0"/>
                          <w:divBdr>
                            <w:top w:val="none" w:sz="0" w:space="0" w:color="auto"/>
                            <w:left w:val="none" w:sz="0" w:space="0" w:color="auto"/>
                            <w:bottom w:val="none" w:sz="0" w:space="0" w:color="auto"/>
                            <w:right w:val="none" w:sz="0" w:space="0" w:color="auto"/>
                          </w:divBdr>
                        </w:div>
                        <w:div w:id="2120222364">
                          <w:marLeft w:val="640"/>
                          <w:marRight w:val="0"/>
                          <w:marTop w:val="0"/>
                          <w:marBottom w:val="0"/>
                          <w:divBdr>
                            <w:top w:val="none" w:sz="0" w:space="0" w:color="auto"/>
                            <w:left w:val="none" w:sz="0" w:space="0" w:color="auto"/>
                            <w:bottom w:val="none" w:sz="0" w:space="0" w:color="auto"/>
                            <w:right w:val="none" w:sz="0" w:space="0" w:color="auto"/>
                          </w:divBdr>
                        </w:div>
                        <w:div w:id="1546139723">
                          <w:marLeft w:val="640"/>
                          <w:marRight w:val="0"/>
                          <w:marTop w:val="0"/>
                          <w:marBottom w:val="0"/>
                          <w:divBdr>
                            <w:top w:val="none" w:sz="0" w:space="0" w:color="auto"/>
                            <w:left w:val="none" w:sz="0" w:space="0" w:color="auto"/>
                            <w:bottom w:val="none" w:sz="0" w:space="0" w:color="auto"/>
                            <w:right w:val="none" w:sz="0" w:space="0" w:color="auto"/>
                          </w:divBdr>
                        </w:div>
                        <w:div w:id="1839811157">
                          <w:marLeft w:val="640"/>
                          <w:marRight w:val="0"/>
                          <w:marTop w:val="0"/>
                          <w:marBottom w:val="0"/>
                          <w:divBdr>
                            <w:top w:val="none" w:sz="0" w:space="0" w:color="auto"/>
                            <w:left w:val="none" w:sz="0" w:space="0" w:color="auto"/>
                            <w:bottom w:val="none" w:sz="0" w:space="0" w:color="auto"/>
                            <w:right w:val="none" w:sz="0" w:space="0" w:color="auto"/>
                          </w:divBdr>
                        </w:div>
                        <w:div w:id="1012797517">
                          <w:marLeft w:val="640"/>
                          <w:marRight w:val="0"/>
                          <w:marTop w:val="0"/>
                          <w:marBottom w:val="0"/>
                          <w:divBdr>
                            <w:top w:val="none" w:sz="0" w:space="0" w:color="auto"/>
                            <w:left w:val="none" w:sz="0" w:space="0" w:color="auto"/>
                            <w:bottom w:val="none" w:sz="0" w:space="0" w:color="auto"/>
                            <w:right w:val="none" w:sz="0" w:space="0" w:color="auto"/>
                          </w:divBdr>
                        </w:div>
                        <w:div w:id="387916562">
                          <w:marLeft w:val="640"/>
                          <w:marRight w:val="0"/>
                          <w:marTop w:val="0"/>
                          <w:marBottom w:val="0"/>
                          <w:divBdr>
                            <w:top w:val="none" w:sz="0" w:space="0" w:color="auto"/>
                            <w:left w:val="none" w:sz="0" w:space="0" w:color="auto"/>
                            <w:bottom w:val="none" w:sz="0" w:space="0" w:color="auto"/>
                            <w:right w:val="none" w:sz="0" w:space="0" w:color="auto"/>
                          </w:divBdr>
                        </w:div>
                        <w:div w:id="2053721641">
                          <w:marLeft w:val="640"/>
                          <w:marRight w:val="0"/>
                          <w:marTop w:val="0"/>
                          <w:marBottom w:val="0"/>
                          <w:divBdr>
                            <w:top w:val="none" w:sz="0" w:space="0" w:color="auto"/>
                            <w:left w:val="none" w:sz="0" w:space="0" w:color="auto"/>
                            <w:bottom w:val="none" w:sz="0" w:space="0" w:color="auto"/>
                            <w:right w:val="none" w:sz="0" w:space="0" w:color="auto"/>
                          </w:divBdr>
                        </w:div>
                        <w:div w:id="1888026888">
                          <w:marLeft w:val="640"/>
                          <w:marRight w:val="0"/>
                          <w:marTop w:val="0"/>
                          <w:marBottom w:val="0"/>
                          <w:divBdr>
                            <w:top w:val="none" w:sz="0" w:space="0" w:color="auto"/>
                            <w:left w:val="none" w:sz="0" w:space="0" w:color="auto"/>
                            <w:bottom w:val="none" w:sz="0" w:space="0" w:color="auto"/>
                            <w:right w:val="none" w:sz="0" w:space="0" w:color="auto"/>
                          </w:divBdr>
                        </w:div>
                        <w:div w:id="86580060">
                          <w:marLeft w:val="640"/>
                          <w:marRight w:val="0"/>
                          <w:marTop w:val="0"/>
                          <w:marBottom w:val="0"/>
                          <w:divBdr>
                            <w:top w:val="none" w:sz="0" w:space="0" w:color="auto"/>
                            <w:left w:val="none" w:sz="0" w:space="0" w:color="auto"/>
                            <w:bottom w:val="none" w:sz="0" w:space="0" w:color="auto"/>
                            <w:right w:val="none" w:sz="0" w:space="0" w:color="auto"/>
                          </w:divBdr>
                        </w:div>
                        <w:div w:id="309022346">
                          <w:marLeft w:val="640"/>
                          <w:marRight w:val="0"/>
                          <w:marTop w:val="0"/>
                          <w:marBottom w:val="0"/>
                          <w:divBdr>
                            <w:top w:val="none" w:sz="0" w:space="0" w:color="auto"/>
                            <w:left w:val="none" w:sz="0" w:space="0" w:color="auto"/>
                            <w:bottom w:val="none" w:sz="0" w:space="0" w:color="auto"/>
                            <w:right w:val="none" w:sz="0" w:space="0" w:color="auto"/>
                          </w:divBdr>
                        </w:div>
                        <w:div w:id="575557839">
                          <w:marLeft w:val="640"/>
                          <w:marRight w:val="0"/>
                          <w:marTop w:val="0"/>
                          <w:marBottom w:val="0"/>
                          <w:divBdr>
                            <w:top w:val="none" w:sz="0" w:space="0" w:color="auto"/>
                            <w:left w:val="none" w:sz="0" w:space="0" w:color="auto"/>
                            <w:bottom w:val="none" w:sz="0" w:space="0" w:color="auto"/>
                            <w:right w:val="none" w:sz="0" w:space="0" w:color="auto"/>
                          </w:divBdr>
                        </w:div>
                        <w:div w:id="528180827">
                          <w:marLeft w:val="640"/>
                          <w:marRight w:val="0"/>
                          <w:marTop w:val="0"/>
                          <w:marBottom w:val="0"/>
                          <w:divBdr>
                            <w:top w:val="none" w:sz="0" w:space="0" w:color="auto"/>
                            <w:left w:val="none" w:sz="0" w:space="0" w:color="auto"/>
                            <w:bottom w:val="none" w:sz="0" w:space="0" w:color="auto"/>
                            <w:right w:val="none" w:sz="0" w:space="0" w:color="auto"/>
                          </w:divBdr>
                        </w:div>
                        <w:div w:id="464008464">
                          <w:marLeft w:val="640"/>
                          <w:marRight w:val="0"/>
                          <w:marTop w:val="0"/>
                          <w:marBottom w:val="0"/>
                          <w:divBdr>
                            <w:top w:val="none" w:sz="0" w:space="0" w:color="auto"/>
                            <w:left w:val="none" w:sz="0" w:space="0" w:color="auto"/>
                            <w:bottom w:val="none" w:sz="0" w:space="0" w:color="auto"/>
                            <w:right w:val="none" w:sz="0" w:space="0" w:color="auto"/>
                          </w:divBdr>
                        </w:div>
                      </w:divsChild>
                    </w:div>
                    <w:div w:id="1278180235">
                      <w:marLeft w:val="0"/>
                      <w:marRight w:val="0"/>
                      <w:marTop w:val="0"/>
                      <w:marBottom w:val="0"/>
                      <w:divBdr>
                        <w:top w:val="none" w:sz="0" w:space="0" w:color="auto"/>
                        <w:left w:val="none" w:sz="0" w:space="0" w:color="auto"/>
                        <w:bottom w:val="none" w:sz="0" w:space="0" w:color="auto"/>
                        <w:right w:val="none" w:sz="0" w:space="0" w:color="auto"/>
                      </w:divBdr>
                      <w:divsChild>
                        <w:div w:id="158694882">
                          <w:marLeft w:val="640"/>
                          <w:marRight w:val="0"/>
                          <w:marTop w:val="0"/>
                          <w:marBottom w:val="0"/>
                          <w:divBdr>
                            <w:top w:val="none" w:sz="0" w:space="0" w:color="auto"/>
                            <w:left w:val="none" w:sz="0" w:space="0" w:color="auto"/>
                            <w:bottom w:val="none" w:sz="0" w:space="0" w:color="auto"/>
                            <w:right w:val="none" w:sz="0" w:space="0" w:color="auto"/>
                          </w:divBdr>
                        </w:div>
                        <w:div w:id="1338311759">
                          <w:marLeft w:val="640"/>
                          <w:marRight w:val="0"/>
                          <w:marTop w:val="0"/>
                          <w:marBottom w:val="0"/>
                          <w:divBdr>
                            <w:top w:val="none" w:sz="0" w:space="0" w:color="auto"/>
                            <w:left w:val="none" w:sz="0" w:space="0" w:color="auto"/>
                            <w:bottom w:val="none" w:sz="0" w:space="0" w:color="auto"/>
                            <w:right w:val="none" w:sz="0" w:space="0" w:color="auto"/>
                          </w:divBdr>
                        </w:div>
                        <w:div w:id="983464534">
                          <w:marLeft w:val="640"/>
                          <w:marRight w:val="0"/>
                          <w:marTop w:val="0"/>
                          <w:marBottom w:val="0"/>
                          <w:divBdr>
                            <w:top w:val="none" w:sz="0" w:space="0" w:color="auto"/>
                            <w:left w:val="none" w:sz="0" w:space="0" w:color="auto"/>
                            <w:bottom w:val="none" w:sz="0" w:space="0" w:color="auto"/>
                            <w:right w:val="none" w:sz="0" w:space="0" w:color="auto"/>
                          </w:divBdr>
                        </w:div>
                        <w:div w:id="1508327895">
                          <w:marLeft w:val="640"/>
                          <w:marRight w:val="0"/>
                          <w:marTop w:val="0"/>
                          <w:marBottom w:val="0"/>
                          <w:divBdr>
                            <w:top w:val="none" w:sz="0" w:space="0" w:color="auto"/>
                            <w:left w:val="none" w:sz="0" w:space="0" w:color="auto"/>
                            <w:bottom w:val="none" w:sz="0" w:space="0" w:color="auto"/>
                            <w:right w:val="none" w:sz="0" w:space="0" w:color="auto"/>
                          </w:divBdr>
                        </w:div>
                        <w:div w:id="285933721">
                          <w:marLeft w:val="640"/>
                          <w:marRight w:val="0"/>
                          <w:marTop w:val="0"/>
                          <w:marBottom w:val="0"/>
                          <w:divBdr>
                            <w:top w:val="none" w:sz="0" w:space="0" w:color="auto"/>
                            <w:left w:val="none" w:sz="0" w:space="0" w:color="auto"/>
                            <w:bottom w:val="none" w:sz="0" w:space="0" w:color="auto"/>
                            <w:right w:val="none" w:sz="0" w:space="0" w:color="auto"/>
                          </w:divBdr>
                        </w:div>
                        <w:div w:id="1182356025">
                          <w:marLeft w:val="640"/>
                          <w:marRight w:val="0"/>
                          <w:marTop w:val="0"/>
                          <w:marBottom w:val="0"/>
                          <w:divBdr>
                            <w:top w:val="none" w:sz="0" w:space="0" w:color="auto"/>
                            <w:left w:val="none" w:sz="0" w:space="0" w:color="auto"/>
                            <w:bottom w:val="none" w:sz="0" w:space="0" w:color="auto"/>
                            <w:right w:val="none" w:sz="0" w:space="0" w:color="auto"/>
                          </w:divBdr>
                        </w:div>
                        <w:div w:id="410153789">
                          <w:marLeft w:val="640"/>
                          <w:marRight w:val="0"/>
                          <w:marTop w:val="0"/>
                          <w:marBottom w:val="0"/>
                          <w:divBdr>
                            <w:top w:val="none" w:sz="0" w:space="0" w:color="auto"/>
                            <w:left w:val="none" w:sz="0" w:space="0" w:color="auto"/>
                            <w:bottom w:val="none" w:sz="0" w:space="0" w:color="auto"/>
                            <w:right w:val="none" w:sz="0" w:space="0" w:color="auto"/>
                          </w:divBdr>
                        </w:div>
                        <w:div w:id="2037541637">
                          <w:marLeft w:val="640"/>
                          <w:marRight w:val="0"/>
                          <w:marTop w:val="0"/>
                          <w:marBottom w:val="0"/>
                          <w:divBdr>
                            <w:top w:val="none" w:sz="0" w:space="0" w:color="auto"/>
                            <w:left w:val="none" w:sz="0" w:space="0" w:color="auto"/>
                            <w:bottom w:val="none" w:sz="0" w:space="0" w:color="auto"/>
                            <w:right w:val="none" w:sz="0" w:space="0" w:color="auto"/>
                          </w:divBdr>
                        </w:div>
                        <w:div w:id="1859733190">
                          <w:marLeft w:val="640"/>
                          <w:marRight w:val="0"/>
                          <w:marTop w:val="0"/>
                          <w:marBottom w:val="0"/>
                          <w:divBdr>
                            <w:top w:val="none" w:sz="0" w:space="0" w:color="auto"/>
                            <w:left w:val="none" w:sz="0" w:space="0" w:color="auto"/>
                            <w:bottom w:val="none" w:sz="0" w:space="0" w:color="auto"/>
                            <w:right w:val="none" w:sz="0" w:space="0" w:color="auto"/>
                          </w:divBdr>
                        </w:div>
                        <w:div w:id="537207379">
                          <w:marLeft w:val="640"/>
                          <w:marRight w:val="0"/>
                          <w:marTop w:val="0"/>
                          <w:marBottom w:val="0"/>
                          <w:divBdr>
                            <w:top w:val="none" w:sz="0" w:space="0" w:color="auto"/>
                            <w:left w:val="none" w:sz="0" w:space="0" w:color="auto"/>
                            <w:bottom w:val="none" w:sz="0" w:space="0" w:color="auto"/>
                            <w:right w:val="none" w:sz="0" w:space="0" w:color="auto"/>
                          </w:divBdr>
                        </w:div>
                        <w:div w:id="1442843313">
                          <w:marLeft w:val="640"/>
                          <w:marRight w:val="0"/>
                          <w:marTop w:val="0"/>
                          <w:marBottom w:val="0"/>
                          <w:divBdr>
                            <w:top w:val="none" w:sz="0" w:space="0" w:color="auto"/>
                            <w:left w:val="none" w:sz="0" w:space="0" w:color="auto"/>
                            <w:bottom w:val="none" w:sz="0" w:space="0" w:color="auto"/>
                            <w:right w:val="none" w:sz="0" w:space="0" w:color="auto"/>
                          </w:divBdr>
                        </w:div>
                        <w:div w:id="1712875236">
                          <w:marLeft w:val="640"/>
                          <w:marRight w:val="0"/>
                          <w:marTop w:val="0"/>
                          <w:marBottom w:val="0"/>
                          <w:divBdr>
                            <w:top w:val="none" w:sz="0" w:space="0" w:color="auto"/>
                            <w:left w:val="none" w:sz="0" w:space="0" w:color="auto"/>
                            <w:bottom w:val="none" w:sz="0" w:space="0" w:color="auto"/>
                            <w:right w:val="none" w:sz="0" w:space="0" w:color="auto"/>
                          </w:divBdr>
                        </w:div>
                        <w:div w:id="1755860948">
                          <w:marLeft w:val="640"/>
                          <w:marRight w:val="0"/>
                          <w:marTop w:val="0"/>
                          <w:marBottom w:val="0"/>
                          <w:divBdr>
                            <w:top w:val="none" w:sz="0" w:space="0" w:color="auto"/>
                            <w:left w:val="none" w:sz="0" w:space="0" w:color="auto"/>
                            <w:bottom w:val="none" w:sz="0" w:space="0" w:color="auto"/>
                            <w:right w:val="none" w:sz="0" w:space="0" w:color="auto"/>
                          </w:divBdr>
                        </w:div>
                        <w:div w:id="448667174">
                          <w:marLeft w:val="640"/>
                          <w:marRight w:val="0"/>
                          <w:marTop w:val="0"/>
                          <w:marBottom w:val="0"/>
                          <w:divBdr>
                            <w:top w:val="none" w:sz="0" w:space="0" w:color="auto"/>
                            <w:left w:val="none" w:sz="0" w:space="0" w:color="auto"/>
                            <w:bottom w:val="none" w:sz="0" w:space="0" w:color="auto"/>
                            <w:right w:val="none" w:sz="0" w:space="0" w:color="auto"/>
                          </w:divBdr>
                        </w:div>
                        <w:div w:id="20513859">
                          <w:marLeft w:val="640"/>
                          <w:marRight w:val="0"/>
                          <w:marTop w:val="0"/>
                          <w:marBottom w:val="0"/>
                          <w:divBdr>
                            <w:top w:val="none" w:sz="0" w:space="0" w:color="auto"/>
                            <w:left w:val="none" w:sz="0" w:space="0" w:color="auto"/>
                            <w:bottom w:val="none" w:sz="0" w:space="0" w:color="auto"/>
                            <w:right w:val="none" w:sz="0" w:space="0" w:color="auto"/>
                          </w:divBdr>
                        </w:div>
                        <w:div w:id="1009530399">
                          <w:marLeft w:val="640"/>
                          <w:marRight w:val="0"/>
                          <w:marTop w:val="0"/>
                          <w:marBottom w:val="0"/>
                          <w:divBdr>
                            <w:top w:val="none" w:sz="0" w:space="0" w:color="auto"/>
                            <w:left w:val="none" w:sz="0" w:space="0" w:color="auto"/>
                            <w:bottom w:val="none" w:sz="0" w:space="0" w:color="auto"/>
                            <w:right w:val="none" w:sz="0" w:space="0" w:color="auto"/>
                          </w:divBdr>
                        </w:div>
                        <w:div w:id="1473906536">
                          <w:marLeft w:val="640"/>
                          <w:marRight w:val="0"/>
                          <w:marTop w:val="0"/>
                          <w:marBottom w:val="0"/>
                          <w:divBdr>
                            <w:top w:val="none" w:sz="0" w:space="0" w:color="auto"/>
                            <w:left w:val="none" w:sz="0" w:space="0" w:color="auto"/>
                            <w:bottom w:val="none" w:sz="0" w:space="0" w:color="auto"/>
                            <w:right w:val="none" w:sz="0" w:space="0" w:color="auto"/>
                          </w:divBdr>
                        </w:div>
                        <w:div w:id="2075741386">
                          <w:marLeft w:val="640"/>
                          <w:marRight w:val="0"/>
                          <w:marTop w:val="0"/>
                          <w:marBottom w:val="0"/>
                          <w:divBdr>
                            <w:top w:val="none" w:sz="0" w:space="0" w:color="auto"/>
                            <w:left w:val="none" w:sz="0" w:space="0" w:color="auto"/>
                            <w:bottom w:val="none" w:sz="0" w:space="0" w:color="auto"/>
                            <w:right w:val="none" w:sz="0" w:space="0" w:color="auto"/>
                          </w:divBdr>
                        </w:div>
                        <w:div w:id="1264730642">
                          <w:marLeft w:val="640"/>
                          <w:marRight w:val="0"/>
                          <w:marTop w:val="0"/>
                          <w:marBottom w:val="0"/>
                          <w:divBdr>
                            <w:top w:val="none" w:sz="0" w:space="0" w:color="auto"/>
                            <w:left w:val="none" w:sz="0" w:space="0" w:color="auto"/>
                            <w:bottom w:val="none" w:sz="0" w:space="0" w:color="auto"/>
                            <w:right w:val="none" w:sz="0" w:space="0" w:color="auto"/>
                          </w:divBdr>
                        </w:div>
                        <w:div w:id="1575358583">
                          <w:marLeft w:val="640"/>
                          <w:marRight w:val="0"/>
                          <w:marTop w:val="0"/>
                          <w:marBottom w:val="0"/>
                          <w:divBdr>
                            <w:top w:val="none" w:sz="0" w:space="0" w:color="auto"/>
                            <w:left w:val="none" w:sz="0" w:space="0" w:color="auto"/>
                            <w:bottom w:val="none" w:sz="0" w:space="0" w:color="auto"/>
                            <w:right w:val="none" w:sz="0" w:space="0" w:color="auto"/>
                          </w:divBdr>
                        </w:div>
                        <w:div w:id="601495503">
                          <w:marLeft w:val="640"/>
                          <w:marRight w:val="0"/>
                          <w:marTop w:val="0"/>
                          <w:marBottom w:val="0"/>
                          <w:divBdr>
                            <w:top w:val="none" w:sz="0" w:space="0" w:color="auto"/>
                            <w:left w:val="none" w:sz="0" w:space="0" w:color="auto"/>
                            <w:bottom w:val="none" w:sz="0" w:space="0" w:color="auto"/>
                            <w:right w:val="none" w:sz="0" w:space="0" w:color="auto"/>
                          </w:divBdr>
                        </w:div>
                        <w:div w:id="30886732">
                          <w:marLeft w:val="640"/>
                          <w:marRight w:val="0"/>
                          <w:marTop w:val="0"/>
                          <w:marBottom w:val="0"/>
                          <w:divBdr>
                            <w:top w:val="none" w:sz="0" w:space="0" w:color="auto"/>
                            <w:left w:val="none" w:sz="0" w:space="0" w:color="auto"/>
                            <w:bottom w:val="none" w:sz="0" w:space="0" w:color="auto"/>
                            <w:right w:val="none" w:sz="0" w:space="0" w:color="auto"/>
                          </w:divBdr>
                        </w:div>
                        <w:div w:id="2090884115">
                          <w:marLeft w:val="640"/>
                          <w:marRight w:val="0"/>
                          <w:marTop w:val="0"/>
                          <w:marBottom w:val="0"/>
                          <w:divBdr>
                            <w:top w:val="none" w:sz="0" w:space="0" w:color="auto"/>
                            <w:left w:val="none" w:sz="0" w:space="0" w:color="auto"/>
                            <w:bottom w:val="none" w:sz="0" w:space="0" w:color="auto"/>
                            <w:right w:val="none" w:sz="0" w:space="0" w:color="auto"/>
                          </w:divBdr>
                        </w:div>
                        <w:div w:id="1388450239">
                          <w:marLeft w:val="640"/>
                          <w:marRight w:val="0"/>
                          <w:marTop w:val="0"/>
                          <w:marBottom w:val="0"/>
                          <w:divBdr>
                            <w:top w:val="none" w:sz="0" w:space="0" w:color="auto"/>
                            <w:left w:val="none" w:sz="0" w:space="0" w:color="auto"/>
                            <w:bottom w:val="none" w:sz="0" w:space="0" w:color="auto"/>
                            <w:right w:val="none" w:sz="0" w:space="0" w:color="auto"/>
                          </w:divBdr>
                        </w:div>
                        <w:div w:id="855457766">
                          <w:marLeft w:val="640"/>
                          <w:marRight w:val="0"/>
                          <w:marTop w:val="0"/>
                          <w:marBottom w:val="0"/>
                          <w:divBdr>
                            <w:top w:val="none" w:sz="0" w:space="0" w:color="auto"/>
                            <w:left w:val="none" w:sz="0" w:space="0" w:color="auto"/>
                            <w:bottom w:val="none" w:sz="0" w:space="0" w:color="auto"/>
                            <w:right w:val="none" w:sz="0" w:space="0" w:color="auto"/>
                          </w:divBdr>
                        </w:div>
                        <w:div w:id="925115840">
                          <w:marLeft w:val="640"/>
                          <w:marRight w:val="0"/>
                          <w:marTop w:val="0"/>
                          <w:marBottom w:val="0"/>
                          <w:divBdr>
                            <w:top w:val="none" w:sz="0" w:space="0" w:color="auto"/>
                            <w:left w:val="none" w:sz="0" w:space="0" w:color="auto"/>
                            <w:bottom w:val="none" w:sz="0" w:space="0" w:color="auto"/>
                            <w:right w:val="none" w:sz="0" w:space="0" w:color="auto"/>
                          </w:divBdr>
                        </w:div>
                        <w:div w:id="654796567">
                          <w:marLeft w:val="640"/>
                          <w:marRight w:val="0"/>
                          <w:marTop w:val="0"/>
                          <w:marBottom w:val="0"/>
                          <w:divBdr>
                            <w:top w:val="none" w:sz="0" w:space="0" w:color="auto"/>
                            <w:left w:val="none" w:sz="0" w:space="0" w:color="auto"/>
                            <w:bottom w:val="none" w:sz="0" w:space="0" w:color="auto"/>
                            <w:right w:val="none" w:sz="0" w:space="0" w:color="auto"/>
                          </w:divBdr>
                        </w:div>
                      </w:divsChild>
                    </w:div>
                    <w:div w:id="932320094">
                      <w:marLeft w:val="0"/>
                      <w:marRight w:val="0"/>
                      <w:marTop w:val="0"/>
                      <w:marBottom w:val="0"/>
                      <w:divBdr>
                        <w:top w:val="none" w:sz="0" w:space="0" w:color="auto"/>
                        <w:left w:val="none" w:sz="0" w:space="0" w:color="auto"/>
                        <w:bottom w:val="none" w:sz="0" w:space="0" w:color="auto"/>
                        <w:right w:val="none" w:sz="0" w:space="0" w:color="auto"/>
                      </w:divBdr>
                      <w:divsChild>
                        <w:div w:id="1433814985">
                          <w:marLeft w:val="640"/>
                          <w:marRight w:val="0"/>
                          <w:marTop w:val="0"/>
                          <w:marBottom w:val="0"/>
                          <w:divBdr>
                            <w:top w:val="none" w:sz="0" w:space="0" w:color="auto"/>
                            <w:left w:val="none" w:sz="0" w:space="0" w:color="auto"/>
                            <w:bottom w:val="none" w:sz="0" w:space="0" w:color="auto"/>
                            <w:right w:val="none" w:sz="0" w:space="0" w:color="auto"/>
                          </w:divBdr>
                        </w:div>
                        <w:div w:id="570431964">
                          <w:marLeft w:val="640"/>
                          <w:marRight w:val="0"/>
                          <w:marTop w:val="0"/>
                          <w:marBottom w:val="0"/>
                          <w:divBdr>
                            <w:top w:val="none" w:sz="0" w:space="0" w:color="auto"/>
                            <w:left w:val="none" w:sz="0" w:space="0" w:color="auto"/>
                            <w:bottom w:val="none" w:sz="0" w:space="0" w:color="auto"/>
                            <w:right w:val="none" w:sz="0" w:space="0" w:color="auto"/>
                          </w:divBdr>
                        </w:div>
                        <w:div w:id="1427505943">
                          <w:marLeft w:val="640"/>
                          <w:marRight w:val="0"/>
                          <w:marTop w:val="0"/>
                          <w:marBottom w:val="0"/>
                          <w:divBdr>
                            <w:top w:val="none" w:sz="0" w:space="0" w:color="auto"/>
                            <w:left w:val="none" w:sz="0" w:space="0" w:color="auto"/>
                            <w:bottom w:val="none" w:sz="0" w:space="0" w:color="auto"/>
                            <w:right w:val="none" w:sz="0" w:space="0" w:color="auto"/>
                          </w:divBdr>
                        </w:div>
                        <w:div w:id="257253291">
                          <w:marLeft w:val="640"/>
                          <w:marRight w:val="0"/>
                          <w:marTop w:val="0"/>
                          <w:marBottom w:val="0"/>
                          <w:divBdr>
                            <w:top w:val="none" w:sz="0" w:space="0" w:color="auto"/>
                            <w:left w:val="none" w:sz="0" w:space="0" w:color="auto"/>
                            <w:bottom w:val="none" w:sz="0" w:space="0" w:color="auto"/>
                            <w:right w:val="none" w:sz="0" w:space="0" w:color="auto"/>
                          </w:divBdr>
                        </w:div>
                        <w:div w:id="744455913">
                          <w:marLeft w:val="640"/>
                          <w:marRight w:val="0"/>
                          <w:marTop w:val="0"/>
                          <w:marBottom w:val="0"/>
                          <w:divBdr>
                            <w:top w:val="none" w:sz="0" w:space="0" w:color="auto"/>
                            <w:left w:val="none" w:sz="0" w:space="0" w:color="auto"/>
                            <w:bottom w:val="none" w:sz="0" w:space="0" w:color="auto"/>
                            <w:right w:val="none" w:sz="0" w:space="0" w:color="auto"/>
                          </w:divBdr>
                        </w:div>
                        <w:div w:id="1724865524">
                          <w:marLeft w:val="640"/>
                          <w:marRight w:val="0"/>
                          <w:marTop w:val="0"/>
                          <w:marBottom w:val="0"/>
                          <w:divBdr>
                            <w:top w:val="none" w:sz="0" w:space="0" w:color="auto"/>
                            <w:left w:val="none" w:sz="0" w:space="0" w:color="auto"/>
                            <w:bottom w:val="none" w:sz="0" w:space="0" w:color="auto"/>
                            <w:right w:val="none" w:sz="0" w:space="0" w:color="auto"/>
                          </w:divBdr>
                        </w:div>
                        <w:div w:id="2084983673">
                          <w:marLeft w:val="640"/>
                          <w:marRight w:val="0"/>
                          <w:marTop w:val="0"/>
                          <w:marBottom w:val="0"/>
                          <w:divBdr>
                            <w:top w:val="none" w:sz="0" w:space="0" w:color="auto"/>
                            <w:left w:val="none" w:sz="0" w:space="0" w:color="auto"/>
                            <w:bottom w:val="none" w:sz="0" w:space="0" w:color="auto"/>
                            <w:right w:val="none" w:sz="0" w:space="0" w:color="auto"/>
                          </w:divBdr>
                        </w:div>
                        <w:div w:id="940725112">
                          <w:marLeft w:val="640"/>
                          <w:marRight w:val="0"/>
                          <w:marTop w:val="0"/>
                          <w:marBottom w:val="0"/>
                          <w:divBdr>
                            <w:top w:val="none" w:sz="0" w:space="0" w:color="auto"/>
                            <w:left w:val="none" w:sz="0" w:space="0" w:color="auto"/>
                            <w:bottom w:val="none" w:sz="0" w:space="0" w:color="auto"/>
                            <w:right w:val="none" w:sz="0" w:space="0" w:color="auto"/>
                          </w:divBdr>
                        </w:div>
                        <w:div w:id="901712966">
                          <w:marLeft w:val="640"/>
                          <w:marRight w:val="0"/>
                          <w:marTop w:val="0"/>
                          <w:marBottom w:val="0"/>
                          <w:divBdr>
                            <w:top w:val="none" w:sz="0" w:space="0" w:color="auto"/>
                            <w:left w:val="none" w:sz="0" w:space="0" w:color="auto"/>
                            <w:bottom w:val="none" w:sz="0" w:space="0" w:color="auto"/>
                            <w:right w:val="none" w:sz="0" w:space="0" w:color="auto"/>
                          </w:divBdr>
                        </w:div>
                        <w:div w:id="884483531">
                          <w:marLeft w:val="640"/>
                          <w:marRight w:val="0"/>
                          <w:marTop w:val="0"/>
                          <w:marBottom w:val="0"/>
                          <w:divBdr>
                            <w:top w:val="none" w:sz="0" w:space="0" w:color="auto"/>
                            <w:left w:val="none" w:sz="0" w:space="0" w:color="auto"/>
                            <w:bottom w:val="none" w:sz="0" w:space="0" w:color="auto"/>
                            <w:right w:val="none" w:sz="0" w:space="0" w:color="auto"/>
                          </w:divBdr>
                        </w:div>
                        <w:div w:id="226695224">
                          <w:marLeft w:val="640"/>
                          <w:marRight w:val="0"/>
                          <w:marTop w:val="0"/>
                          <w:marBottom w:val="0"/>
                          <w:divBdr>
                            <w:top w:val="none" w:sz="0" w:space="0" w:color="auto"/>
                            <w:left w:val="none" w:sz="0" w:space="0" w:color="auto"/>
                            <w:bottom w:val="none" w:sz="0" w:space="0" w:color="auto"/>
                            <w:right w:val="none" w:sz="0" w:space="0" w:color="auto"/>
                          </w:divBdr>
                        </w:div>
                        <w:div w:id="1564486748">
                          <w:marLeft w:val="640"/>
                          <w:marRight w:val="0"/>
                          <w:marTop w:val="0"/>
                          <w:marBottom w:val="0"/>
                          <w:divBdr>
                            <w:top w:val="none" w:sz="0" w:space="0" w:color="auto"/>
                            <w:left w:val="none" w:sz="0" w:space="0" w:color="auto"/>
                            <w:bottom w:val="none" w:sz="0" w:space="0" w:color="auto"/>
                            <w:right w:val="none" w:sz="0" w:space="0" w:color="auto"/>
                          </w:divBdr>
                        </w:div>
                        <w:div w:id="893085022">
                          <w:marLeft w:val="640"/>
                          <w:marRight w:val="0"/>
                          <w:marTop w:val="0"/>
                          <w:marBottom w:val="0"/>
                          <w:divBdr>
                            <w:top w:val="none" w:sz="0" w:space="0" w:color="auto"/>
                            <w:left w:val="none" w:sz="0" w:space="0" w:color="auto"/>
                            <w:bottom w:val="none" w:sz="0" w:space="0" w:color="auto"/>
                            <w:right w:val="none" w:sz="0" w:space="0" w:color="auto"/>
                          </w:divBdr>
                        </w:div>
                        <w:div w:id="653527160">
                          <w:marLeft w:val="640"/>
                          <w:marRight w:val="0"/>
                          <w:marTop w:val="0"/>
                          <w:marBottom w:val="0"/>
                          <w:divBdr>
                            <w:top w:val="none" w:sz="0" w:space="0" w:color="auto"/>
                            <w:left w:val="none" w:sz="0" w:space="0" w:color="auto"/>
                            <w:bottom w:val="none" w:sz="0" w:space="0" w:color="auto"/>
                            <w:right w:val="none" w:sz="0" w:space="0" w:color="auto"/>
                          </w:divBdr>
                        </w:div>
                        <w:div w:id="2067989778">
                          <w:marLeft w:val="640"/>
                          <w:marRight w:val="0"/>
                          <w:marTop w:val="0"/>
                          <w:marBottom w:val="0"/>
                          <w:divBdr>
                            <w:top w:val="none" w:sz="0" w:space="0" w:color="auto"/>
                            <w:left w:val="none" w:sz="0" w:space="0" w:color="auto"/>
                            <w:bottom w:val="none" w:sz="0" w:space="0" w:color="auto"/>
                            <w:right w:val="none" w:sz="0" w:space="0" w:color="auto"/>
                          </w:divBdr>
                        </w:div>
                        <w:div w:id="130364253">
                          <w:marLeft w:val="640"/>
                          <w:marRight w:val="0"/>
                          <w:marTop w:val="0"/>
                          <w:marBottom w:val="0"/>
                          <w:divBdr>
                            <w:top w:val="none" w:sz="0" w:space="0" w:color="auto"/>
                            <w:left w:val="none" w:sz="0" w:space="0" w:color="auto"/>
                            <w:bottom w:val="none" w:sz="0" w:space="0" w:color="auto"/>
                            <w:right w:val="none" w:sz="0" w:space="0" w:color="auto"/>
                          </w:divBdr>
                        </w:div>
                        <w:div w:id="2103795540">
                          <w:marLeft w:val="640"/>
                          <w:marRight w:val="0"/>
                          <w:marTop w:val="0"/>
                          <w:marBottom w:val="0"/>
                          <w:divBdr>
                            <w:top w:val="none" w:sz="0" w:space="0" w:color="auto"/>
                            <w:left w:val="none" w:sz="0" w:space="0" w:color="auto"/>
                            <w:bottom w:val="none" w:sz="0" w:space="0" w:color="auto"/>
                            <w:right w:val="none" w:sz="0" w:space="0" w:color="auto"/>
                          </w:divBdr>
                        </w:div>
                        <w:div w:id="1114248336">
                          <w:marLeft w:val="640"/>
                          <w:marRight w:val="0"/>
                          <w:marTop w:val="0"/>
                          <w:marBottom w:val="0"/>
                          <w:divBdr>
                            <w:top w:val="none" w:sz="0" w:space="0" w:color="auto"/>
                            <w:left w:val="none" w:sz="0" w:space="0" w:color="auto"/>
                            <w:bottom w:val="none" w:sz="0" w:space="0" w:color="auto"/>
                            <w:right w:val="none" w:sz="0" w:space="0" w:color="auto"/>
                          </w:divBdr>
                        </w:div>
                        <w:div w:id="1843618598">
                          <w:marLeft w:val="640"/>
                          <w:marRight w:val="0"/>
                          <w:marTop w:val="0"/>
                          <w:marBottom w:val="0"/>
                          <w:divBdr>
                            <w:top w:val="none" w:sz="0" w:space="0" w:color="auto"/>
                            <w:left w:val="none" w:sz="0" w:space="0" w:color="auto"/>
                            <w:bottom w:val="none" w:sz="0" w:space="0" w:color="auto"/>
                            <w:right w:val="none" w:sz="0" w:space="0" w:color="auto"/>
                          </w:divBdr>
                        </w:div>
                        <w:div w:id="234903590">
                          <w:marLeft w:val="640"/>
                          <w:marRight w:val="0"/>
                          <w:marTop w:val="0"/>
                          <w:marBottom w:val="0"/>
                          <w:divBdr>
                            <w:top w:val="none" w:sz="0" w:space="0" w:color="auto"/>
                            <w:left w:val="none" w:sz="0" w:space="0" w:color="auto"/>
                            <w:bottom w:val="none" w:sz="0" w:space="0" w:color="auto"/>
                            <w:right w:val="none" w:sz="0" w:space="0" w:color="auto"/>
                          </w:divBdr>
                        </w:div>
                        <w:div w:id="597375776">
                          <w:marLeft w:val="640"/>
                          <w:marRight w:val="0"/>
                          <w:marTop w:val="0"/>
                          <w:marBottom w:val="0"/>
                          <w:divBdr>
                            <w:top w:val="none" w:sz="0" w:space="0" w:color="auto"/>
                            <w:left w:val="none" w:sz="0" w:space="0" w:color="auto"/>
                            <w:bottom w:val="none" w:sz="0" w:space="0" w:color="auto"/>
                            <w:right w:val="none" w:sz="0" w:space="0" w:color="auto"/>
                          </w:divBdr>
                        </w:div>
                        <w:div w:id="712578026">
                          <w:marLeft w:val="640"/>
                          <w:marRight w:val="0"/>
                          <w:marTop w:val="0"/>
                          <w:marBottom w:val="0"/>
                          <w:divBdr>
                            <w:top w:val="none" w:sz="0" w:space="0" w:color="auto"/>
                            <w:left w:val="none" w:sz="0" w:space="0" w:color="auto"/>
                            <w:bottom w:val="none" w:sz="0" w:space="0" w:color="auto"/>
                            <w:right w:val="none" w:sz="0" w:space="0" w:color="auto"/>
                          </w:divBdr>
                        </w:div>
                        <w:div w:id="1963685625">
                          <w:marLeft w:val="640"/>
                          <w:marRight w:val="0"/>
                          <w:marTop w:val="0"/>
                          <w:marBottom w:val="0"/>
                          <w:divBdr>
                            <w:top w:val="none" w:sz="0" w:space="0" w:color="auto"/>
                            <w:left w:val="none" w:sz="0" w:space="0" w:color="auto"/>
                            <w:bottom w:val="none" w:sz="0" w:space="0" w:color="auto"/>
                            <w:right w:val="none" w:sz="0" w:space="0" w:color="auto"/>
                          </w:divBdr>
                        </w:div>
                        <w:div w:id="1539319948">
                          <w:marLeft w:val="640"/>
                          <w:marRight w:val="0"/>
                          <w:marTop w:val="0"/>
                          <w:marBottom w:val="0"/>
                          <w:divBdr>
                            <w:top w:val="none" w:sz="0" w:space="0" w:color="auto"/>
                            <w:left w:val="none" w:sz="0" w:space="0" w:color="auto"/>
                            <w:bottom w:val="none" w:sz="0" w:space="0" w:color="auto"/>
                            <w:right w:val="none" w:sz="0" w:space="0" w:color="auto"/>
                          </w:divBdr>
                        </w:div>
                        <w:div w:id="2081979519">
                          <w:marLeft w:val="640"/>
                          <w:marRight w:val="0"/>
                          <w:marTop w:val="0"/>
                          <w:marBottom w:val="0"/>
                          <w:divBdr>
                            <w:top w:val="none" w:sz="0" w:space="0" w:color="auto"/>
                            <w:left w:val="none" w:sz="0" w:space="0" w:color="auto"/>
                            <w:bottom w:val="none" w:sz="0" w:space="0" w:color="auto"/>
                            <w:right w:val="none" w:sz="0" w:space="0" w:color="auto"/>
                          </w:divBdr>
                        </w:div>
                        <w:div w:id="196084602">
                          <w:marLeft w:val="640"/>
                          <w:marRight w:val="0"/>
                          <w:marTop w:val="0"/>
                          <w:marBottom w:val="0"/>
                          <w:divBdr>
                            <w:top w:val="none" w:sz="0" w:space="0" w:color="auto"/>
                            <w:left w:val="none" w:sz="0" w:space="0" w:color="auto"/>
                            <w:bottom w:val="none" w:sz="0" w:space="0" w:color="auto"/>
                            <w:right w:val="none" w:sz="0" w:space="0" w:color="auto"/>
                          </w:divBdr>
                        </w:div>
                        <w:div w:id="523979844">
                          <w:marLeft w:val="640"/>
                          <w:marRight w:val="0"/>
                          <w:marTop w:val="0"/>
                          <w:marBottom w:val="0"/>
                          <w:divBdr>
                            <w:top w:val="none" w:sz="0" w:space="0" w:color="auto"/>
                            <w:left w:val="none" w:sz="0" w:space="0" w:color="auto"/>
                            <w:bottom w:val="none" w:sz="0" w:space="0" w:color="auto"/>
                            <w:right w:val="none" w:sz="0" w:space="0" w:color="auto"/>
                          </w:divBdr>
                        </w:div>
                        <w:div w:id="2029791569">
                          <w:marLeft w:val="640"/>
                          <w:marRight w:val="0"/>
                          <w:marTop w:val="0"/>
                          <w:marBottom w:val="0"/>
                          <w:divBdr>
                            <w:top w:val="none" w:sz="0" w:space="0" w:color="auto"/>
                            <w:left w:val="none" w:sz="0" w:space="0" w:color="auto"/>
                            <w:bottom w:val="none" w:sz="0" w:space="0" w:color="auto"/>
                            <w:right w:val="none" w:sz="0" w:space="0" w:color="auto"/>
                          </w:divBdr>
                        </w:div>
                      </w:divsChild>
                    </w:div>
                    <w:div w:id="1036082449">
                      <w:marLeft w:val="0"/>
                      <w:marRight w:val="0"/>
                      <w:marTop w:val="0"/>
                      <w:marBottom w:val="0"/>
                      <w:divBdr>
                        <w:top w:val="none" w:sz="0" w:space="0" w:color="auto"/>
                        <w:left w:val="none" w:sz="0" w:space="0" w:color="auto"/>
                        <w:bottom w:val="none" w:sz="0" w:space="0" w:color="auto"/>
                        <w:right w:val="none" w:sz="0" w:space="0" w:color="auto"/>
                      </w:divBdr>
                      <w:divsChild>
                        <w:div w:id="1572622717">
                          <w:marLeft w:val="640"/>
                          <w:marRight w:val="0"/>
                          <w:marTop w:val="0"/>
                          <w:marBottom w:val="0"/>
                          <w:divBdr>
                            <w:top w:val="none" w:sz="0" w:space="0" w:color="auto"/>
                            <w:left w:val="none" w:sz="0" w:space="0" w:color="auto"/>
                            <w:bottom w:val="none" w:sz="0" w:space="0" w:color="auto"/>
                            <w:right w:val="none" w:sz="0" w:space="0" w:color="auto"/>
                          </w:divBdr>
                        </w:div>
                        <w:div w:id="1466434027">
                          <w:marLeft w:val="640"/>
                          <w:marRight w:val="0"/>
                          <w:marTop w:val="0"/>
                          <w:marBottom w:val="0"/>
                          <w:divBdr>
                            <w:top w:val="none" w:sz="0" w:space="0" w:color="auto"/>
                            <w:left w:val="none" w:sz="0" w:space="0" w:color="auto"/>
                            <w:bottom w:val="none" w:sz="0" w:space="0" w:color="auto"/>
                            <w:right w:val="none" w:sz="0" w:space="0" w:color="auto"/>
                          </w:divBdr>
                        </w:div>
                        <w:div w:id="1354650726">
                          <w:marLeft w:val="640"/>
                          <w:marRight w:val="0"/>
                          <w:marTop w:val="0"/>
                          <w:marBottom w:val="0"/>
                          <w:divBdr>
                            <w:top w:val="none" w:sz="0" w:space="0" w:color="auto"/>
                            <w:left w:val="none" w:sz="0" w:space="0" w:color="auto"/>
                            <w:bottom w:val="none" w:sz="0" w:space="0" w:color="auto"/>
                            <w:right w:val="none" w:sz="0" w:space="0" w:color="auto"/>
                          </w:divBdr>
                        </w:div>
                        <w:div w:id="403183043">
                          <w:marLeft w:val="640"/>
                          <w:marRight w:val="0"/>
                          <w:marTop w:val="0"/>
                          <w:marBottom w:val="0"/>
                          <w:divBdr>
                            <w:top w:val="none" w:sz="0" w:space="0" w:color="auto"/>
                            <w:left w:val="none" w:sz="0" w:space="0" w:color="auto"/>
                            <w:bottom w:val="none" w:sz="0" w:space="0" w:color="auto"/>
                            <w:right w:val="none" w:sz="0" w:space="0" w:color="auto"/>
                          </w:divBdr>
                        </w:div>
                        <w:div w:id="121385780">
                          <w:marLeft w:val="640"/>
                          <w:marRight w:val="0"/>
                          <w:marTop w:val="0"/>
                          <w:marBottom w:val="0"/>
                          <w:divBdr>
                            <w:top w:val="none" w:sz="0" w:space="0" w:color="auto"/>
                            <w:left w:val="none" w:sz="0" w:space="0" w:color="auto"/>
                            <w:bottom w:val="none" w:sz="0" w:space="0" w:color="auto"/>
                            <w:right w:val="none" w:sz="0" w:space="0" w:color="auto"/>
                          </w:divBdr>
                        </w:div>
                        <w:div w:id="275715248">
                          <w:marLeft w:val="640"/>
                          <w:marRight w:val="0"/>
                          <w:marTop w:val="0"/>
                          <w:marBottom w:val="0"/>
                          <w:divBdr>
                            <w:top w:val="none" w:sz="0" w:space="0" w:color="auto"/>
                            <w:left w:val="none" w:sz="0" w:space="0" w:color="auto"/>
                            <w:bottom w:val="none" w:sz="0" w:space="0" w:color="auto"/>
                            <w:right w:val="none" w:sz="0" w:space="0" w:color="auto"/>
                          </w:divBdr>
                        </w:div>
                        <w:div w:id="585653706">
                          <w:marLeft w:val="640"/>
                          <w:marRight w:val="0"/>
                          <w:marTop w:val="0"/>
                          <w:marBottom w:val="0"/>
                          <w:divBdr>
                            <w:top w:val="none" w:sz="0" w:space="0" w:color="auto"/>
                            <w:left w:val="none" w:sz="0" w:space="0" w:color="auto"/>
                            <w:bottom w:val="none" w:sz="0" w:space="0" w:color="auto"/>
                            <w:right w:val="none" w:sz="0" w:space="0" w:color="auto"/>
                          </w:divBdr>
                        </w:div>
                        <w:div w:id="1796749552">
                          <w:marLeft w:val="640"/>
                          <w:marRight w:val="0"/>
                          <w:marTop w:val="0"/>
                          <w:marBottom w:val="0"/>
                          <w:divBdr>
                            <w:top w:val="none" w:sz="0" w:space="0" w:color="auto"/>
                            <w:left w:val="none" w:sz="0" w:space="0" w:color="auto"/>
                            <w:bottom w:val="none" w:sz="0" w:space="0" w:color="auto"/>
                            <w:right w:val="none" w:sz="0" w:space="0" w:color="auto"/>
                          </w:divBdr>
                        </w:div>
                        <w:div w:id="1227257243">
                          <w:marLeft w:val="640"/>
                          <w:marRight w:val="0"/>
                          <w:marTop w:val="0"/>
                          <w:marBottom w:val="0"/>
                          <w:divBdr>
                            <w:top w:val="none" w:sz="0" w:space="0" w:color="auto"/>
                            <w:left w:val="none" w:sz="0" w:space="0" w:color="auto"/>
                            <w:bottom w:val="none" w:sz="0" w:space="0" w:color="auto"/>
                            <w:right w:val="none" w:sz="0" w:space="0" w:color="auto"/>
                          </w:divBdr>
                        </w:div>
                        <w:div w:id="1453668765">
                          <w:marLeft w:val="640"/>
                          <w:marRight w:val="0"/>
                          <w:marTop w:val="0"/>
                          <w:marBottom w:val="0"/>
                          <w:divBdr>
                            <w:top w:val="none" w:sz="0" w:space="0" w:color="auto"/>
                            <w:left w:val="none" w:sz="0" w:space="0" w:color="auto"/>
                            <w:bottom w:val="none" w:sz="0" w:space="0" w:color="auto"/>
                            <w:right w:val="none" w:sz="0" w:space="0" w:color="auto"/>
                          </w:divBdr>
                        </w:div>
                        <w:div w:id="518742912">
                          <w:marLeft w:val="640"/>
                          <w:marRight w:val="0"/>
                          <w:marTop w:val="0"/>
                          <w:marBottom w:val="0"/>
                          <w:divBdr>
                            <w:top w:val="none" w:sz="0" w:space="0" w:color="auto"/>
                            <w:left w:val="none" w:sz="0" w:space="0" w:color="auto"/>
                            <w:bottom w:val="none" w:sz="0" w:space="0" w:color="auto"/>
                            <w:right w:val="none" w:sz="0" w:space="0" w:color="auto"/>
                          </w:divBdr>
                        </w:div>
                        <w:div w:id="576091261">
                          <w:marLeft w:val="640"/>
                          <w:marRight w:val="0"/>
                          <w:marTop w:val="0"/>
                          <w:marBottom w:val="0"/>
                          <w:divBdr>
                            <w:top w:val="none" w:sz="0" w:space="0" w:color="auto"/>
                            <w:left w:val="none" w:sz="0" w:space="0" w:color="auto"/>
                            <w:bottom w:val="none" w:sz="0" w:space="0" w:color="auto"/>
                            <w:right w:val="none" w:sz="0" w:space="0" w:color="auto"/>
                          </w:divBdr>
                        </w:div>
                        <w:div w:id="80032658">
                          <w:marLeft w:val="640"/>
                          <w:marRight w:val="0"/>
                          <w:marTop w:val="0"/>
                          <w:marBottom w:val="0"/>
                          <w:divBdr>
                            <w:top w:val="none" w:sz="0" w:space="0" w:color="auto"/>
                            <w:left w:val="none" w:sz="0" w:space="0" w:color="auto"/>
                            <w:bottom w:val="none" w:sz="0" w:space="0" w:color="auto"/>
                            <w:right w:val="none" w:sz="0" w:space="0" w:color="auto"/>
                          </w:divBdr>
                        </w:div>
                        <w:div w:id="1623730612">
                          <w:marLeft w:val="640"/>
                          <w:marRight w:val="0"/>
                          <w:marTop w:val="0"/>
                          <w:marBottom w:val="0"/>
                          <w:divBdr>
                            <w:top w:val="none" w:sz="0" w:space="0" w:color="auto"/>
                            <w:left w:val="none" w:sz="0" w:space="0" w:color="auto"/>
                            <w:bottom w:val="none" w:sz="0" w:space="0" w:color="auto"/>
                            <w:right w:val="none" w:sz="0" w:space="0" w:color="auto"/>
                          </w:divBdr>
                        </w:div>
                        <w:div w:id="503203344">
                          <w:marLeft w:val="640"/>
                          <w:marRight w:val="0"/>
                          <w:marTop w:val="0"/>
                          <w:marBottom w:val="0"/>
                          <w:divBdr>
                            <w:top w:val="none" w:sz="0" w:space="0" w:color="auto"/>
                            <w:left w:val="none" w:sz="0" w:space="0" w:color="auto"/>
                            <w:bottom w:val="none" w:sz="0" w:space="0" w:color="auto"/>
                            <w:right w:val="none" w:sz="0" w:space="0" w:color="auto"/>
                          </w:divBdr>
                        </w:div>
                        <w:div w:id="484006408">
                          <w:marLeft w:val="640"/>
                          <w:marRight w:val="0"/>
                          <w:marTop w:val="0"/>
                          <w:marBottom w:val="0"/>
                          <w:divBdr>
                            <w:top w:val="none" w:sz="0" w:space="0" w:color="auto"/>
                            <w:left w:val="none" w:sz="0" w:space="0" w:color="auto"/>
                            <w:bottom w:val="none" w:sz="0" w:space="0" w:color="auto"/>
                            <w:right w:val="none" w:sz="0" w:space="0" w:color="auto"/>
                          </w:divBdr>
                        </w:div>
                        <w:div w:id="960111193">
                          <w:marLeft w:val="640"/>
                          <w:marRight w:val="0"/>
                          <w:marTop w:val="0"/>
                          <w:marBottom w:val="0"/>
                          <w:divBdr>
                            <w:top w:val="none" w:sz="0" w:space="0" w:color="auto"/>
                            <w:left w:val="none" w:sz="0" w:space="0" w:color="auto"/>
                            <w:bottom w:val="none" w:sz="0" w:space="0" w:color="auto"/>
                            <w:right w:val="none" w:sz="0" w:space="0" w:color="auto"/>
                          </w:divBdr>
                        </w:div>
                        <w:div w:id="923950301">
                          <w:marLeft w:val="640"/>
                          <w:marRight w:val="0"/>
                          <w:marTop w:val="0"/>
                          <w:marBottom w:val="0"/>
                          <w:divBdr>
                            <w:top w:val="none" w:sz="0" w:space="0" w:color="auto"/>
                            <w:left w:val="none" w:sz="0" w:space="0" w:color="auto"/>
                            <w:bottom w:val="none" w:sz="0" w:space="0" w:color="auto"/>
                            <w:right w:val="none" w:sz="0" w:space="0" w:color="auto"/>
                          </w:divBdr>
                        </w:div>
                        <w:div w:id="655768829">
                          <w:marLeft w:val="640"/>
                          <w:marRight w:val="0"/>
                          <w:marTop w:val="0"/>
                          <w:marBottom w:val="0"/>
                          <w:divBdr>
                            <w:top w:val="none" w:sz="0" w:space="0" w:color="auto"/>
                            <w:left w:val="none" w:sz="0" w:space="0" w:color="auto"/>
                            <w:bottom w:val="none" w:sz="0" w:space="0" w:color="auto"/>
                            <w:right w:val="none" w:sz="0" w:space="0" w:color="auto"/>
                          </w:divBdr>
                        </w:div>
                        <w:div w:id="1006244669">
                          <w:marLeft w:val="640"/>
                          <w:marRight w:val="0"/>
                          <w:marTop w:val="0"/>
                          <w:marBottom w:val="0"/>
                          <w:divBdr>
                            <w:top w:val="none" w:sz="0" w:space="0" w:color="auto"/>
                            <w:left w:val="none" w:sz="0" w:space="0" w:color="auto"/>
                            <w:bottom w:val="none" w:sz="0" w:space="0" w:color="auto"/>
                            <w:right w:val="none" w:sz="0" w:space="0" w:color="auto"/>
                          </w:divBdr>
                        </w:div>
                        <w:div w:id="1944605218">
                          <w:marLeft w:val="640"/>
                          <w:marRight w:val="0"/>
                          <w:marTop w:val="0"/>
                          <w:marBottom w:val="0"/>
                          <w:divBdr>
                            <w:top w:val="none" w:sz="0" w:space="0" w:color="auto"/>
                            <w:left w:val="none" w:sz="0" w:space="0" w:color="auto"/>
                            <w:bottom w:val="none" w:sz="0" w:space="0" w:color="auto"/>
                            <w:right w:val="none" w:sz="0" w:space="0" w:color="auto"/>
                          </w:divBdr>
                        </w:div>
                        <w:div w:id="1074397781">
                          <w:marLeft w:val="640"/>
                          <w:marRight w:val="0"/>
                          <w:marTop w:val="0"/>
                          <w:marBottom w:val="0"/>
                          <w:divBdr>
                            <w:top w:val="none" w:sz="0" w:space="0" w:color="auto"/>
                            <w:left w:val="none" w:sz="0" w:space="0" w:color="auto"/>
                            <w:bottom w:val="none" w:sz="0" w:space="0" w:color="auto"/>
                            <w:right w:val="none" w:sz="0" w:space="0" w:color="auto"/>
                          </w:divBdr>
                        </w:div>
                        <w:div w:id="552665325">
                          <w:marLeft w:val="640"/>
                          <w:marRight w:val="0"/>
                          <w:marTop w:val="0"/>
                          <w:marBottom w:val="0"/>
                          <w:divBdr>
                            <w:top w:val="none" w:sz="0" w:space="0" w:color="auto"/>
                            <w:left w:val="none" w:sz="0" w:space="0" w:color="auto"/>
                            <w:bottom w:val="none" w:sz="0" w:space="0" w:color="auto"/>
                            <w:right w:val="none" w:sz="0" w:space="0" w:color="auto"/>
                          </w:divBdr>
                        </w:div>
                        <w:div w:id="458453287">
                          <w:marLeft w:val="640"/>
                          <w:marRight w:val="0"/>
                          <w:marTop w:val="0"/>
                          <w:marBottom w:val="0"/>
                          <w:divBdr>
                            <w:top w:val="none" w:sz="0" w:space="0" w:color="auto"/>
                            <w:left w:val="none" w:sz="0" w:space="0" w:color="auto"/>
                            <w:bottom w:val="none" w:sz="0" w:space="0" w:color="auto"/>
                            <w:right w:val="none" w:sz="0" w:space="0" w:color="auto"/>
                          </w:divBdr>
                        </w:div>
                        <w:div w:id="1426732705">
                          <w:marLeft w:val="640"/>
                          <w:marRight w:val="0"/>
                          <w:marTop w:val="0"/>
                          <w:marBottom w:val="0"/>
                          <w:divBdr>
                            <w:top w:val="none" w:sz="0" w:space="0" w:color="auto"/>
                            <w:left w:val="none" w:sz="0" w:space="0" w:color="auto"/>
                            <w:bottom w:val="none" w:sz="0" w:space="0" w:color="auto"/>
                            <w:right w:val="none" w:sz="0" w:space="0" w:color="auto"/>
                          </w:divBdr>
                        </w:div>
                        <w:div w:id="1264611786">
                          <w:marLeft w:val="640"/>
                          <w:marRight w:val="0"/>
                          <w:marTop w:val="0"/>
                          <w:marBottom w:val="0"/>
                          <w:divBdr>
                            <w:top w:val="none" w:sz="0" w:space="0" w:color="auto"/>
                            <w:left w:val="none" w:sz="0" w:space="0" w:color="auto"/>
                            <w:bottom w:val="none" w:sz="0" w:space="0" w:color="auto"/>
                            <w:right w:val="none" w:sz="0" w:space="0" w:color="auto"/>
                          </w:divBdr>
                        </w:div>
                        <w:div w:id="1596475583">
                          <w:marLeft w:val="640"/>
                          <w:marRight w:val="0"/>
                          <w:marTop w:val="0"/>
                          <w:marBottom w:val="0"/>
                          <w:divBdr>
                            <w:top w:val="none" w:sz="0" w:space="0" w:color="auto"/>
                            <w:left w:val="none" w:sz="0" w:space="0" w:color="auto"/>
                            <w:bottom w:val="none" w:sz="0" w:space="0" w:color="auto"/>
                            <w:right w:val="none" w:sz="0" w:space="0" w:color="auto"/>
                          </w:divBdr>
                        </w:div>
                        <w:div w:id="1094131246">
                          <w:marLeft w:val="640"/>
                          <w:marRight w:val="0"/>
                          <w:marTop w:val="0"/>
                          <w:marBottom w:val="0"/>
                          <w:divBdr>
                            <w:top w:val="none" w:sz="0" w:space="0" w:color="auto"/>
                            <w:left w:val="none" w:sz="0" w:space="0" w:color="auto"/>
                            <w:bottom w:val="none" w:sz="0" w:space="0" w:color="auto"/>
                            <w:right w:val="none" w:sz="0" w:space="0" w:color="auto"/>
                          </w:divBdr>
                        </w:div>
                      </w:divsChild>
                    </w:div>
                    <w:div w:id="1145321413">
                      <w:marLeft w:val="0"/>
                      <w:marRight w:val="0"/>
                      <w:marTop w:val="0"/>
                      <w:marBottom w:val="0"/>
                      <w:divBdr>
                        <w:top w:val="none" w:sz="0" w:space="0" w:color="auto"/>
                        <w:left w:val="none" w:sz="0" w:space="0" w:color="auto"/>
                        <w:bottom w:val="none" w:sz="0" w:space="0" w:color="auto"/>
                        <w:right w:val="none" w:sz="0" w:space="0" w:color="auto"/>
                      </w:divBdr>
                      <w:divsChild>
                        <w:div w:id="549149913">
                          <w:marLeft w:val="640"/>
                          <w:marRight w:val="0"/>
                          <w:marTop w:val="0"/>
                          <w:marBottom w:val="0"/>
                          <w:divBdr>
                            <w:top w:val="none" w:sz="0" w:space="0" w:color="auto"/>
                            <w:left w:val="none" w:sz="0" w:space="0" w:color="auto"/>
                            <w:bottom w:val="none" w:sz="0" w:space="0" w:color="auto"/>
                            <w:right w:val="none" w:sz="0" w:space="0" w:color="auto"/>
                          </w:divBdr>
                        </w:div>
                        <w:div w:id="2145732344">
                          <w:marLeft w:val="640"/>
                          <w:marRight w:val="0"/>
                          <w:marTop w:val="0"/>
                          <w:marBottom w:val="0"/>
                          <w:divBdr>
                            <w:top w:val="none" w:sz="0" w:space="0" w:color="auto"/>
                            <w:left w:val="none" w:sz="0" w:space="0" w:color="auto"/>
                            <w:bottom w:val="none" w:sz="0" w:space="0" w:color="auto"/>
                            <w:right w:val="none" w:sz="0" w:space="0" w:color="auto"/>
                          </w:divBdr>
                        </w:div>
                        <w:div w:id="143160976">
                          <w:marLeft w:val="640"/>
                          <w:marRight w:val="0"/>
                          <w:marTop w:val="0"/>
                          <w:marBottom w:val="0"/>
                          <w:divBdr>
                            <w:top w:val="none" w:sz="0" w:space="0" w:color="auto"/>
                            <w:left w:val="none" w:sz="0" w:space="0" w:color="auto"/>
                            <w:bottom w:val="none" w:sz="0" w:space="0" w:color="auto"/>
                            <w:right w:val="none" w:sz="0" w:space="0" w:color="auto"/>
                          </w:divBdr>
                        </w:div>
                        <w:div w:id="789133311">
                          <w:marLeft w:val="640"/>
                          <w:marRight w:val="0"/>
                          <w:marTop w:val="0"/>
                          <w:marBottom w:val="0"/>
                          <w:divBdr>
                            <w:top w:val="none" w:sz="0" w:space="0" w:color="auto"/>
                            <w:left w:val="none" w:sz="0" w:space="0" w:color="auto"/>
                            <w:bottom w:val="none" w:sz="0" w:space="0" w:color="auto"/>
                            <w:right w:val="none" w:sz="0" w:space="0" w:color="auto"/>
                          </w:divBdr>
                        </w:div>
                        <w:div w:id="118033582">
                          <w:marLeft w:val="640"/>
                          <w:marRight w:val="0"/>
                          <w:marTop w:val="0"/>
                          <w:marBottom w:val="0"/>
                          <w:divBdr>
                            <w:top w:val="none" w:sz="0" w:space="0" w:color="auto"/>
                            <w:left w:val="none" w:sz="0" w:space="0" w:color="auto"/>
                            <w:bottom w:val="none" w:sz="0" w:space="0" w:color="auto"/>
                            <w:right w:val="none" w:sz="0" w:space="0" w:color="auto"/>
                          </w:divBdr>
                        </w:div>
                        <w:div w:id="667175795">
                          <w:marLeft w:val="640"/>
                          <w:marRight w:val="0"/>
                          <w:marTop w:val="0"/>
                          <w:marBottom w:val="0"/>
                          <w:divBdr>
                            <w:top w:val="none" w:sz="0" w:space="0" w:color="auto"/>
                            <w:left w:val="none" w:sz="0" w:space="0" w:color="auto"/>
                            <w:bottom w:val="none" w:sz="0" w:space="0" w:color="auto"/>
                            <w:right w:val="none" w:sz="0" w:space="0" w:color="auto"/>
                          </w:divBdr>
                        </w:div>
                        <w:div w:id="1857765080">
                          <w:marLeft w:val="640"/>
                          <w:marRight w:val="0"/>
                          <w:marTop w:val="0"/>
                          <w:marBottom w:val="0"/>
                          <w:divBdr>
                            <w:top w:val="none" w:sz="0" w:space="0" w:color="auto"/>
                            <w:left w:val="none" w:sz="0" w:space="0" w:color="auto"/>
                            <w:bottom w:val="none" w:sz="0" w:space="0" w:color="auto"/>
                            <w:right w:val="none" w:sz="0" w:space="0" w:color="auto"/>
                          </w:divBdr>
                        </w:div>
                        <w:div w:id="1284845355">
                          <w:marLeft w:val="640"/>
                          <w:marRight w:val="0"/>
                          <w:marTop w:val="0"/>
                          <w:marBottom w:val="0"/>
                          <w:divBdr>
                            <w:top w:val="none" w:sz="0" w:space="0" w:color="auto"/>
                            <w:left w:val="none" w:sz="0" w:space="0" w:color="auto"/>
                            <w:bottom w:val="none" w:sz="0" w:space="0" w:color="auto"/>
                            <w:right w:val="none" w:sz="0" w:space="0" w:color="auto"/>
                          </w:divBdr>
                        </w:div>
                        <w:div w:id="1923178546">
                          <w:marLeft w:val="640"/>
                          <w:marRight w:val="0"/>
                          <w:marTop w:val="0"/>
                          <w:marBottom w:val="0"/>
                          <w:divBdr>
                            <w:top w:val="none" w:sz="0" w:space="0" w:color="auto"/>
                            <w:left w:val="none" w:sz="0" w:space="0" w:color="auto"/>
                            <w:bottom w:val="none" w:sz="0" w:space="0" w:color="auto"/>
                            <w:right w:val="none" w:sz="0" w:space="0" w:color="auto"/>
                          </w:divBdr>
                        </w:div>
                        <w:div w:id="1423259603">
                          <w:marLeft w:val="640"/>
                          <w:marRight w:val="0"/>
                          <w:marTop w:val="0"/>
                          <w:marBottom w:val="0"/>
                          <w:divBdr>
                            <w:top w:val="none" w:sz="0" w:space="0" w:color="auto"/>
                            <w:left w:val="none" w:sz="0" w:space="0" w:color="auto"/>
                            <w:bottom w:val="none" w:sz="0" w:space="0" w:color="auto"/>
                            <w:right w:val="none" w:sz="0" w:space="0" w:color="auto"/>
                          </w:divBdr>
                        </w:div>
                        <w:div w:id="1889410297">
                          <w:marLeft w:val="640"/>
                          <w:marRight w:val="0"/>
                          <w:marTop w:val="0"/>
                          <w:marBottom w:val="0"/>
                          <w:divBdr>
                            <w:top w:val="none" w:sz="0" w:space="0" w:color="auto"/>
                            <w:left w:val="none" w:sz="0" w:space="0" w:color="auto"/>
                            <w:bottom w:val="none" w:sz="0" w:space="0" w:color="auto"/>
                            <w:right w:val="none" w:sz="0" w:space="0" w:color="auto"/>
                          </w:divBdr>
                        </w:div>
                        <w:div w:id="1973903217">
                          <w:marLeft w:val="640"/>
                          <w:marRight w:val="0"/>
                          <w:marTop w:val="0"/>
                          <w:marBottom w:val="0"/>
                          <w:divBdr>
                            <w:top w:val="none" w:sz="0" w:space="0" w:color="auto"/>
                            <w:left w:val="none" w:sz="0" w:space="0" w:color="auto"/>
                            <w:bottom w:val="none" w:sz="0" w:space="0" w:color="auto"/>
                            <w:right w:val="none" w:sz="0" w:space="0" w:color="auto"/>
                          </w:divBdr>
                        </w:div>
                        <w:div w:id="137693131">
                          <w:marLeft w:val="640"/>
                          <w:marRight w:val="0"/>
                          <w:marTop w:val="0"/>
                          <w:marBottom w:val="0"/>
                          <w:divBdr>
                            <w:top w:val="none" w:sz="0" w:space="0" w:color="auto"/>
                            <w:left w:val="none" w:sz="0" w:space="0" w:color="auto"/>
                            <w:bottom w:val="none" w:sz="0" w:space="0" w:color="auto"/>
                            <w:right w:val="none" w:sz="0" w:space="0" w:color="auto"/>
                          </w:divBdr>
                        </w:div>
                        <w:div w:id="1554193804">
                          <w:marLeft w:val="640"/>
                          <w:marRight w:val="0"/>
                          <w:marTop w:val="0"/>
                          <w:marBottom w:val="0"/>
                          <w:divBdr>
                            <w:top w:val="none" w:sz="0" w:space="0" w:color="auto"/>
                            <w:left w:val="none" w:sz="0" w:space="0" w:color="auto"/>
                            <w:bottom w:val="none" w:sz="0" w:space="0" w:color="auto"/>
                            <w:right w:val="none" w:sz="0" w:space="0" w:color="auto"/>
                          </w:divBdr>
                        </w:div>
                        <w:div w:id="1219784116">
                          <w:marLeft w:val="640"/>
                          <w:marRight w:val="0"/>
                          <w:marTop w:val="0"/>
                          <w:marBottom w:val="0"/>
                          <w:divBdr>
                            <w:top w:val="none" w:sz="0" w:space="0" w:color="auto"/>
                            <w:left w:val="none" w:sz="0" w:space="0" w:color="auto"/>
                            <w:bottom w:val="none" w:sz="0" w:space="0" w:color="auto"/>
                            <w:right w:val="none" w:sz="0" w:space="0" w:color="auto"/>
                          </w:divBdr>
                        </w:div>
                        <w:div w:id="1459912474">
                          <w:marLeft w:val="640"/>
                          <w:marRight w:val="0"/>
                          <w:marTop w:val="0"/>
                          <w:marBottom w:val="0"/>
                          <w:divBdr>
                            <w:top w:val="none" w:sz="0" w:space="0" w:color="auto"/>
                            <w:left w:val="none" w:sz="0" w:space="0" w:color="auto"/>
                            <w:bottom w:val="none" w:sz="0" w:space="0" w:color="auto"/>
                            <w:right w:val="none" w:sz="0" w:space="0" w:color="auto"/>
                          </w:divBdr>
                        </w:div>
                        <w:div w:id="1072772640">
                          <w:marLeft w:val="640"/>
                          <w:marRight w:val="0"/>
                          <w:marTop w:val="0"/>
                          <w:marBottom w:val="0"/>
                          <w:divBdr>
                            <w:top w:val="none" w:sz="0" w:space="0" w:color="auto"/>
                            <w:left w:val="none" w:sz="0" w:space="0" w:color="auto"/>
                            <w:bottom w:val="none" w:sz="0" w:space="0" w:color="auto"/>
                            <w:right w:val="none" w:sz="0" w:space="0" w:color="auto"/>
                          </w:divBdr>
                        </w:div>
                        <w:div w:id="1734426338">
                          <w:marLeft w:val="640"/>
                          <w:marRight w:val="0"/>
                          <w:marTop w:val="0"/>
                          <w:marBottom w:val="0"/>
                          <w:divBdr>
                            <w:top w:val="none" w:sz="0" w:space="0" w:color="auto"/>
                            <w:left w:val="none" w:sz="0" w:space="0" w:color="auto"/>
                            <w:bottom w:val="none" w:sz="0" w:space="0" w:color="auto"/>
                            <w:right w:val="none" w:sz="0" w:space="0" w:color="auto"/>
                          </w:divBdr>
                        </w:div>
                        <w:div w:id="419446645">
                          <w:marLeft w:val="640"/>
                          <w:marRight w:val="0"/>
                          <w:marTop w:val="0"/>
                          <w:marBottom w:val="0"/>
                          <w:divBdr>
                            <w:top w:val="none" w:sz="0" w:space="0" w:color="auto"/>
                            <w:left w:val="none" w:sz="0" w:space="0" w:color="auto"/>
                            <w:bottom w:val="none" w:sz="0" w:space="0" w:color="auto"/>
                            <w:right w:val="none" w:sz="0" w:space="0" w:color="auto"/>
                          </w:divBdr>
                        </w:div>
                        <w:div w:id="1680547839">
                          <w:marLeft w:val="640"/>
                          <w:marRight w:val="0"/>
                          <w:marTop w:val="0"/>
                          <w:marBottom w:val="0"/>
                          <w:divBdr>
                            <w:top w:val="none" w:sz="0" w:space="0" w:color="auto"/>
                            <w:left w:val="none" w:sz="0" w:space="0" w:color="auto"/>
                            <w:bottom w:val="none" w:sz="0" w:space="0" w:color="auto"/>
                            <w:right w:val="none" w:sz="0" w:space="0" w:color="auto"/>
                          </w:divBdr>
                        </w:div>
                        <w:div w:id="962736080">
                          <w:marLeft w:val="640"/>
                          <w:marRight w:val="0"/>
                          <w:marTop w:val="0"/>
                          <w:marBottom w:val="0"/>
                          <w:divBdr>
                            <w:top w:val="none" w:sz="0" w:space="0" w:color="auto"/>
                            <w:left w:val="none" w:sz="0" w:space="0" w:color="auto"/>
                            <w:bottom w:val="none" w:sz="0" w:space="0" w:color="auto"/>
                            <w:right w:val="none" w:sz="0" w:space="0" w:color="auto"/>
                          </w:divBdr>
                        </w:div>
                        <w:div w:id="808784993">
                          <w:marLeft w:val="640"/>
                          <w:marRight w:val="0"/>
                          <w:marTop w:val="0"/>
                          <w:marBottom w:val="0"/>
                          <w:divBdr>
                            <w:top w:val="none" w:sz="0" w:space="0" w:color="auto"/>
                            <w:left w:val="none" w:sz="0" w:space="0" w:color="auto"/>
                            <w:bottom w:val="none" w:sz="0" w:space="0" w:color="auto"/>
                            <w:right w:val="none" w:sz="0" w:space="0" w:color="auto"/>
                          </w:divBdr>
                        </w:div>
                        <w:div w:id="1141732828">
                          <w:marLeft w:val="640"/>
                          <w:marRight w:val="0"/>
                          <w:marTop w:val="0"/>
                          <w:marBottom w:val="0"/>
                          <w:divBdr>
                            <w:top w:val="none" w:sz="0" w:space="0" w:color="auto"/>
                            <w:left w:val="none" w:sz="0" w:space="0" w:color="auto"/>
                            <w:bottom w:val="none" w:sz="0" w:space="0" w:color="auto"/>
                            <w:right w:val="none" w:sz="0" w:space="0" w:color="auto"/>
                          </w:divBdr>
                        </w:div>
                        <w:div w:id="1428766061">
                          <w:marLeft w:val="640"/>
                          <w:marRight w:val="0"/>
                          <w:marTop w:val="0"/>
                          <w:marBottom w:val="0"/>
                          <w:divBdr>
                            <w:top w:val="none" w:sz="0" w:space="0" w:color="auto"/>
                            <w:left w:val="none" w:sz="0" w:space="0" w:color="auto"/>
                            <w:bottom w:val="none" w:sz="0" w:space="0" w:color="auto"/>
                            <w:right w:val="none" w:sz="0" w:space="0" w:color="auto"/>
                          </w:divBdr>
                        </w:div>
                        <w:div w:id="1209225875">
                          <w:marLeft w:val="640"/>
                          <w:marRight w:val="0"/>
                          <w:marTop w:val="0"/>
                          <w:marBottom w:val="0"/>
                          <w:divBdr>
                            <w:top w:val="none" w:sz="0" w:space="0" w:color="auto"/>
                            <w:left w:val="none" w:sz="0" w:space="0" w:color="auto"/>
                            <w:bottom w:val="none" w:sz="0" w:space="0" w:color="auto"/>
                            <w:right w:val="none" w:sz="0" w:space="0" w:color="auto"/>
                          </w:divBdr>
                        </w:div>
                        <w:div w:id="1914197135">
                          <w:marLeft w:val="640"/>
                          <w:marRight w:val="0"/>
                          <w:marTop w:val="0"/>
                          <w:marBottom w:val="0"/>
                          <w:divBdr>
                            <w:top w:val="none" w:sz="0" w:space="0" w:color="auto"/>
                            <w:left w:val="none" w:sz="0" w:space="0" w:color="auto"/>
                            <w:bottom w:val="none" w:sz="0" w:space="0" w:color="auto"/>
                            <w:right w:val="none" w:sz="0" w:space="0" w:color="auto"/>
                          </w:divBdr>
                        </w:div>
                        <w:div w:id="1977636850">
                          <w:marLeft w:val="640"/>
                          <w:marRight w:val="0"/>
                          <w:marTop w:val="0"/>
                          <w:marBottom w:val="0"/>
                          <w:divBdr>
                            <w:top w:val="none" w:sz="0" w:space="0" w:color="auto"/>
                            <w:left w:val="none" w:sz="0" w:space="0" w:color="auto"/>
                            <w:bottom w:val="none" w:sz="0" w:space="0" w:color="auto"/>
                            <w:right w:val="none" w:sz="0" w:space="0" w:color="auto"/>
                          </w:divBdr>
                        </w:div>
                        <w:div w:id="1230580841">
                          <w:marLeft w:val="640"/>
                          <w:marRight w:val="0"/>
                          <w:marTop w:val="0"/>
                          <w:marBottom w:val="0"/>
                          <w:divBdr>
                            <w:top w:val="none" w:sz="0" w:space="0" w:color="auto"/>
                            <w:left w:val="none" w:sz="0" w:space="0" w:color="auto"/>
                            <w:bottom w:val="none" w:sz="0" w:space="0" w:color="auto"/>
                            <w:right w:val="none" w:sz="0" w:space="0" w:color="auto"/>
                          </w:divBdr>
                        </w:div>
                      </w:divsChild>
                    </w:div>
                    <w:div w:id="1099258129">
                      <w:marLeft w:val="0"/>
                      <w:marRight w:val="0"/>
                      <w:marTop w:val="0"/>
                      <w:marBottom w:val="0"/>
                      <w:divBdr>
                        <w:top w:val="none" w:sz="0" w:space="0" w:color="auto"/>
                        <w:left w:val="none" w:sz="0" w:space="0" w:color="auto"/>
                        <w:bottom w:val="none" w:sz="0" w:space="0" w:color="auto"/>
                        <w:right w:val="none" w:sz="0" w:space="0" w:color="auto"/>
                      </w:divBdr>
                      <w:divsChild>
                        <w:div w:id="1963072856">
                          <w:marLeft w:val="640"/>
                          <w:marRight w:val="0"/>
                          <w:marTop w:val="0"/>
                          <w:marBottom w:val="0"/>
                          <w:divBdr>
                            <w:top w:val="none" w:sz="0" w:space="0" w:color="auto"/>
                            <w:left w:val="none" w:sz="0" w:space="0" w:color="auto"/>
                            <w:bottom w:val="none" w:sz="0" w:space="0" w:color="auto"/>
                            <w:right w:val="none" w:sz="0" w:space="0" w:color="auto"/>
                          </w:divBdr>
                        </w:div>
                        <w:div w:id="2003073998">
                          <w:marLeft w:val="640"/>
                          <w:marRight w:val="0"/>
                          <w:marTop w:val="0"/>
                          <w:marBottom w:val="0"/>
                          <w:divBdr>
                            <w:top w:val="none" w:sz="0" w:space="0" w:color="auto"/>
                            <w:left w:val="none" w:sz="0" w:space="0" w:color="auto"/>
                            <w:bottom w:val="none" w:sz="0" w:space="0" w:color="auto"/>
                            <w:right w:val="none" w:sz="0" w:space="0" w:color="auto"/>
                          </w:divBdr>
                        </w:div>
                        <w:div w:id="2081704998">
                          <w:marLeft w:val="640"/>
                          <w:marRight w:val="0"/>
                          <w:marTop w:val="0"/>
                          <w:marBottom w:val="0"/>
                          <w:divBdr>
                            <w:top w:val="none" w:sz="0" w:space="0" w:color="auto"/>
                            <w:left w:val="none" w:sz="0" w:space="0" w:color="auto"/>
                            <w:bottom w:val="none" w:sz="0" w:space="0" w:color="auto"/>
                            <w:right w:val="none" w:sz="0" w:space="0" w:color="auto"/>
                          </w:divBdr>
                        </w:div>
                        <w:div w:id="737678475">
                          <w:marLeft w:val="640"/>
                          <w:marRight w:val="0"/>
                          <w:marTop w:val="0"/>
                          <w:marBottom w:val="0"/>
                          <w:divBdr>
                            <w:top w:val="none" w:sz="0" w:space="0" w:color="auto"/>
                            <w:left w:val="none" w:sz="0" w:space="0" w:color="auto"/>
                            <w:bottom w:val="none" w:sz="0" w:space="0" w:color="auto"/>
                            <w:right w:val="none" w:sz="0" w:space="0" w:color="auto"/>
                          </w:divBdr>
                        </w:div>
                        <w:div w:id="1951086394">
                          <w:marLeft w:val="640"/>
                          <w:marRight w:val="0"/>
                          <w:marTop w:val="0"/>
                          <w:marBottom w:val="0"/>
                          <w:divBdr>
                            <w:top w:val="none" w:sz="0" w:space="0" w:color="auto"/>
                            <w:left w:val="none" w:sz="0" w:space="0" w:color="auto"/>
                            <w:bottom w:val="none" w:sz="0" w:space="0" w:color="auto"/>
                            <w:right w:val="none" w:sz="0" w:space="0" w:color="auto"/>
                          </w:divBdr>
                        </w:div>
                        <w:div w:id="1795710314">
                          <w:marLeft w:val="640"/>
                          <w:marRight w:val="0"/>
                          <w:marTop w:val="0"/>
                          <w:marBottom w:val="0"/>
                          <w:divBdr>
                            <w:top w:val="none" w:sz="0" w:space="0" w:color="auto"/>
                            <w:left w:val="none" w:sz="0" w:space="0" w:color="auto"/>
                            <w:bottom w:val="none" w:sz="0" w:space="0" w:color="auto"/>
                            <w:right w:val="none" w:sz="0" w:space="0" w:color="auto"/>
                          </w:divBdr>
                        </w:div>
                        <w:div w:id="1056246091">
                          <w:marLeft w:val="640"/>
                          <w:marRight w:val="0"/>
                          <w:marTop w:val="0"/>
                          <w:marBottom w:val="0"/>
                          <w:divBdr>
                            <w:top w:val="none" w:sz="0" w:space="0" w:color="auto"/>
                            <w:left w:val="none" w:sz="0" w:space="0" w:color="auto"/>
                            <w:bottom w:val="none" w:sz="0" w:space="0" w:color="auto"/>
                            <w:right w:val="none" w:sz="0" w:space="0" w:color="auto"/>
                          </w:divBdr>
                        </w:div>
                        <w:div w:id="959192358">
                          <w:marLeft w:val="640"/>
                          <w:marRight w:val="0"/>
                          <w:marTop w:val="0"/>
                          <w:marBottom w:val="0"/>
                          <w:divBdr>
                            <w:top w:val="none" w:sz="0" w:space="0" w:color="auto"/>
                            <w:left w:val="none" w:sz="0" w:space="0" w:color="auto"/>
                            <w:bottom w:val="none" w:sz="0" w:space="0" w:color="auto"/>
                            <w:right w:val="none" w:sz="0" w:space="0" w:color="auto"/>
                          </w:divBdr>
                        </w:div>
                        <w:div w:id="356545632">
                          <w:marLeft w:val="640"/>
                          <w:marRight w:val="0"/>
                          <w:marTop w:val="0"/>
                          <w:marBottom w:val="0"/>
                          <w:divBdr>
                            <w:top w:val="none" w:sz="0" w:space="0" w:color="auto"/>
                            <w:left w:val="none" w:sz="0" w:space="0" w:color="auto"/>
                            <w:bottom w:val="none" w:sz="0" w:space="0" w:color="auto"/>
                            <w:right w:val="none" w:sz="0" w:space="0" w:color="auto"/>
                          </w:divBdr>
                        </w:div>
                        <w:div w:id="258222073">
                          <w:marLeft w:val="640"/>
                          <w:marRight w:val="0"/>
                          <w:marTop w:val="0"/>
                          <w:marBottom w:val="0"/>
                          <w:divBdr>
                            <w:top w:val="none" w:sz="0" w:space="0" w:color="auto"/>
                            <w:left w:val="none" w:sz="0" w:space="0" w:color="auto"/>
                            <w:bottom w:val="none" w:sz="0" w:space="0" w:color="auto"/>
                            <w:right w:val="none" w:sz="0" w:space="0" w:color="auto"/>
                          </w:divBdr>
                        </w:div>
                        <w:div w:id="1612198484">
                          <w:marLeft w:val="640"/>
                          <w:marRight w:val="0"/>
                          <w:marTop w:val="0"/>
                          <w:marBottom w:val="0"/>
                          <w:divBdr>
                            <w:top w:val="none" w:sz="0" w:space="0" w:color="auto"/>
                            <w:left w:val="none" w:sz="0" w:space="0" w:color="auto"/>
                            <w:bottom w:val="none" w:sz="0" w:space="0" w:color="auto"/>
                            <w:right w:val="none" w:sz="0" w:space="0" w:color="auto"/>
                          </w:divBdr>
                        </w:div>
                        <w:div w:id="2064284992">
                          <w:marLeft w:val="640"/>
                          <w:marRight w:val="0"/>
                          <w:marTop w:val="0"/>
                          <w:marBottom w:val="0"/>
                          <w:divBdr>
                            <w:top w:val="none" w:sz="0" w:space="0" w:color="auto"/>
                            <w:left w:val="none" w:sz="0" w:space="0" w:color="auto"/>
                            <w:bottom w:val="none" w:sz="0" w:space="0" w:color="auto"/>
                            <w:right w:val="none" w:sz="0" w:space="0" w:color="auto"/>
                          </w:divBdr>
                        </w:div>
                        <w:div w:id="219705638">
                          <w:marLeft w:val="640"/>
                          <w:marRight w:val="0"/>
                          <w:marTop w:val="0"/>
                          <w:marBottom w:val="0"/>
                          <w:divBdr>
                            <w:top w:val="none" w:sz="0" w:space="0" w:color="auto"/>
                            <w:left w:val="none" w:sz="0" w:space="0" w:color="auto"/>
                            <w:bottom w:val="none" w:sz="0" w:space="0" w:color="auto"/>
                            <w:right w:val="none" w:sz="0" w:space="0" w:color="auto"/>
                          </w:divBdr>
                        </w:div>
                        <w:div w:id="1876699871">
                          <w:marLeft w:val="640"/>
                          <w:marRight w:val="0"/>
                          <w:marTop w:val="0"/>
                          <w:marBottom w:val="0"/>
                          <w:divBdr>
                            <w:top w:val="none" w:sz="0" w:space="0" w:color="auto"/>
                            <w:left w:val="none" w:sz="0" w:space="0" w:color="auto"/>
                            <w:bottom w:val="none" w:sz="0" w:space="0" w:color="auto"/>
                            <w:right w:val="none" w:sz="0" w:space="0" w:color="auto"/>
                          </w:divBdr>
                        </w:div>
                        <w:div w:id="810827392">
                          <w:marLeft w:val="640"/>
                          <w:marRight w:val="0"/>
                          <w:marTop w:val="0"/>
                          <w:marBottom w:val="0"/>
                          <w:divBdr>
                            <w:top w:val="none" w:sz="0" w:space="0" w:color="auto"/>
                            <w:left w:val="none" w:sz="0" w:space="0" w:color="auto"/>
                            <w:bottom w:val="none" w:sz="0" w:space="0" w:color="auto"/>
                            <w:right w:val="none" w:sz="0" w:space="0" w:color="auto"/>
                          </w:divBdr>
                        </w:div>
                        <w:div w:id="1607158216">
                          <w:marLeft w:val="640"/>
                          <w:marRight w:val="0"/>
                          <w:marTop w:val="0"/>
                          <w:marBottom w:val="0"/>
                          <w:divBdr>
                            <w:top w:val="none" w:sz="0" w:space="0" w:color="auto"/>
                            <w:left w:val="none" w:sz="0" w:space="0" w:color="auto"/>
                            <w:bottom w:val="none" w:sz="0" w:space="0" w:color="auto"/>
                            <w:right w:val="none" w:sz="0" w:space="0" w:color="auto"/>
                          </w:divBdr>
                        </w:div>
                        <w:div w:id="1620989116">
                          <w:marLeft w:val="640"/>
                          <w:marRight w:val="0"/>
                          <w:marTop w:val="0"/>
                          <w:marBottom w:val="0"/>
                          <w:divBdr>
                            <w:top w:val="none" w:sz="0" w:space="0" w:color="auto"/>
                            <w:left w:val="none" w:sz="0" w:space="0" w:color="auto"/>
                            <w:bottom w:val="none" w:sz="0" w:space="0" w:color="auto"/>
                            <w:right w:val="none" w:sz="0" w:space="0" w:color="auto"/>
                          </w:divBdr>
                        </w:div>
                        <w:div w:id="599802241">
                          <w:marLeft w:val="640"/>
                          <w:marRight w:val="0"/>
                          <w:marTop w:val="0"/>
                          <w:marBottom w:val="0"/>
                          <w:divBdr>
                            <w:top w:val="none" w:sz="0" w:space="0" w:color="auto"/>
                            <w:left w:val="none" w:sz="0" w:space="0" w:color="auto"/>
                            <w:bottom w:val="none" w:sz="0" w:space="0" w:color="auto"/>
                            <w:right w:val="none" w:sz="0" w:space="0" w:color="auto"/>
                          </w:divBdr>
                        </w:div>
                        <w:div w:id="1643579694">
                          <w:marLeft w:val="640"/>
                          <w:marRight w:val="0"/>
                          <w:marTop w:val="0"/>
                          <w:marBottom w:val="0"/>
                          <w:divBdr>
                            <w:top w:val="none" w:sz="0" w:space="0" w:color="auto"/>
                            <w:left w:val="none" w:sz="0" w:space="0" w:color="auto"/>
                            <w:bottom w:val="none" w:sz="0" w:space="0" w:color="auto"/>
                            <w:right w:val="none" w:sz="0" w:space="0" w:color="auto"/>
                          </w:divBdr>
                        </w:div>
                        <w:div w:id="253824996">
                          <w:marLeft w:val="640"/>
                          <w:marRight w:val="0"/>
                          <w:marTop w:val="0"/>
                          <w:marBottom w:val="0"/>
                          <w:divBdr>
                            <w:top w:val="none" w:sz="0" w:space="0" w:color="auto"/>
                            <w:left w:val="none" w:sz="0" w:space="0" w:color="auto"/>
                            <w:bottom w:val="none" w:sz="0" w:space="0" w:color="auto"/>
                            <w:right w:val="none" w:sz="0" w:space="0" w:color="auto"/>
                          </w:divBdr>
                        </w:div>
                        <w:div w:id="81727004">
                          <w:marLeft w:val="640"/>
                          <w:marRight w:val="0"/>
                          <w:marTop w:val="0"/>
                          <w:marBottom w:val="0"/>
                          <w:divBdr>
                            <w:top w:val="none" w:sz="0" w:space="0" w:color="auto"/>
                            <w:left w:val="none" w:sz="0" w:space="0" w:color="auto"/>
                            <w:bottom w:val="none" w:sz="0" w:space="0" w:color="auto"/>
                            <w:right w:val="none" w:sz="0" w:space="0" w:color="auto"/>
                          </w:divBdr>
                        </w:div>
                        <w:div w:id="1761834390">
                          <w:marLeft w:val="640"/>
                          <w:marRight w:val="0"/>
                          <w:marTop w:val="0"/>
                          <w:marBottom w:val="0"/>
                          <w:divBdr>
                            <w:top w:val="none" w:sz="0" w:space="0" w:color="auto"/>
                            <w:left w:val="none" w:sz="0" w:space="0" w:color="auto"/>
                            <w:bottom w:val="none" w:sz="0" w:space="0" w:color="auto"/>
                            <w:right w:val="none" w:sz="0" w:space="0" w:color="auto"/>
                          </w:divBdr>
                        </w:div>
                        <w:div w:id="205920800">
                          <w:marLeft w:val="640"/>
                          <w:marRight w:val="0"/>
                          <w:marTop w:val="0"/>
                          <w:marBottom w:val="0"/>
                          <w:divBdr>
                            <w:top w:val="none" w:sz="0" w:space="0" w:color="auto"/>
                            <w:left w:val="none" w:sz="0" w:space="0" w:color="auto"/>
                            <w:bottom w:val="none" w:sz="0" w:space="0" w:color="auto"/>
                            <w:right w:val="none" w:sz="0" w:space="0" w:color="auto"/>
                          </w:divBdr>
                        </w:div>
                        <w:div w:id="818111898">
                          <w:marLeft w:val="640"/>
                          <w:marRight w:val="0"/>
                          <w:marTop w:val="0"/>
                          <w:marBottom w:val="0"/>
                          <w:divBdr>
                            <w:top w:val="none" w:sz="0" w:space="0" w:color="auto"/>
                            <w:left w:val="none" w:sz="0" w:space="0" w:color="auto"/>
                            <w:bottom w:val="none" w:sz="0" w:space="0" w:color="auto"/>
                            <w:right w:val="none" w:sz="0" w:space="0" w:color="auto"/>
                          </w:divBdr>
                        </w:div>
                        <w:div w:id="1053890178">
                          <w:marLeft w:val="640"/>
                          <w:marRight w:val="0"/>
                          <w:marTop w:val="0"/>
                          <w:marBottom w:val="0"/>
                          <w:divBdr>
                            <w:top w:val="none" w:sz="0" w:space="0" w:color="auto"/>
                            <w:left w:val="none" w:sz="0" w:space="0" w:color="auto"/>
                            <w:bottom w:val="none" w:sz="0" w:space="0" w:color="auto"/>
                            <w:right w:val="none" w:sz="0" w:space="0" w:color="auto"/>
                          </w:divBdr>
                        </w:div>
                        <w:div w:id="1816992312">
                          <w:marLeft w:val="640"/>
                          <w:marRight w:val="0"/>
                          <w:marTop w:val="0"/>
                          <w:marBottom w:val="0"/>
                          <w:divBdr>
                            <w:top w:val="none" w:sz="0" w:space="0" w:color="auto"/>
                            <w:left w:val="none" w:sz="0" w:space="0" w:color="auto"/>
                            <w:bottom w:val="none" w:sz="0" w:space="0" w:color="auto"/>
                            <w:right w:val="none" w:sz="0" w:space="0" w:color="auto"/>
                          </w:divBdr>
                        </w:div>
                        <w:div w:id="1378974182">
                          <w:marLeft w:val="640"/>
                          <w:marRight w:val="0"/>
                          <w:marTop w:val="0"/>
                          <w:marBottom w:val="0"/>
                          <w:divBdr>
                            <w:top w:val="none" w:sz="0" w:space="0" w:color="auto"/>
                            <w:left w:val="none" w:sz="0" w:space="0" w:color="auto"/>
                            <w:bottom w:val="none" w:sz="0" w:space="0" w:color="auto"/>
                            <w:right w:val="none" w:sz="0" w:space="0" w:color="auto"/>
                          </w:divBdr>
                        </w:div>
                        <w:div w:id="592904906">
                          <w:marLeft w:val="640"/>
                          <w:marRight w:val="0"/>
                          <w:marTop w:val="0"/>
                          <w:marBottom w:val="0"/>
                          <w:divBdr>
                            <w:top w:val="none" w:sz="0" w:space="0" w:color="auto"/>
                            <w:left w:val="none" w:sz="0" w:space="0" w:color="auto"/>
                            <w:bottom w:val="none" w:sz="0" w:space="0" w:color="auto"/>
                            <w:right w:val="none" w:sz="0" w:space="0" w:color="auto"/>
                          </w:divBdr>
                        </w:div>
                      </w:divsChild>
                    </w:div>
                    <w:div w:id="39016904">
                      <w:marLeft w:val="0"/>
                      <w:marRight w:val="0"/>
                      <w:marTop w:val="0"/>
                      <w:marBottom w:val="0"/>
                      <w:divBdr>
                        <w:top w:val="none" w:sz="0" w:space="0" w:color="auto"/>
                        <w:left w:val="none" w:sz="0" w:space="0" w:color="auto"/>
                        <w:bottom w:val="none" w:sz="0" w:space="0" w:color="auto"/>
                        <w:right w:val="none" w:sz="0" w:space="0" w:color="auto"/>
                      </w:divBdr>
                      <w:divsChild>
                        <w:div w:id="236019342">
                          <w:marLeft w:val="640"/>
                          <w:marRight w:val="0"/>
                          <w:marTop w:val="0"/>
                          <w:marBottom w:val="0"/>
                          <w:divBdr>
                            <w:top w:val="none" w:sz="0" w:space="0" w:color="auto"/>
                            <w:left w:val="none" w:sz="0" w:space="0" w:color="auto"/>
                            <w:bottom w:val="none" w:sz="0" w:space="0" w:color="auto"/>
                            <w:right w:val="none" w:sz="0" w:space="0" w:color="auto"/>
                          </w:divBdr>
                        </w:div>
                        <w:div w:id="684020429">
                          <w:marLeft w:val="640"/>
                          <w:marRight w:val="0"/>
                          <w:marTop w:val="0"/>
                          <w:marBottom w:val="0"/>
                          <w:divBdr>
                            <w:top w:val="none" w:sz="0" w:space="0" w:color="auto"/>
                            <w:left w:val="none" w:sz="0" w:space="0" w:color="auto"/>
                            <w:bottom w:val="none" w:sz="0" w:space="0" w:color="auto"/>
                            <w:right w:val="none" w:sz="0" w:space="0" w:color="auto"/>
                          </w:divBdr>
                        </w:div>
                        <w:div w:id="1532301406">
                          <w:marLeft w:val="640"/>
                          <w:marRight w:val="0"/>
                          <w:marTop w:val="0"/>
                          <w:marBottom w:val="0"/>
                          <w:divBdr>
                            <w:top w:val="none" w:sz="0" w:space="0" w:color="auto"/>
                            <w:left w:val="none" w:sz="0" w:space="0" w:color="auto"/>
                            <w:bottom w:val="none" w:sz="0" w:space="0" w:color="auto"/>
                            <w:right w:val="none" w:sz="0" w:space="0" w:color="auto"/>
                          </w:divBdr>
                        </w:div>
                        <w:div w:id="1354185484">
                          <w:marLeft w:val="640"/>
                          <w:marRight w:val="0"/>
                          <w:marTop w:val="0"/>
                          <w:marBottom w:val="0"/>
                          <w:divBdr>
                            <w:top w:val="none" w:sz="0" w:space="0" w:color="auto"/>
                            <w:left w:val="none" w:sz="0" w:space="0" w:color="auto"/>
                            <w:bottom w:val="none" w:sz="0" w:space="0" w:color="auto"/>
                            <w:right w:val="none" w:sz="0" w:space="0" w:color="auto"/>
                          </w:divBdr>
                        </w:div>
                        <w:div w:id="342975226">
                          <w:marLeft w:val="640"/>
                          <w:marRight w:val="0"/>
                          <w:marTop w:val="0"/>
                          <w:marBottom w:val="0"/>
                          <w:divBdr>
                            <w:top w:val="none" w:sz="0" w:space="0" w:color="auto"/>
                            <w:left w:val="none" w:sz="0" w:space="0" w:color="auto"/>
                            <w:bottom w:val="none" w:sz="0" w:space="0" w:color="auto"/>
                            <w:right w:val="none" w:sz="0" w:space="0" w:color="auto"/>
                          </w:divBdr>
                        </w:div>
                        <w:div w:id="669216856">
                          <w:marLeft w:val="640"/>
                          <w:marRight w:val="0"/>
                          <w:marTop w:val="0"/>
                          <w:marBottom w:val="0"/>
                          <w:divBdr>
                            <w:top w:val="none" w:sz="0" w:space="0" w:color="auto"/>
                            <w:left w:val="none" w:sz="0" w:space="0" w:color="auto"/>
                            <w:bottom w:val="none" w:sz="0" w:space="0" w:color="auto"/>
                            <w:right w:val="none" w:sz="0" w:space="0" w:color="auto"/>
                          </w:divBdr>
                        </w:div>
                        <w:div w:id="1989361955">
                          <w:marLeft w:val="640"/>
                          <w:marRight w:val="0"/>
                          <w:marTop w:val="0"/>
                          <w:marBottom w:val="0"/>
                          <w:divBdr>
                            <w:top w:val="none" w:sz="0" w:space="0" w:color="auto"/>
                            <w:left w:val="none" w:sz="0" w:space="0" w:color="auto"/>
                            <w:bottom w:val="none" w:sz="0" w:space="0" w:color="auto"/>
                            <w:right w:val="none" w:sz="0" w:space="0" w:color="auto"/>
                          </w:divBdr>
                        </w:div>
                        <w:div w:id="601034425">
                          <w:marLeft w:val="640"/>
                          <w:marRight w:val="0"/>
                          <w:marTop w:val="0"/>
                          <w:marBottom w:val="0"/>
                          <w:divBdr>
                            <w:top w:val="none" w:sz="0" w:space="0" w:color="auto"/>
                            <w:left w:val="none" w:sz="0" w:space="0" w:color="auto"/>
                            <w:bottom w:val="none" w:sz="0" w:space="0" w:color="auto"/>
                            <w:right w:val="none" w:sz="0" w:space="0" w:color="auto"/>
                          </w:divBdr>
                        </w:div>
                        <w:div w:id="351491219">
                          <w:marLeft w:val="640"/>
                          <w:marRight w:val="0"/>
                          <w:marTop w:val="0"/>
                          <w:marBottom w:val="0"/>
                          <w:divBdr>
                            <w:top w:val="none" w:sz="0" w:space="0" w:color="auto"/>
                            <w:left w:val="none" w:sz="0" w:space="0" w:color="auto"/>
                            <w:bottom w:val="none" w:sz="0" w:space="0" w:color="auto"/>
                            <w:right w:val="none" w:sz="0" w:space="0" w:color="auto"/>
                          </w:divBdr>
                        </w:div>
                        <w:div w:id="1604919071">
                          <w:marLeft w:val="640"/>
                          <w:marRight w:val="0"/>
                          <w:marTop w:val="0"/>
                          <w:marBottom w:val="0"/>
                          <w:divBdr>
                            <w:top w:val="none" w:sz="0" w:space="0" w:color="auto"/>
                            <w:left w:val="none" w:sz="0" w:space="0" w:color="auto"/>
                            <w:bottom w:val="none" w:sz="0" w:space="0" w:color="auto"/>
                            <w:right w:val="none" w:sz="0" w:space="0" w:color="auto"/>
                          </w:divBdr>
                        </w:div>
                        <w:div w:id="970327418">
                          <w:marLeft w:val="640"/>
                          <w:marRight w:val="0"/>
                          <w:marTop w:val="0"/>
                          <w:marBottom w:val="0"/>
                          <w:divBdr>
                            <w:top w:val="none" w:sz="0" w:space="0" w:color="auto"/>
                            <w:left w:val="none" w:sz="0" w:space="0" w:color="auto"/>
                            <w:bottom w:val="none" w:sz="0" w:space="0" w:color="auto"/>
                            <w:right w:val="none" w:sz="0" w:space="0" w:color="auto"/>
                          </w:divBdr>
                        </w:div>
                        <w:div w:id="970479655">
                          <w:marLeft w:val="640"/>
                          <w:marRight w:val="0"/>
                          <w:marTop w:val="0"/>
                          <w:marBottom w:val="0"/>
                          <w:divBdr>
                            <w:top w:val="none" w:sz="0" w:space="0" w:color="auto"/>
                            <w:left w:val="none" w:sz="0" w:space="0" w:color="auto"/>
                            <w:bottom w:val="none" w:sz="0" w:space="0" w:color="auto"/>
                            <w:right w:val="none" w:sz="0" w:space="0" w:color="auto"/>
                          </w:divBdr>
                        </w:div>
                        <w:div w:id="1593392822">
                          <w:marLeft w:val="640"/>
                          <w:marRight w:val="0"/>
                          <w:marTop w:val="0"/>
                          <w:marBottom w:val="0"/>
                          <w:divBdr>
                            <w:top w:val="none" w:sz="0" w:space="0" w:color="auto"/>
                            <w:left w:val="none" w:sz="0" w:space="0" w:color="auto"/>
                            <w:bottom w:val="none" w:sz="0" w:space="0" w:color="auto"/>
                            <w:right w:val="none" w:sz="0" w:space="0" w:color="auto"/>
                          </w:divBdr>
                        </w:div>
                        <w:div w:id="1083064317">
                          <w:marLeft w:val="640"/>
                          <w:marRight w:val="0"/>
                          <w:marTop w:val="0"/>
                          <w:marBottom w:val="0"/>
                          <w:divBdr>
                            <w:top w:val="none" w:sz="0" w:space="0" w:color="auto"/>
                            <w:left w:val="none" w:sz="0" w:space="0" w:color="auto"/>
                            <w:bottom w:val="none" w:sz="0" w:space="0" w:color="auto"/>
                            <w:right w:val="none" w:sz="0" w:space="0" w:color="auto"/>
                          </w:divBdr>
                        </w:div>
                        <w:div w:id="1868328664">
                          <w:marLeft w:val="640"/>
                          <w:marRight w:val="0"/>
                          <w:marTop w:val="0"/>
                          <w:marBottom w:val="0"/>
                          <w:divBdr>
                            <w:top w:val="none" w:sz="0" w:space="0" w:color="auto"/>
                            <w:left w:val="none" w:sz="0" w:space="0" w:color="auto"/>
                            <w:bottom w:val="none" w:sz="0" w:space="0" w:color="auto"/>
                            <w:right w:val="none" w:sz="0" w:space="0" w:color="auto"/>
                          </w:divBdr>
                        </w:div>
                        <w:div w:id="706032674">
                          <w:marLeft w:val="640"/>
                          <w:marRight w:val="0"/>
                          <w:marTop w:val="0"/>
                          <w:marBottom w:val="0"/>
                          <w:divBdr>
                            <w:top w:val="none" w:sz="0" w:space="0" w:color="auto"/>
                            <w:left w:val="none" w:sz="0" w:space="0" w:color="auto"/>
                            <w:bottom w:val="none" w:sz="0" w:space="0" w:color="auto"/>
                            <w:right w:val="none" w:sz="0" w:space="0" w:color="auto"/>
                          </w:divBdr>
                        </w:div>
                        <w:div w:id="468137614">
                          <w:marLeft w:val="640"/>
                          <w:marRight w:val="0"/>
                          <w:marTop w:val="0"/>
                          <w:marBottom w:val="0"/>
                          <w:divBdr>
                            <w:top w:val="none" w:sz="0" w:space="0" w:color="auto"/>
                            <w:left w:val="none" w:sz="0" w:space="0" w:color="auto"/>
                            <w:bottom w:val="none" w:sz="0" w:space="0" w:color="auto"/>
                            <w:right w:val="none" w:sz="0" w:space="0" w:color="auto"/>
                          </w:divBdr>
                        </w:div>
                        <w:div w:id="129171718">
                          <w:marLeft w:val="640"/>
                          <w:marRight w:val="0"/>
                          <w:marTop w:val="0"/>
                          <w:marBottom w:val="0"/>
                          <w:divBdr>
                            <w:top w:val="none" w:sz="0" w:space="0" w:color="auto"/>
                            <w:left w:val="none" w:sz="0" w:space="0" w:color="auto"/>
                            <w:bottom w:val="none" w:sz="0" w:space="0" w:color="auto"/>
                            <w:right w:val="none" w:sz="0" w:space="0" w:color="auto"/>
                          </w:divBdr>
                        </w:div>
                        <w:div w:id="893660840">
                          <w:marLeft w:val="640"/>
                          <w:marRight w:val="0"/>
                          <w:marTop w:val="0"/>
                          <w:marBottom w:val="0"/>
                          <w:divBdr>
                            <w:top w:val="none" w:sz="0" w:space="0" w:color="auto"/>
                            <w:left w:val="none" w:sz="0" w:space="0" w:color="auto"/>
                            <w:bottom w:val="none" w:sz="0" w:space="0" w:color="auto"/>
                            <w:right w:val="none" w:sz="0" w:space="0" w:color="auto"/>
                          </w:divBdr>
                        </w:div>
                        <w:div w:id="1217668783">
                          <w:marLeft w:val="640"/>
                          <w:marRight w:val="0"/>
                          <w:marTop w:val="0"/>
                          <w:marBottom w:val="0"/>
                          <w:divBdr>
                            <w:top w:val="none" w:sz="0" w:space="0" w:color="auto"/>
                            <w:left w:val="none" w:sz="0" w:space="0" w:color="auto"/>
                            <w:bottom w:val="none" w:sz="0" w:space="0" w:color="auto"/>
                            <w:right w:val="none" w:sz="0" w:space="0" w:color="auto"/>
                          </w:divBdr>
                        </w:div>
                        <w:div w:id="32970493">
                          <w:marLeft w:val="640"/>
                          <w:marRight w:val="0"/>
                          <w:marTop w:val="0"/>
                          <w:marBottom w:val="0"/>
                          <w:divBdr>
                            <w:top w:val="none" w:sz="0" w:space="0" w:color="auto"/>
                            <w:left w:val="none" w:sz="0" w:space="0" w:color="auto"/>
                            <w:bottom w:val="none" w:sz="0" w:space="0" w:color="auto"/>
                            <w:right w:val="none" w:sz="0" w:space="0" w:color="auto"/>
                          </w:divBdr>
                        </w:div>
                        <w:div w:id="1793401427">
                          <w:marLeft w:val="640"/>
                          <w:marRight w:val="0"/>
                          <w:marTop w:val="0"/>
                          <w:marBottom w:val="0"/>
                          <w:divBdr>
                            <w:top w:val="none" w:sz="0" w:space="0" w:color="auto"/>
                            <w:left w:val="none" w:sz="0" w:space="0" w:color="auto"/>
                            <w:bottom w:val="none" w:sz="0" w:space="0" w:color="auto"/>
                            <w:right w:val="none" w:sz="0" w:space="0" w:color="auto"/>
                          </w:divBdr>
                        </w:div>
                        <w:div w:id="1586306600">
                          <w:marLeft w:val="640"/>
                          <w:marRight w:val="0"/>
                          <w:marTop w:val="0"/>
                          <w:marBottom w:val="0"/>
                          <w:divBdr>
                            <w:top w:val="none" w:sz="0" w:space="0" w:color="auto"/>
                            <w:left w:val="none" w:sz="0" w:space="0" w:color="auto"/>
                            <w:bottom w:val="none" w:sz="0" w:space="0" w:color="auto"/>
                            <w:right w:val="none" w:sz="0" w:space="0" w:color="auto"/>
                          </w:divBdr>
                        </w:div>
                        <w:div w:id="1051609661">
                          <w:marLeft w:val="640"/>
                          <w:marRight w:val="0"/>
                          <w:marTop w:val="0"/>
                          <w:marBottom w:val="0"/>
                          <w:divBdr>
                            <w:top w:val="none" w:sz="0" w:space="0" w:color="auto"/>
                            <w:left w:val="none" w:sz="0" w:space="0" w:color="auto"/>
                            <w:bottom w:val="none" w:sz="0" w:space="0" w:color="auto"/>
                            <w:right w:val="none" w:sz="0" w:space="0" w:color="auto"/>
                          </w:divBdr>
                        </w:div>
                        <w:div w:id="25764376">
                          <w:marLeft w:val="640"/>
                          <w:marRight w:val="0"/>
                          <w:marTop w:val="0"/>
                          <w:marBottom w:val="0"/>
                          <w:divBdr>
                            <w:top w:val="none" w:sz="0" w:space="0" w:color="auto"/>
                            <w:left w:val="none" w:sz="0" w:space="0" w:color="auto"/>
                            <w:bottom w:val="none" w:sz="0" w:space="0" w:color="auto"/>
                            <w:right w:val="none" w:sz="0" w:space="0" w:color="auto"/>
                          </w:divBdr>
                        </w:div>
                        <w:div w:id="954289539">
                          <w:marLeft w:val="640"/>
                          <w:marRight w:val="0"/>
                          <w:marTop w:val="0"/>
                          <w:marBottom w:val="0"/>
                          <w:divBdr>
                            <w:top w:val="none" w:sz="0" w:space="0" w:color="auto"/>
                            <w:left w:val="none" w:sz="0" w:space="0" w:color="auto"/>
                            <w:bottom w:val="none" w:sz="0" w:space="0" w:color="auto"/>
                            <w:right w:val="none" w:sz="0" w:space="0" w:color="auto"/>
                          </w:divBdr>
                        </w:div>
                        <w:div w:id="496312455">
                          <w:marLeft w:val="640"/>
                          <w:marRight w:val="0"/>
                          <w:marTop w:val="0"/>
                          <w:marBottom w:val="0"/>
                          <w:divBdr>
                            <w:top w:val="none" w:sz="0" w:space="0" w:color="auto"/>
                            <w:left w:val="none" w:sz="0" w:space="0" w:color="auto"/>
                            <w:bottom w:val="none" w:sz="0" w:space="0" w:color="auto"/>
                            <w:right w:val="none" w:sz="0" w:space="0" w:color="auto"/>
                          </w:divBdr>
                        </w:div>
                      </w:divsChild>
                    </w:div>
                    <w:div w:id="1884973706">
                      <w:marLeft w:val="0"/>
                      <w:marRight w:val="0"/>
                      <w:marTop w:val="0"/>
                      <w:marBottom w:val="0"/>
                      <w:divBdr>
                        <w:top w:val="none" w:sz="0" w:space="0" w:color="auto"/>
                        <w:left w:val="none" w:sz="0" w:space="0" w:color="auto"/>
                        <w:bottom w:val="none" w:sz="0" w:space="0" w:color="auto"/>
                        <w:right w:val="none" w:sz="0" w:space="0" w:color="auto"/>
                      </w:divBdr>
                      <w:divsChild>
                        <w:div w:id="1745448923">
                          <w:marLeft w:val="640"/>
                          <w:marRight w:val="0"/>
                          <w:marTop w:val="0"/>
                          <w:marBottom w:val="0"/>
                          <w:divBdr>
                            <w:top w:val="none" w:sz="0" w:space="0" w:color="auto"/>
                            <w:left w:val="none" w:sz="0" w:space="0" w:color="auto"/>
                            <w:bottom w:val="none" w:sz="0" w:space="0" w:color="auto"/>
                            <w:right w:val="none" w:sz="0" w:space="0" w:color="auto"/>
                          </w:divBdr>
                        </w:div>
                        <w:div w:id="121388464">
                          <w:marLeft w:val="640"/>
                          <w:marRight w:val="0"/>
                          <w:marTop w:val="0"/>
                          <w:marBottom w:val="0"/>
                          <w:divBdr>
                            <w:top w:val="none" w:sz="0" w:space="0" w:color="auto"/>
                            <w:left w:val="none" w:sz="0" w:space="0" w:color="auto"/>
                            <w:bottom w:val="none" w:sz="0" w:space="0" w:color="auto"/>
                            <w:right w:val="none" w:sz="0" w:space="0" w:color="auto"/>
                          </w:divBdr>
                        </w:div>
                        <w:div w:id="1041368826">
                          <w:marLeft w:val="640"/>
                          <w:marRight w:val="0"/>
                          <w:marTop w:val="0"/>
                          <w:marBottom w:val="0"/>
                          <w:divBdr>
                            <w:top w:val="none" w:sz="0" w:space="0" w:color="auto"/>
                            <w:left w:val="none" w:sz="0" w:space="0" w:color="auto"/>
                            <w:bottom w:val="none" w:sz="0" w:space="0" w:color="auto"/>
                            <w:right w:val="none" w:sz="0" w:space="0" w:color="auto"/>
                          </w:divBdr>
                        </w:div>
                        <w:div w:id="2143182521">
                          <w:marLeft w:val="640"/>
                          <w:marRight w:val="0"/>
                          <w:marTop w:val="0"/>
                          <w:marBottom w:val="0"/>
                          <w:divBdr>
                            <w:top w:val="none" w:sz="0" w:space="0" w:color="auto"/>
                            <w:left w:val="none" w:sz="0" w:space="0" w:color="auto"/>
                            <w:bottom w:val="none" w:sz="0" w:space="0" w:color="auto"/>
                            <w:right w:val="none" w:sz="0" w:space="0" w:color="auto"/>
                          </w:divBdr>
                        </w:div>
                        <w:div w:id="1615400864">
                          <w:marLeft w:val="640"/>
                          <w:marRight w:val="0"/>
                          <w:marTop w:val="0"/>
                          <w:marBottom w:val="0"/>
                          <w:divBdr>
                            <w:top w:val="none" w:sz="0" w:space="0" w:color="auto"/>
                            <w:left w:val="none" w:sz="0" w:space="0" w:color="auto"/>
                            <w:bottom w:val="none" w:sz="0" w:space="0" w:color="auto"/>
                            <w:right w:val="none" w:sz="0" w:space="0" w:color="auto"/>
                          </w:divBdr>
                        </w:div>
                        <w:div w:id="1701515111">
                          <w:marLeft w:val="640"/>
                          <w:marRight w:val="0"/>
                          <w:marTop w:val="0"/>
                          <w:marBottom w:val="0"/>
                          <w:divBdr>
                            <w:top w:val="none" w:sz="0" w:space="0" w:color="auto"/>
                            <w:left w:val="none" w:sz="0" w:space="0" w:color="auto"/>
                            <w:bottom w:val="none" w:sz="0" w:space="0" w:color="auto"/>
                            <w:right w:val="none" w:sz="0" w:space="0" w:color="auto"/>
                          </w:divBdr>
                        </w:div>
                        <w:div w:id="1752659429">
                          <w:marLeft w:val="640"/>
                          <w:marRight w:val="0"/>
                          <w:marTop w:val="0"/>
                          <w:marBottom w:val="0"/>
                          <w:divBdr>
                            <w:top w:val="none" w:sz="0" w:space="0" w:color="auto"/>
                            <w:left w:val="none" w:sz="0" w:space="0" w:color="auto"/>
                            <w:bottom w:val="none" w:sz="0" w:space="0" w:color="auto"/>
                            <w:right w:val="none" w:sz="0" w:space="0" w:color="auto"/>
                          </w:divBdr>
                        </w:div>
                        <w:div w:id="2050450017">
                          <w:marLeft w:val="640"/>
                          <w:marRight w:val="0"/>
                          <w:marTop w:val="0"/>
                          <w:marBottom w:val="0"/>
                          <w:divBdr>
                            <w:top w:val="none" w:sz="0" w:space="0" w:color="auto"/>
                            <w:left w:val="none" w:sz="0" w:space="0" w:color="auto"/>
                            <w:bottom w:val="none" w:sz="0" w:space="0" w:color="auto"/>
                            <w:right w:val="none" w:sz="0" w:space="0" w:color="auto"/>
                          </w:divBdr>
                        </w:div>
                        <w:div w:id="1895653569">
                          <w:marLeft w:val="640"/>
                          <w:marRight w:val="0"/>
                          <w:marTop w:val="0"/>
                          <w:marBottom w:val="0"/>
                          <w:divBdr>
                            <w:top w:val="none" w:sz="0" w:space="0" w:color="auto"/>
                            <w:left w:val="none" w:sz="0" w:space="0" w:color="auto"/>
                            <w:bottom w:val="none" w:sz="0" w:space="0" w:color="auto"/>
                            <w:right w:val="none" w:sz="0" w:space="0" w:color="auto"/>
                          </w:divBdr>
                        </w:div>
                        <w:div w:id="962855402">
                          <w:marLeft w:val="640"/>
                          <w:marRight w:val="0"/>
                          <w:marTop w:val="0"/>
                          <w:marBottom w:val="0"/>
                          <w:divBdr>
                            <w:top w:val="none" w:sz="0" w:space="0" w:color="auto"/>
                            <w:left w:val="none" w:sz="0" w:space="0" w:color="auto"/>
                            <w:bottom w:val="none" w:sz="0" w:space="0" w:color="auto"/>
                            <w:right w:val="none" w:sz="0" w:space="0" w:color="auto"/>
                          </w:divBdr>
                        </w:div>
                        <w:div w:id="55705759">
                          <w:marLeft w:val="640"/>
                          <w:marRight w:val="0"/>
                          <w:marTop w:val="0"/>
                          <w:marBottom w:val="0"/>
                          <w:divBdr>
                            <w:top w:val="none" w:sz="0" w:space="0" w:color="auto"/>
                            <w:left w:val="none" w:sz="0" w:space="0" w:color="auto"/>
                            <w:bottom w:val="none" w:sz="0" w:space="0" w:color="auto"/>
                            <w:right w:val="none" w:sz="0" w:space="0" w:color="auto"/>
                          </w:divBdr>
                        </w:div>
                        <w:div w:id="876620036">
                          <w:marLeft w:val="640"/>
                          <w:marRight w:val="0"/>
                          <w:marTop w:val="0"/>
                          <w:marBottom w:val="0"/>
                          <w:divBdr>
                            <w:top w:val="none" w:sz="0" w:space="0" w:color="auto"/>
                            <w:left w:val="none" w:sz="0" w:space="0" w:color="auto"/>
                            <w:bottom w:val="none" w:sz="0" w:space="0" w:color="auto"/>
                            <w:right w:val="none" w:sz="0" w:space="0" w:color="auto"/>
                          </w:divBdr>
                        </w:div>
                        <w:div w:id="94832165">
                          <w:marLeft w:val="640"/>
                          <w:marRight w:val="0"/>
                          <w:marTop w:val="0"/>
                          <w:marBottom w:val="0"/>
                          <w:divBdr>
                            <w:top w:val="none" w:sz="0" w:space="0" w:color="auto"/>
                            <w:left w:val="none" w:sz="0" w:space="0" w:color="auto"/>
                            <w:bottom w:val="none" w:sz="0" w:space="0" w:color="auto"/>
                            <w:right w:val="none" w:sz="0" w:space="0" w:color="auto"/>
                          </w:divBdr>
                        </w:div>
                        <w:div w:id="1861236402">
                          <w:marLeft w:val="640"/>
                          <w:marRight w:val="0"/>
                          <w:marTop w:val="0"/>
                          <w:marBottom w:val="0"/>
                          <w:divBdr>
                            <w:top w:val="none" w:sz="0" w:space="0" w:color="auto"/>
                            <w:left w:val="none" w:sz="0" w:space="0" w:color="auto"/>
                            <w:bottom w:val="none" w:sz="0" w:space="0" w:color="auto"/>
                            <w:right w:val="none" w:sz="0" w:space="0" w:color="auto"/>
                          </w:divBdr>
                        </w:div>
                        <w:div w:id="755323815">
                          <w:marLeft w:val="640"/>
                          <w:marRight w:val="0"/>
                          <w:marTop w:val="0"/>
                          <w:marBottom w:val="0"/>
                          <w:divBdr>
                            <w:top w:val="none" w:sz="0" w:space="0" w:color="auto"/>
                            <w:left w:val="none" w:sz="0" w:space="0" w:color="auto"/>
                            <w:bottom w:val="none" w:sz="0" w:space="0" w:color="auto"/>
                            <w:right w:val="none" w:sz="0" w:space="0" w:color="auto"/>
                          </w:divBdr>
                        </w:div>
                        <w:div w:id="635186047">
                          <w:marLeft w:val="640"/>
                          <w:marRight w:val="0"/>
                          <w:marTop w:val="0"/>
                          <w:marBottom w:val="0"/>
                          <w:divBdr>
                            <w:top w:val="none" w:sz="0" w:space="0" w:color="auto"/>
                            <w:left w:val="none" w:sz="0" w:space="0" w:color="auto"/>
                            <w:bottom w:val="none" w:sz="0" w:space="0" w:color="auto"/>
                            <w:right w:val="none" w:sz="0" w:space="0" w:color="auto"/>
                          </w:divBdr>
                        </w:div>
                        <w:div w:id="22479940">
                          <w:marLeft w:val="640"/>
                          <w:marRight w:val="0"/>
                          <w:marTop w:val="0"/>
                          <w:marBottom w:val="0"/>
                          <w:divBdr>
                            <w:top w:val="none" w:sz="0" w:space="0" w:color="auto"/>
                            <w:left w:val="none" w:sz="0" w:space="0" w:color="auto"/>
                            <w:bottom w:val="none" w:sz="0" w:space="0" w:color="auto"/>
                            <w:right w:val="none" w:sz="0" w:space="0" w:color="auto"/>
                          </w:divBdr>
                        </w:div>
                        <w:div w:id="620650598">
                          <w:marLeft w:val="640"/>
                          <w:marRight w:val="0"/>
                          <w:marTop w:val="0"/>
                          <w:marBottom w:val="0"/>
                          <w:divBdr>
                            <w:top w:val="none" w:sz="0" w:space="0" w:color="auto"/>
                            <w:left w:val="none" w:sz="0" w:space="0" w:color="auto"/>
                            <w:bottom w:val="none" w:sz="0" w:space="0" w:color="auto"/>
                            <w:right w:val="none" w:sz="0" w:space="0" w:color="auto"/>
                          </w:divBdr>
                        </w:div>
                        <w:div w:id="712580877">
                          <w:marLeft w:val="640"/>
                          <w:marRight w:val="0"/>
                          <w:marTop w:val="0"/>
                          <w:marBottom w:val="0"/>
                          <w:divBdr>
                            <w:top w:val="none" w:sz="0" w:space="0" w:color="auto"/>
                            <w:left w:val="none" w:sz="0" w:space="0" w:color="auto"/>
                            <w:bottom w:val="none" w:sz="0" w:space="0" w:color="auto"/>
                            <w:right w:val="none" w:sz="0" w:space="0" w:color="auto"/>
                          </w:divBdr>
                        </w:div>
                        <w:div w:id="1836342113">
                          <w:marLeft w:val="640"/>
                          <w:marRight w:val="0"/>
                          <w:marTop w:val="0"/>
                          <w:marBottom w:val="0"/>
                          <w:divBdr>
                            <w:top w:val="none" w:sz="0" w:space="0" w:color="auto"/>
                            <w:left w:val="none" w:sz="0" w:space="0" w:color="auto"/>
                            <w:bottom w:val="none" w:sz="0" w:space="0" w:color="auto"/>
                            <w:right w:val="none" w:sz="0" w:space="0" w:color="auto"/>
                          </w:divBdr>
                        </w:div>
                        <w:div w:id="1386834475">
                          <w:marLeft w:val="640"/>
                          <w:marRight w:val="0"/>
                          <w:marTop w:val="0"/>
                          <w:marBottom w:val="0"/>
                          <w:divBdr>
                            <w:top w:val="none" w:sz="0" w:space="0" w:color="auto"/>
                            <w:left w:val="none" w:sz="0" w:space="0" w:color="auto"/>
                            <w:bottom w:val="none" w:sz="0" w:space="0" w:color="auto"/>
                            <w:right w:val="none" w:sz="0" w:space="0" w:color="auto"/>
                          </w:divBdr>
                        </w:div>
                        <w:div w:id="1266620749">
                          <w:marLeft w:val="640"/>
                          <w:marRight w:val="0"/>
                          <w:marTop w:val="0"/>
                          <w:marBottom w:val="0"/>
                          <w:divBdr>
                            <w:top w:val="none" w:sz="0" w:space="0" w:color="auto"/>
                            <w:left w:val="none" w:sz="0" w:space="0" w:color="auto"/>
                            <w:bottom w:val="none" w:sz="0" w:space="0" w:color="auto"/>
                            <w:right w:val="none" w:sz="0" w:space="0" w:color="auto"/>
                          </w:divBdr>
                        </w:div>
                        <w:div w:id="1401560070">
                          <w:marLeft w:val="640"/>
                          <w:marRight w:val="0"/>
                          <w:marTop w:val="0"/>
                          <w:marBottom w:val="0"/>
                          <w:divBdr>
                            <w:top w:val="none" w:sz="0" w:space="0" w:color="auto"/>
                            <w:left w:val="none" w:sz="0" w:space="0" w:color="auto"/>
                            <w:bottom w:val="none" w:sz="0" w:space="0" w:color="auto"/>
                            <w:right w:val="none" w:sz="0" w:space="0" w:color="auto"/>
                          </w:divBdr>
                        </w:div>
                        <w:div w:id="246888823">
                          <w:marLeft w:val="640"/>
                          <w:marRight w:val="0"/>
                          <w:marTop w:val="0"/>
                          <w:marBottom w:val="0"/>
                          <w:divBdr>
                            <w:top w:val="none" w:sz="0" w:space="0" w:color="auto"/>
                            <w:left w:val="none" w:sz="0" w:space="0" w:color="auto"/>
                            <w:bottom w:val="none" w:sz="0" w:space="0" w:color="auto"/>
                            <w:right w:val="none" w:sz="0" w:space="0" w:color="auto"/>
                          </w:divBdr>
                        </w:div>
                        <w:div w:id="1748577795">
                          <w:marLeft w:val="640"/>
                          <w:marRight w:val="0"/>
                          <w:marTop w:val="0"/>
                          <w:marBottom w:val="0"/>
                          <w:divBdr>
                            <w:top w:val="none" w:sz="0" w:space="0" w:color="auto"/>
                            <w:left w:val="none" w:sz="0" w:space="0" w:color="auto"/>
                            <w:bottom w:val="none" w:sz="0" w:space="0" w:color="auto"/>
                            <w:right w:val="none" w:sz="0" w:space="0" w:color="auto"/>
                          </w:divBdr>
                        </w:div>
                        <w:div w:id="1952203145">
                          <w:marLeft w:val="640"/>
                          <w:marRight w:val="0"/>
                          <w:marTop w:val="0"/>
                          <w:marBottom w:val="0"/>
                          <w:divBdr>
                            <w:top w:val="none" w:sz="0" w:space="0" w:color="auto"/>
                            <w:left w:val="none" w:sz="0" w:space="0" w:color="auto"/>
                            <w:bottom w:val="none" w:sz="0" w:space="0" w:color="auto"/>
                            <w:right w:val="none" w:sz="0" w:space="0" w:color="auto"/>
                          </w:divBdr>
                        </w:div>
                      </w:divsChild>
                    </w:div>
                    <w:div w:id="818116771">
                      <w:marLeft w:val="0"/>
                      <w:marRight w:val="0"/>
                      <w:marTop w:val="0"/>
                      <w:marBottom w:val="0"/>
                      <w:divBdr>
                        <w:top w:val="none" w:sz="0" w:space="0" w:color="auto"/>
                        <w:left w:val="none" w:sz="0" w:space="0" w:color="auto"/>
                        <w:bottom w:val="none" w:sz="0" w:space="0" w:color="auto"/>
                        <w:right w:val="none" w:sz="0" w:space="0" w:color="auto"/>
                      </w:divBdr>
                      <w:divsChild>
                        <w:div w:id="1892770622">
                          <w:marLeft w:val="640"/>
                          <w:marRight w:val="0"/>
                          <w:marTop w:val="0"/>
                          <w:marBottom w:val="0"/>
                          <w:divBdr>
                            <w:top w:val="none" w:sz="0" w:space="0" w:color="auto"/>
                            <w:left w:val="none" w:sz="0" w:space="0" w:color="auto"/>
                            <w:bottom w:val="none" w:sz="0" w:space="0" w:color="auto"/>
                            <w:right w:val="none" w:sz="0" w:space="0" w:color="auto"/>
                          </w:divBdr>
                        </w:div>
                        <w:div w:id="894967892">
                          <w:marLeft w:val="640"/>
                          <w:marRight w:val="0"/>
                          <w:marTop w:val="0"/>
                          <w:marBottom w:val="0"/>
                          <w:divBdr>
                            <w:top w:val="none" w:sz="0" w:space="0" w:color="auto"/>
                            <w:left w:val="none" w:sz="0" w:space="0" w:color="auto"/>
                            <w:bottom w:val="none" w:sz="0" w:space="0" w:color="auto"/>
                            <w:right w:val="none" w:sz="0" w:space="0" w:color="auto"/>
                          </w:divBdr>
                        </w:div>
                        <w:div w:id="907224241">
                          <w:marLeft w:val="640"/>
                          <w:marRight w:val="0"/>
                          <w:marTop w:val="0"/>
                          <w:marBottom w:val="0"/>
                          <w:divBdr>
                            <w:top w:val="none" w:sz="0" w:space="0" w:color="auto"/>
                            <w:left w:val="none" w:sz="0" w:space="0" w:color="auto"/>
                            <w:bottom w:val="none" w:sz="0" w:space="0" w:color="auto"/>
                            <w:right w:val="none" w:sz="0" w:space="0" w:color="auto"/>
                          </w:divBdr>
                        </w:div>
                        <w:div w:id="919950796">
                          <w:marLeft w:val="640"/>
                          <w:marRight w:val="0"/>
                          <w:marTop w:val="0"/>
                          <w:marBottom w:val="0"/>
                          <w:divBdr>
                            <w:top w:val="none" w:sz="0" w:space="0" w:color="auto"/>
                            <w:left w:val="none" w:sz="0" w:space="0" w:color="auto"/>
                            <w:bottom w:val="none" w:sz="0" w:space="0" w:color="auto"/>
                            <w:right w:val="none" w:sz="0" w:space="0" w:color="auto"/>
                          </w:divBdr>
                        </w:div>
                        <w:div w:id="246161951">
                          <w:marLeft w:val="640"/>
                          <w:marRight w:val="0"/>
                          <w:marTop w:val="0"/>
                          <w:marBottom w:val="0"/>
                          <w:divBdr>
                            <w:top w:val="none" w:sz="0" w:space="0" w:color="auto"/>
                            <w:left w:val="none" w:sz="0" w:space="0" w:color="auto"/>
                            <w:bottom w:val="none" w:sz="0" w:space="0" w:color="auto"/>
                            <w:right w:val="none" w:sz="0" w:space="0" w:color="auto"/>
                          </w:divBdr>
                        </w:div>
                        <w:div w:id="971134283">
                          <w:marLeft w:val="640"/>
                          <w:marRight w:val="0"/>
                          <w:marTop w:val="0"/>
                          <w:marBottom w:val="0"/>
                          <w:divBdr>
                            <w:top w:val="none" w:sz="0" w:space="0" w:color="auto"/>
                            <w:left w:val="none" w:sz="0" w:space="0" w:color="auto"/>
                            <w:bottom w:val="none" w:sz="0" w:space="0" w:color="auto"/>
                            <w:right w:val="none" w:sz="0" w:space="0" w:color="auto"/>
                          </w:divBdr>
                        </w:div>
                        <w:div w:id="858008213">
                          <w:marLeft w:val="640"/>
                          <w:marRight w:val="0"/>
                          <w:marTop w:val="0"/>
                          <w:marBottom w:val="0"/>
                          <w:divBdr>
                            <w:top w:val="none" w:sz="0" w:space="0" w:color="auto"/>
                            <w:left w:val="none" w:sz="0" w:space="0" w:color="auto"/>
                            <w:bottom w:val="none" w:sz="0" w:space="0" w:color="auto"/>
                            <w:right w:val="none" w:sz="0" w:space="0" w:color="auto"/>
                          </w:divBdr>
                        </w:div>
                        <w:div w:id="2032761549">
                          <w:marLeft w:val="640"/>
                          <w:marRight w:val="0"/>
                          <w:marTop w:val="0"/>
                          <w:marBottom w:val="0"/>
                          <w:divBdr>
                            <w:top w:val="none" w:sz="0" w:space="0" w:color="auto"/>
                            <w:left w:val="none" w:sz="0" w:space="0" w:color="auto"/>
                            <w:bottom w:val="none" w:sz="0" w:space="0" w:color="auto"/>
                            <w:right w:val="none" w:sz="0" w:space="0" w:color="auto"/>
                          </w:divBdr>
                        </w:div>
                        <w:div w:id="997001305">
                          <w:marLeft w:val="640"/>
                          <w:marRight w:val="0"/>
                          <w:marTop w:val="0"/>
                          <w:marBottom w:val="0"/>
                          <w:divBdr>
                            <w:top w:val="none" w:sz="0" w:space="0" w:color="auto"/>
                            <w:left w:val="none" w:sz="0" w:space="0" w:color="auto"/>
                            <w:bottom w:val="none" w:sz="0" w:space="0" w:color="auto"/>
                            <w:right w:val="none" w:sz="0" w:space="0" w:color="auto"/>
                          </w:divBdr>
                        </w:div>
                        <w:div w:id="1758669787">
                          <w:marLeft w:val="640"/>
                          <w:marRight w:val="0"/>
                          <w:marTop w:val="0"/>
                          <w:marBottom w:val="0"/>
                          <w:divBdr>
                            <w:top w:val="none" w:sz="0" w:space="0" w:color="auto"/>
                            <w:left w:val="none" w:sz="0" w:space="0" w:color="auto"/>
                            <w:bottom w:val="none" w:sz="0" w:space="0" w:color="auto"/>
                            <w:right w:val="none" w:sz="0" w:space="0" w:color="auto"/>
                          </w:divBdr>
                        </w:div>
                        <w:div w:id="1377044798">
                          <w:marLeft w:val="640"/>
                          <w:marRight w:val="0"/>
                          <w:marTop w:val="0"/>
                          <w:marBottom w:val="0"/>
                          <w:divBdr>
                            <w:top w:val="none" w:sz="0" w:space="0" w:color="auto"/>
                            <w:left w:val="none" w:sz="0" w:space="0" w:color="auto"/>
                            <w:bottom w:val="none" w:sz="0" w:space="0" w:color="auto"/>
                            <w:right w:val="none" w:sz="0" w:space="0" w:color="auto"/>
                          </w:divBdr>
                        </w:div>
                        <w:div w:id="1664313181">
                          <w:marLeft w:val="640"/>
                          <w:marRight w:val="0"/>
                          <w:marTop w:val="0"/>
                          <w:marBottom w:val="0"/>
                          <w:divBdr>
                            <w:top w:val="none" w:sz="0" w:space="0" w:color="auto"/>
                            <w:left w:val="none" w:sz="0" w:space="0" w:color="auto"/>
                            <w:bottom w:val="none" w:sz="0" w:space="0" w:color="auto"/>
                            <w:right w:val="none" w:sz="0" w:space="0" w:color="auto"/>
                          </w:divBdr>
                        </w:div>
                        <w:div w:id="313418770">
                          <w:marLeft w:val="640"/>
                          <w:marRight w:val="0"/>
                          <w:marTop w:val="0"/>
                          <w:marBottom w:val="0"/>
                          <w:divBdr>
                            <w:top w:val="none" w:sz="0" w:space="0" w:color="auto"/>
                            <w:left w:val="none" w:sz="0" w:space="0" w:color="auto"/>
                            <w:bottom w:val="none" w:sz="0" w:space="0" w:color="auto"/>
                            <w:right w:val="none" w:sz="0" w:space="0" w:color="auto"/>
                          </w:divBdr>
                        </w:div>
                        <w:div w:id="1769613375">
                          <w:marLeft w:val="640"/>
                          <w:marRight w:val="0"/>
                          <w:marTop w:val="0"/>
                          <w:marBottom w:val="0"/>
                          <w:divBdr>
                            <w:top w:val="none" w:sz="0" w:space="0" w:color="auto"/>
                            <w:left w:val="none" w:sz="0" w:space="0" w:color="auto"/>
                            <w:bottom w:val="none" w:sz="0" w:space="0" w:color="auto"/>
                            <w:right w:val="none" w:sz="0" w:space="0" w:color="auto"/>
                          </w:divBdr>
                        </w:div>
                        <w:div w:id="361830692">
                          <w:marLeft w:val="640"/>
                          <w:marRight w:val="0"/>
                          <w:marTop w:val="0"/>
                          <w:marBottom w:val="0"/>
                          <w:divBdr>
                            <w:top w:val="none" w:sz="0" w:space="0" w:color="auto"/>
                            <w:left w:val="none" w:sz="0" w:space="0" w:color="auto"/>
                            <w:bottom w:val="none" w:sz="0" w:space="0" w:color="auto"/>
                            <w:right w:val="none" w:sz="0" w:space="0" w:color="auto"/>
                          </w:divBdr>
                        </w:div>
                        <w:div w:id="303852652">
                          <w:marLeft w:val="640"/>
                          <w:marRight w:val="0"/>
                          <w:marTop w:val="0"/>
                          <w:marBottom w:val="0"/>
                          <w:divBdr>
                            <w:top w:val="none" w:sz="0" w:space="0" w:color="auto"/>
                            <w:left w:val="none" w:sz="0" w:space="0" w:color="auto"/>
                            <w:bottom w:val="none" w:sz="0" w:space="0" w:color="auto"/>
                            <w:right w:val="none" w:sz="0" w:space="0" w:color="auto"/>
                          </w:divBdr>
                        </w:div>
                        <w:div w:id="1359619364">
                          <w:marLeft w:val="640"/>
                          <w:marRight w:val="0"/>
                          <w:marTop w:val="0"/>
                          <w:marBottom w:val="0"/>
                          <w:divBdr>
                            <w:top w:val="none" w:sz="0" w:space="0" w:color="auto"/>
                            <w:left w:val="none" w:sz="0" w:space="0" w:color="auto"/>
                            <w:bottom w:val="none" w:sz="0" w:space="0" w:color="auto"/>
                            <w:right w:val="none" w:sz="0" w:space="0" w:color="auto"/>
                          </w:divBdr>
                        </w:div>
                        <w:div w:id="2061132593">
                          <w:marLeft w:val="640"/>
                          <w:marRight w:val="0"/>
                          <w:marTop w:val="0"/>
                          <w:marBottom w:val="0"/>
                          <w:divBdr>
                            <w:top w:val="none" w:sz="0" w:space="0" w:color="auto"/>
                            <w:left w:val="none" w:sz="0" w:space="0" w:color="auto"/>
                            <w:bottom w:val="none" w:sz="0" w:space="0" w:color="auto"/>
                            <w:right w:val="none" w:sz="0" w:space="0" w:color="auto"/>
                          </w:divBdr>
                        </w:div>
                        <w:div w:id="1252084961">
                          <w:marLeft w:val="640"/>
                          <w:marRight w:val="0"/>
                          <w:marTop w:val="0"/>
                          <w:marBottom w:val="0"/>
                          <w:divBdr>
                            <w:top w:val="none" w:sz="0" w:space="0" w:color="auto"/>
                            <w:left w:val="none" w:sz="0" w:space="0" w:color="auto"/>
                            <w:bottom w:val="none" w:sz="0" w:space="0" w:color="auto"/>
                            <w:right w:val="none" w:sz="0" w:space="0" w:color="auto"/>
                          </w:divBdr>
                        </w:div>
                        <w:div w:id="2036614124">
                          <w:marLeft w:val="640"/>
                          <w:marRight w:val="0"/>
                          <w:marTop w:val="0"/>
                          <w:marBottom w:val="0"/>
                          <w:divBdr>
                            <w:top w:val="none" w:sz="0" w:space="0" w:color="auto"/>
                            <w:left w:val="none" w:sz="0" w:space="0" w:color="auto"/>
                            <w:bottom w:val="none" w:sz="0" w:space="0" w:color="auto"/>
                            <w:right w:val="none" w:sz="0" w:space="0" w:color="auto"/>
                          </w:divBdr>
                        </w:div>
                        <w:div w:id="1176309086">
                          <w:marLeft w:val="640"/>
                          <w:marRight w:val="0"/>
                          <w:marTop w:val="0"/>
                          <w:marBottom w:val="0"/>
                          <w:divBdr>
                            <w:top w:val="none" w:sz="0" w:space="0" w:color="auto"/>
                            <w:left w:val="none" w:sz="0" w:space="0" w:color="auto"/>
                            <w:bottom w:val="none" w:sz="0" w:space="0" w:color="auto"/>
                            <w:right w:val="none" w:sz="0" w:space="0" w:color="auto"/>
                          </w:divBdr>
                        </w:div>
                        <w:div w:id="1961957410">
                          <w:marLeft w:val="640"/>
                          <w:marRight w:val="0"/>
                          <w:marTop w:val="0"/>
                          <w:marBottom w:val="0"/>
                          <w:divBdr>
                            <w:top w:val="none" w:sz="0" w:space="0" w:color="auto"/>
                            <w:left w:val="none" w:sz="0" w:space="0" w:color="auto"/>
                            <w:bottom w:val="none" w:sz="0" w:space="0" w:color="auto"/>
                            <w:right w:val="none" w:sz="0" w:space="0" w:color="auto"/>
                          </w:divBdr>
                        </w:div>
                        <w:div w:id="783959758">
                          <w:marLeft w:val="640"/>
                          <w:marRight w:val="0"/>
                          <w:marTop w:val="0"/>
                          <w:marBottom w:val="0"/>
                          <w:divBdr>
                            <w:top w:val="none" w:sz="0" w:space="0" w:color="auto"/>
                            <w:left w:val="none" w:sz="0" w:space="0" w:color="auto"/>
                            <w:bottom w:val="none" w:sz="0" w:space="0" w:color="auto"/>
                            <w:right w:val="none" w:sz="0" w:space="0" w:color="auto"/>
                          </w:divBdr>
                        </w:div>
                        <w:div w:id="747189809">
                          <w:marLeft w:val="640"/>
                          <w:marRight w:val="0"/>
                          <w:marTop w:val="0"/>
                          <w:marBottom w:val="0"/>
                          <w:divBdr>
                            <w:top w:val="none" w:sz="0" w:space="0" w:color="auto"/>
                            <w:left w:val="none" w:sz="0" w:space="0" w:color="auto"/>
                            <w:bottom w:val="none" w:sz="0" w:space="0" w:color="auto"/>
                            <w:right w:val="none" w:sz="0" w:space="0" w:color="auto"/>
                          </w:divBdr>
                        </w:div>
                        <w:div w:id="992876416">
                          <w:marLeft w:val="640"/>
                          <w:marRight w:val="0"/>
                          <w:marTop w:val="0"/>
                          <w:marBottom w:val="0"/>
                          <w:divBdr>
                            <w:top w:val="none" w:sz="0" w:space="0" w:color="auto"/>
                            <w:left w:val="none" w:sz="0" w:space="0" w:color="auto"/>
                            <w:bottom w:val="none" w:sz="0" w:space="0" w:color="auto"/>
                            <w:right w:val="none" w:sz="0" w:space="0" w:color="auto"/>
                          </w:divBdr>
                        </w:div>
                        <w:div w:id="1985505493">
                          <w:marLeft w:val="640"/>
                          <w:marRight w:val="0"/>
                          <w:marTop w:val="0"/>
                          <w:marBottom w:val="0"/>
                          <w:divBdr>
                            <w:top w:val="none" w:sz="0" w:space="0" w:color="auto"/>
                            <w:left w:val="none" w:sz="0" w:space="0" w:color="auto"/>
                            <w:bottom w:val="none" w:sz="0" w:space="0" w:color="auto"/>
                            <w:right w:val="none" w:sz="0" w:space="0" w:color="auto"/>
                          </w:divBdr>
                        </w:div>
                      </w:divsChild>
                    </w:div>
                    <w:div w:id="2000962032">
                      <w:marLeft w:val="0"/>
                      <w:marRight w:val="0"/>
                      <w:marTop w:val="0"/>
                      <w:marBottom w:val="0"/>
                      <w:divBdr>
                        <w:top w:val="none" w:sz="0" w:space="0" w:color="auto"/>
                        <w:left w:val="none" w:sz="0" w:space="0" w:color="auto"/>
                        <w:bottom w:val="none" w:sz="0" w:space="0" w:color="auto"/>
                        <w:right w:val="none" w:sz="0" w:space="0" w:color="auto"/>
                      </w:divBdr>
                      <w:divsChild>
                        <w:div w:id="1401755075">
                          <w:marLeft w:val="640"/>
                          <w:marRight w:val="0"/>
                          <w:marTop w:val="0"/>
                          <w:marBottom w:val="0"/>
                          <w:divBdr>
                            <w:top w:val="none" w:sz="0" w:space="0" w:color="auto"/>
                            <w:left w:val="none" w:sz="0" w:space="0" w:color="auto"/>
                            <w:bottom w:val="none" w:sz="0" w:space="0" w:color="auto"/>
                            <w:right w:val="none" w:sz="0" w:space="0" w:color="auto"/>
                          </w:divBdr>
                        </w:div>
                        <w:div w:id="420302617">
                          <w:marLeft w:val="640"/>
                          <w:marRight w:val="0"/>
                          <w:marTop w:val="0"/>
                          <w:marBottom w:val="0"/>
                          <w:divBdr>
                            <w:top w:val="none" w:sz="0" w:space="0" w:color="auto"/>
                            <w:left w:val="none" w:sz="0" w:space="0" w:color="auto"/>
                            <w:bottom w:val="none" w:sz="0" w:space="0" w:color="auto"/>
                            <w:right w:val="none" w:sz="0" w:space="0" w:color="auto"/>
                          </w:divBdr>
                        </w:div>
                        <w:div w:id="643123218">
                          <w:marLeft w:val="640"/>
                          <w:marRight w:val="0"/>
                          <w:marTop w:val="0"/>
                          <w:marBottom w:val="0"/>
                          <w:divBdr>
                            <w:top w:val="none" w:sz="0" w:space="0" w:color="auto"/>
                            <w:left w:val="none" w:sz="0" w:space="0" w:color="auto"/>
                            <w:bottom w:val="none" w:sz="0" w:space="0" w:color="auto"/>
                            <w:right w:val="none" w:sz="0" w:space="0" w:color="auto"/>
                          </w:divBdr>
                        </w:div>
                        <w:div w:id="815803680">
                          <w:marLeft w:val="640"/>
                          <w:marRight w:val="0"/>
                          <w:marTop w:val="0"/>
                          <w:marBottom w:val="0"/>
                          <w:divBdr>
                            <w:top w:val="none" w:sz="0" w:space="0" w:color="auto"/>
                            <w:left w:val="none" w:sz="0" w:space="0" w:color="auto"/>
                            <w:bottom w:val="none" w:sz="0" w:space="0" w:color="auto"/>
                            <w:right w:val="none" w:sz="0" w:space="0" w:color="auto"/>
                          </w:divBdr>
                        </w:div>
                        <w:div w:id="1830830073">
                          <w:marLeft w:val="640"/>
                          <w:marRight w:val="0"/>
                          <w:marTop w:val="0"/>
                          <w:marBottom w:val="0"/>
                          <w:divBdr>
                            <w:top w:val="none" w:sz="0" w:space="0" w:color="auto"/>
                            <w:left w:val="none" w:sz="0" w:space="0" w:color="auto"/>
                            <w:bottom w:val="none" w:sz="0" w:space="0" w:color="auto"/>
                            <w:right w:val="none" w:sz="0" w:space="0" w:color="auto"/>
                          </w:divBdr>
                        </w:div>
                        <w:div w:id="742526477">
                          <w:marLeft w:val="640"/>
                          <w:marRight w:val="0"/>
                          <w:marTop w:val="0"/>
                          <w:marBottom w:val="0"/>
                          <w:divBdr>
                            <w:top w:val="none" w:sz="0" w:space="0" w:color="auto"/>
                            <w:left w:val="none" w:sz="0" w:space="0" w:color="auto"/>
                            <w:bottom w:val="none" w:sz="0" w:space="0" w:color="auto"/>
                            <w:right w:val="none" w:sz="0" w:space="0" w:color="auto"/>
                          </w:divBdr>
                        </w:div>
                        <w:div w:id="219093696">
                          <w:marLeft w:val="640"/>
                          <w:marRight w:val="0"/>
                          <w:marTop w:val="0"/>
                          <w:marBottom w:val="0"/>
                          <w:divBdr>
                            <w:top w:val="none" w:sz="0" w:space="0" w:color="auto"/>
                            <w:left w:val="none" w:sz="0" w:space="0" w:color="auto"/>
                            <w:bottom w:val="none" w:sz="0" w:space="0" w:color="auto"/>
                            <w:right w:val="none" w:sz="0" w:space="0" w:color="auto"/>
                          </w:divBdr>
                        </w:div>
                        <w:div w:id="1769739753">
                          <w:marLeft w:val="640"/>
                          <w:marRight w:val="0"/>
                          <w:marTop w:val="0"/>
                          <w:marBottom w:val="0"/>
                          <w:divBdr>
                            <w:top w:val="none" w:sz="0" w:space="0" w:color="auto"/>
                            <w:left w:val="none" w:sz="0" w:space="0" w:color="auto"/>
                            <w:bottom w:val="none" w:sz="0" w:space="0" w:color="auto"/>
                            <w:right w:val="none" w:sz="0" w:space="0" w:color="auto"/>
                          </w:divBdr>
                        </w:div>
                        <w:div w:id="1306622709">
                          <w:marLeft w:val="640"/>
                          <w:marRight w:val="0"/>
                          <w:marTop w:val="0"/>
                          <w:marBottom w:val="0"/>
                          <w:divBdr>
                            <w:top w:val="none" w:sz="0" w:space="0" w:color="auto"/>
                            <w:left w:val="none" w:sz="0" w:space="0" w:color="auto"/>
                            <w:bottom w:val="none" w:sz="0" w:space="0" w:color="auto"/>
                            <w:right w:val="none" w:sz="0" w:space="0" w:color="auto"/>
                          </w:divBdr>
                        </w:div>
                        <w:div w:id="959217544">
                          <w:marLeft w:val="640"/>
                          <w:marRight w:val="0"/>
                          <w:marTop w:val="0"/>
                          <w:marBottom w:val="0"/>
                          <w:divBdr>
                            <w:top w:val="none" w:sz="0" w:space="0" w:color="auto"/>
                            <w:left w:val="none" w:sz="0" w:space="0" w:color="auto"/>
                            <w:bottom w:val="none" w:sz="0" w:space="0" w:color="auto"/>
                            <w:right w:val="none" w:sz="0" w:space="0" w:color="auto"/>
                          </w:divBdr>
                        </w:div>
                        <w:div w:id="1605070628">
                          <w:marLeft w:val="640"/>
                          <w:marRight w:val="0"/>
                          <w:marTop w:val="0"/>
                          <w:marBottom w:val="0"/>
                          <w:divBdr>
                            <w:top w:val="none" w:sz="0" w:space="0" w:color="auto"/>
                            <w:left w:val="none" w:sz="0" w:space="0" w:color="auto"/>
                            <w:bottom w:val="none" w:sz="0" w:space="0" w:color="auto"/>
                            <w:right w:val="none" w:sz="0" w:space="0" w:color="auto"/>
                          </w:divBdr>
                        </w:div>
                        <w:div w:id="1149514361">
                          <w:marLeft w:val="640"/>
                          <w:marRight w:val="0"/>
                          <w:marTop w:val="0"/>
                          <w:marBottom w:val="0"/>
                          <w:divBdr>
                            <w:top w:val="none" w:sz="0" w:space="0" w:color="auto"/>
                            <w:left w:val="none" w:sz="0" w:space="0" w:color="auto"/>
                            <w:bottom w:val="none" w:sz="0" w:space="0" w:color="auto"/>
                            <w:right w:val="none" w:sz="0" w:space="0" w:color="auto"/>
                          </w:divBdr>
                        </w:div>
                        <w:div w:id="1934700005">
                          <w:marLeft w:val="640"/>
                          <w:marRight w:val="0"/>
                          <w:marTop w:val="0"/>
                          <w:marBottom w:val="0"/>
                          <w:divBdr>
                            <w:top w:val="none" w:sz="0" w:space="0" w:color="auto"/>
                            <w:left w:val="none" w:sz="0" w:space="0" w:color="auto"/>
                            <w:bottom w:val="none" w:sz="0" w:space="0" w:color="auto"/>
                            <w:right w:val="none" w:sz="0" w:space="0" w:color="auto"/>
                          </w:divBdr>
                        </w:div>
                        <w:div w:id="615715478">
                          <w:marLeft w:val="640"/>
                          <w:marRight w:val="0"/>
                          <w:marTop w:val="0"/>
                          <w:marBottom w:val="0"/>
                          <w:divBdr>
                            <w:top w:val="none" w:sz="0" w:space="0" w:color="auto"/>
                            <w:left w:val="none" w:sz="0" w:space="0" w:color="auto"/>
                            <w:bottom w:val="none" w:sz="0" w:space="0" w:color="auto"/>
                            <w:right w:val="none" w:sz="0" w:space="0" w:color="auto"/>
                          </w:divBdr>
                        </w:div>
                        <w:div w:id="1542983337">
                          <w:marLeft w:val="640"/>
                          <w:marRight w:val="0"/>
                          <w:marTop w:val="0"/>
                          <w:marBottom w:val="0"/>
                          <w:divBdr>
                            <w:top w:val="none" w:sz="0" w:space="0" w:color="auto"/>
                            <w:left w:val="none" w:sz="0" w:space="0" w:color="auto"/>
                            <w:bottom w:val="none" w:sz="0" w:space="0" w:color="auto"/>
                            <w:right w:val="none" w:sz="0" w:space="0" w:color="auto"/>
                          </w:divBdr>
                        </w:div>
                        <w:div w:id="914896510">
                          <w:marLeft w:val="640"/>
                          <w:marRight w:val="0"/>
                          <w:marTop w:val="0"/>
                          <w:marBottom w:val="0"/>
                          <w:divBdr>
                            <w:top w:val="none" w:sz="0" w:space="0" w:color="auto"/>
                            <w:left w:val="none" w:sz="0" w:space="0" w:color="auto"/>
                            <w:bottom w:val="none" w:sz="0" w:space="0" w:color="auto"/>
                            <w:right w:val="none" w:sz="0" w:space="0" w:color="auto"/>
                          </w:divBdr>
                        </w:div>
                        <w:div w:id="1121654806">
                          <w:marLeft w:val="640"/>
                          <w:marRight w:val="0"/>
                          <w:marTop w:val="0"/>
                          <w:marBottom w:val="0"/>
                          <w:divBdr>
                            <w:top w:val="none" w:sz="0" w:space="0" w:color="auto"/>
                            <w:left w:val="none" w:sz="0" w:space="0" w:color="auto"/>
                            <w:bottom w:val="none" w:sz="0" w:space="0" w:color="auto"/>
                            <w:right w:val="none" w:sz="0" w:space="0" w:color="auto"/>
                          </w:divBdr>
                        </w:div>
                        <w:div w:id="1727950341">
                          <w:marLeft w:val="640"/>
                          <w:marRight w:val="0"/>
                          <w:marTop w:val="0"/>
                          <w:marBottom w:val="0"/>
                          <w:divBdr>
                            <w:top w:val="none" w:sz="0" w:space="0" w:color="auto"/>
                            <w:left w:val="none" w:sz="0" w:space="0" w:color="auto"/>
                            <w:bottom w:val="none" w:sz="0" w:space="0" w:color="auto"/>
                            <w:right w:val="none" w:sz="0" w:space="0" w:color="auto"/>
                          </w:divBdr>
                        </w:div>
                        <w:div w:id="1905869381">
                          <w:marLeft w:val="640"/>
                          <w:marRight w:val="0"/>
                          <w:marTop w:val="0"/>
                          <w:marBottom w:val="0"/>
                          <w:divBdr>
                            <w:top w:val="none" w:sz="0" w:space="0" w:color="auto"/>
                            <w:left w:val="none" w:sz="0" w:space="0" w:color="auto"/>
                            <w:bottom w:val="none" w:sz="0" w:space="0" w:color="auto"/>
                            <w:right w:val="none" w:sz="0" w:space="0" w:color="auto"/>
                          </w:divBdr>
                        </w:div>
                        <w:div w:id="252591407">
                          <w:marLeft w:val="640"/>
                          <w:marRight w:val="0"/>
                          <w:marTop w:val="0"/>
                          <w:marBottom w:val="0"/>
                          <w:divBdr>
                            <w:top w:val="none" w:sz="0" w:space="0" w:color="auto"/>
                            <w:left w:val="none" w:sz="0" w:space="0" w:color="auto"/>
                            <w:bottom w:val="none" w:sz="0" w:space="0" w:color="auto"/>
                            <w:right w:val="none" w:sz="0" w:space="0" w:color="auto"/>
                          </w:divBdr>
                        </w:div>
                        <w:div w:id="889413482">
                          <w:marLeft w:val="640"/>
                          <w:marRight w:val="0"/>
                          <w:marTop w:val="0"/>
                          <w:marBottom w:val="0"/>
                          <w:divBdr>
                            <w:top w:val="none" w:sz="0" w:space="0" w:color="auto"/>
                            <w:left w:val="none" w:sz="0" w:space="0" w:color="auto"/>
                            <w:bottom w:val="none" w:sz="0" w:space="0" w:color="auto"/>
                            <w:right w:val="none" w:sz="0" w:space="0" w:color="auto"/>
                          </w:divBdr>
                        </w:div>
                        <w:div w:id="1207721587">
                          <w:marLeft w:val="640"/>
                          <w:marRight w:val="0"/>
                          <w:marTop w:val="0"/>
                          <w:marBottom w:val="0"/>
                          <w:divBdr>
                            <w:top w:val="none" w:sz="0" w:space="0" w:color="auto"/>
                            <w:left w:val="none" w:sz="0" w:space="0" w:color="auto"/>
                            <w:bottom w:val="none" w:sz="0" w:space="0" w:color="auto"/>
                            <w:right w:val="none" w:sz="0" w:space="0" w:color="auto"/>
                          </w:divBdr>
                        </w:div>
                        <w:div w:id="2020352810">
                          <w:marLeft w:val="640"/>
                          <w:marRight w:val="0"/>
                          <w:marTop w:val="0"/>
                          <w:marBottom w:val="0"/>
                          <w:divBdr>
                            <w:top w:val="none" w:sz="0" w:space="0" w:color="auto"/>
                            <w:left w:val="none" w:sz="0" w:space="0" w:color="auto"/>
                            <w:bottom w:val="none" w:sz="0" w:space="0" w:color="auto"/>
                            <w:right w:val="none" w:sz="0" w:space="0" w:color="auto"/>
                          </w:divBdr>
                        </w:div>
                        <w:div w:id="1149708482">
                          <w:marLeft w:val="640"/>
                          <w:marRight w:val="0"/>
                          <w:marTop w:val="0"/>
                          <w:marBottom w:val="0"/>
                          <w:divBdr>
                            <w:top w:val="none" w:sz="0" w:space="0" w:color="auto"/>
                            <w:left w:val="none" w:sz="0" w:space="0" w:color="auto"/>
                            <w:bottom w:val="none" w:sz="0" w:space="0" w:color="auto"/>
                            <w:right w:val="none" w:sz="0" w:space="0" w:color="auto"/>
                          </w:divBdr>
                        </w:div>
                        <w:div w:id="2136673185">
                          <w:marLeft w:val="640"/>
                          <w:marRight w:val="0"/>
                          <w:marTop w:val="0"/>
                          <w:marBottom w:val="0"/>
                          <w:divBdr>
                            <w:top w:val="none" w:sz="0" w:space="0" w:color="auto"/>
                            <w:left w:val="none" w:sz="0" w:space="0" w:color="auto"/>
                            <w:bottom w:val="none" w:sz="0" w:space="0" w:color="auto"/>
                            <w:right w:val="none" w:sz="0" w:space="0" w:color="auto"/>
                          </w:divBdr>
                        </w:div>
                        <w:div w:id="1958485781">
                          <w:marLeft w:val="640"/>
                          <w:marRight w:val="0"/>
                          <w:marTop w:val="0"/>
                          <w:marBottom w:val="0"/>
                          <w:divBdr>
                            <w:top w:val="none" w:sz="0" w:space="0" w:color="auto"/>
                            <w:left w:val="none" w:sz="0" w:space="0" w:color="auto"/>
                            <w:bottom w:val="none" w:sz="0" w:space="0" w:color="auto"/>
                            <w:right w:val="none" w:sz="0" w:space="0" w:color="auto"/>
                          </w:divBdr>
                        </w:div>
                      </w:divsChild>
                    </w:div>
                    <w:div w:id="1927686676">
                      <w:marLeft w:val="0"/>
                      <w:marRight w:val="0"/>
                      <w:marTop w:val="0"/>
                      <w:marBottom w:val="0"/>
                      <w:divBdr>
                        <w:top w:val="none" w:sz="0" w:space="0" w:color="auto"/>
                        <w:left w:val="none" w:sz="0" w:space="0" w:color="auto"/>
                        <w:bottom w:val="none" w:sz="0" w:space="0" w:color="auto"/>
                        <w:right w:val="none" w:sz="0" w:space="0" w:color="auto"/>
                      </w:divBdr>
                      <w:divsChild>
                        <w:div w:id="1010371354">
                          <w:marLeft w:val="640"/>
                          <w:marRight w:val="0"/>
                          <w:marTop w:val="0"/>
                          <w:marBottom w:val="0"/>
                          <w:divBdr>
                            <w:top w:val="none" w:sz="0" w:space="0" w:color="auto"/>
                            <w:left w:val="none" w:sz="0" w:space="0" w:color="auto"/>
                            <w:bottom w:val="none" w:sz="0" w:space="0" w:color="auto"/>
                            <w:right w:val="none" w:sz="0" w:space="0" w:color="auto"/>
                          </w:divBdr>
                        </w:div>
                        <w:div w:id="2101296328">
                          <w:marLeft w:val="640"/>
                          <w:marRight w:val="0"/>
                          <w:marTop w:val="0"/>
                          <w:marBottom w:val="0"/>
                          <w:divBdr>
                            <w:top w:val="none" w:sz="0" w:space="0" w:color="auto"/>
                            <w:left w:val="none" w:sz="0" w:space="0" w:color="auto"/>
                            <w:bottom w:val="none" w:sz="0" w:space="0" w:color="auto"/>
                            <w:right w:val="none" w:sz="0" w:space="0" w:color="auto"/>
                          </w:divBdr>
                        </w:div>
                        <w:div w:id="1314992875">
                          <w:marLeft w:val="640"/>
                          <w:marRight w:val="0"/>
                          <w:marTop w:val="0"/>
                          <w:marBottom w:val="0"/>
                          <w:divBdr>
                            <w:top w:val="none" w:sz="0" w:space="0" w:color="auto"/>
                            <w:left w:val="none" w:sz="0" w:space="0" w:color="auto"/>
                            <w:bottom w:val="none" w:sz="0" w:space="0" w:color="auto"/>
                            <w:right w:val="none" w:sz="0" w:space="0" w:color="auto"/>
                          </w:divBdr>
                        </w:div>
                        <w:div w:id="1338000044">
                          <w:marLeft w:val="640"/>
                          <w:marRight w:val="0"/>
                          <w:marTop w:val="0"/>
                          <w:marBottom w:val="0"/>
                          <w:divBdr>
                            <w:top w:val="none" w:sz="0" w:space="0" w:color="auto"/>
                            <w:left w:val="none" w:sz="0" w:space="0" w:color="auto"/>
                            <w:bottom w:val="none" w:sz="0" w:space="0" w:color="auto"/>
                            <w:right w:val="none" w:sz="0" w:space="0" w:color="auto"/>
                          </w:divBdr>
                        </w:div>
                        <w:div w:id="482311355">
                          <w:marLeft w:val="640"/>
                          <w:marRight w:val="0"/>
                          <w:marTop w:val="0"/>
                          <w:marBottom w:val="0"/>
                          <w:divBdr>
                            <w:top w:val="none" w:sz="0" w:space="0" w:color="auto"/>
                            <w:left w:val="none" w:sz="0" w:space="0" w:color="auto"/>
                            <w:bottom w:val="none" w:sz="0" w:space="0" w:color="auto"/>
                            <w:right w:val="none" w:sz="0" w:space="0" w:color="auto"/>
                          </w:divBdr>
                        </w:div>
                        <w:div w:id="1431780616">
                          <w:marLeft w:val="640"/>
                          <w:marRight w:val="0"/>
                          <w:marTop w:val="0"/>
                          <w:marBottom w:val="0"/>
                          <w:divBdr>
                            <w:top w:val="none" w:sz="0" w:space="0" w:color="auto"/>
                            <w:left w:val="none" w:sz="0" w:space="0" w:color="auto"/>
                            <w:bottom w:val="none" w:sz="0" w:space="0" w:color="auto"/>
                            <w:right w:val="none" w:sz="0" w:space="0" w:color="auto"/>
                          </w:divBdr>
                        </w:div>
                        <w:div w:id="633027436">
                          <w:marLeft w:val="640"/>
                          <w:marRight w:val="0"/>
                          <w:marTop w:val="0"/>
                          <w:marBottom w:val="0"/>
                          <w:divBdr>
                            <w:top w:val="none" w:sz="0" w:space="0" w:color="auto"/>
                            <w:left w:val="none" w:sz="0" w:space="0" w:color="auto"/>
                            <w:bottom w:val="none" w:sz="0" w:space="0" w:color="auto"/>
                            <w:right w:val="none" w:sz="0" w:space="0" w:color="auto"/>
                          </w:divBdr>
                        </w:div>
                        <w:div w:id="2018337598">
                          <w:marLeft w:val="640"/>
                          <w:marRight w:val="0"/>
                          <w:marTop w:val="0"/>
                          <w:marBottom w:val="0"/>
                          <w:divBdr>
                            <w:top w:val="none" w:sz="0" w:space="0" w:color="auto"/>
                            <w:left w:val="none" w:sz="0" w:space="0" w:color="auto"/>
                            <w:bottom w:val="none" w:sz="0" w:space="0" w:color="auto"/>
                            <w:right w:val="none" w:sz="0" w:space="0" w:color="auto"/>
                          </w:divBdr>
                        </w:div>
                        <w:div w:id="631788720">
                          <w:marLeft w:val="640"/>
                          <w:marRight w:val="0"/>
                          <w:marTop w:val="0"/>
                          <w:marBottom w:val="0"/>
                          <w:divBdr>
                            <w:top w:val="none" w:sz="0" w:space="0" w:color="auto"/>
                            <w:left w:val="none" w:sz="0" w:space="0" w:color="auto"/>
                            <w:bottom w:val="none" w:sz="0" w:space="0" w:color="auto"/>
                            <w:right w:val="none" w:sz="0" w:space="0" w:color="auto"/>
                          </w:divBdr>
                        </w:div>
                        <w:div w:id="1633514517">
                          <w:marLeft w:val="640"/>
                          <w:marRight w:val="0"/>
                          <w:marTop w:val="0"/>
                          <w:marBottom w:val="0"/>
                          <w:divBdr>
                            <w:top w:val="none" w:sz="0" w:space="0" w:color="auto"/>
                            <w:left w:val="none" w:sz="0" w:space="0" w:color="auto"/>
                            <w:bottom w:val="none" w:sz="0" w:space="0" w:color="auto"/>
                            <w:right w:val="none" w:sz="0" w:space="0" w:color="auto"/>
                          </w:divBdr>
                        </w:div>
                        <w:div w:id="1319311899">
                          <w:marLeft w:val="640"/>
                          <w:marRight w:val="0"/>
                          <w:marTop w:val="0"/>
                          <w:marBottom w:val="0"/>
                          <w:divBdr>
                            <w:top w:val="none" w:sz="0" w:space="0" w:color="auto"/>
                            <w:left w:val="none" w:sz="0" w:space="0" w:color="auto"/>
                            <w:bottom w:val="none" w:sz="0" w:space="0" w:color="auto"/>
                            <w:right w:val="none" w:sz="0" w:space="0" w:color="auto"/>
                          </w:divBdr>
                        </w:div>
                        <w:div w:id="2046632547">
                          <w:marLeft w:val="640"/>
                          <w:marRight w:val="0"/>
                          <w:marTop w:val="0"/>
                          <w:marBottom w:val="0"/>
                          <w:divBdr>
                            <w:top w:val="none" w:sz="0" w:space="0" w:color="auto"/>
                            <w:left w:val="none" w:sz="0" w:space="0" w:color="auto"/>
                            <w:bottom w:val="none" w:sz="0" w:space="0" w:color="auto"/>
                            <w:right w:val="none" w:sz="0" w:space="0" w:color="auto"/>
                          </w:divBdr>
                        </w:div>
                        <w:div w:id="2033453841">
                          <w:marLeft w:val="640"/>
                          <w:marRight w:val="0"/>
                          <w:marTop w:val="0"/>
                          <w:marBottom w:val="0"/>
                          <w:divBdr>
                            <w:top w:val="none" w:sz="0" w:space="0" w:color="auto"/>
                            <w:left w:val="none" w:sz="0" w:space="0" w:color="auto"/>
                            <w:bottom w:val="none" w:sz="0" w:space="0" w:color="auto"/>
                            <w:right w:val="none" w:sz="0" w:space="0" w:color="auto"/>
                          </w:divBdr>
                        </w:div>
                        <w:div w:id="281885230">
                          <w:marLeft w:val="640"/>
                          <w:marRight w:val="0"/>
                          <w:marTop w:val="0"/>
                          <w:marBottom w:val="0"/>
                          <w:divBdr>
                            <w:top w:val="none" w:sz="0" w:space="0" w:color="auto"/>
                            <w:left w:val="none" w:sz="0" w:space="0" w:color="auto"/>
                            <w:bottom w:val="none" w:sz="0" w:space="0" w:color="auto"/>
                            <w:right w:val="none" w:sz="0" w:space="0" w:color="auto"/>
                          </w:divBdr>
                        </w:div>
                        <w:div w:id="1651012281">
                          <w:marLeft w:val="640"/>
                          <w:marRight w:val="0"/>
                          <w:marTop w:val="0"/>
                          <w:marBottom w:val="0"/>
                          <w:divBdr>
                            <w:top w:val="none" w:sz="0" w:space="0" w:color="auto"/>
                            <w:left w:val="none" w:sz="0" w:space="0" w:color="auto"/>
                            <w:bottom w:val="none" w:sz="0" w:space="0" w:color="auto"/>
                            <w:right w:val="none" w:sz="0" w:space="0" w:color="auto"/>
                          </w:divBdr>
                        </w:div>
                        <w:div w:id="311371474">
                          <w:marLeft w:val="640"/>
                          <w:marRight w:val="0"/>
                          <w:marTop w:val="0"/>
                          <w:marBottom w:val="0"/>
                          <w:divBdr>
                            <w:top w:val="none" w:sz="0" w:space="0" w:color="auto"/>
                            <w:left w:val="none" w:sz="0" w:space="0" w:color="auto"/>
                            <w:bottom w:val="none" w:sz="0" w:space="0" w:color="auto"/>
                            <w:right w:val="none" w:sz="0" w:space="0" w:color="auto"/>
                          </w:divBdr>
                        </w:div>
                        <w:div w:id="117071904">
                          <w:marLeft w:val="640"/>
                          <w:marRight w:val="0"/>
                          <w:marTop w:val="0"/>
                          <w:marBottom w:val="0"/>
                          <w:divBdr>
                            <w:top w:val="none" w:sz="0" w:space="0" w:color="auto"/>
                            <w:left w:val="none" w:sz="0" w:space="0" w:color="auto"/>
                            <w:bottom w:val="none" w:sz="0" w:space="0" w:color="auto"/>
                            <w:right w:val="none" w:sz="0" w:space="0" w:color="auto"/>
                          </w:divBdr>
                        </w:div>
                        <w:div w:id="258146959">
                          <w:marLeft w:val="640"/>
                          <w:marRight w:val="0"/>
                          <w:marTop w:val="0"/>
                          <w:marBottom w:val="0"/>
                          <w:divBdr>
                            <w:top w:val="none" w:sz="0" w:space="0" w:color="auto"/>
                            <w:left w:val="none" w:sz="0" w:space="0" w:color="auto"/>
                            <w:bottom w:val="none" w:sz="0" w:space="0" w:color="auto"/>
                            <w:right w:val="none" w:sz="0" w:space="0" w:color="auto"/>
                          </w:divBdr>
                        </w:div>
                        <w:div w:id="1170562898">
                          <w:marLeft w:val="640"/>
                          <w:marRight w:val="0"/>
                          <w:marTop w:val="0"/>
                          <w:marBottom w:val="0"/>
                          <w:divBdr>
                            <w:top w:val="none" w:sz="0" w:space="0" w:color="auto"/>
                            <w:left w:val="none" w:sz="0" w:space="0" w:color="auto"/>
                            <w:bottom w:val="none" w:sz="0" w:space="0" w:color="auto"/>
                            <w:right w:val="none" w:sz="0" w:space="0" w:color="auto"/>
                          </w:divBdr>
                        </w:div>
                        <w:div w:id="426388356">
                          <w:marLeft w:val="640"/>
                          <w:marRight w:val="0"/>
                          <w:marTop w:val="0"/>
                          <w:marBottom w:val="0"/>
                          <w:divBdr>
                            <w:top w:val="none" w:sz="0" w:space="0" w:color="auto"/>
                            <w:left w:val="none" w:sz="0" w:space="0" w:color="auto"/>
                            <w:bottom w:val="none" w:sz="0" w:space="0" w:color="auto"/>
                            <w:right w:val="none" w:sz="0" w:space="0" w:color="auto"/>
                          </w:divBdr>
                        </w:div>
                        <w:div w:id="900554107">
                          <w:marLeft w:val="640"/>
                          <w:marRight w:val="0"/>
                          <w:marTop w:val="0"/>
                          <w:marBottom w:val="0"/>
                          <w:divBdr>
                            <w:top w:val="none" w:sz="0" w:space="0" w:color="auto"/>
                            <w:left w:val="none" w:sz="0" w:space="0" w:color="auto"/>
                            <w:bottom w:val="none" w:sz="0" w:space="0" w:color="auto"/>
                            <w:right w:val="none" w:sz="0" w:space="0" w:color="auto"/>
                          </w:divBdr>
                        </w:div>
                        <w:div w:id="50613855">
                          <w:marLeft w:val="640"/>
                          <w:marRight w:val="0"/>
                          <w:marTop w:val="0"/>
                          <w:marBottom w:val="0"/>
                          <w:divBdr>
                            <w:top w:val="none" w:sz="0" w:space="0" w:color="auto"/>
                            <w:left w:val="none" w:sz="0" w:space="0" w:color="auto"/>
                            <w:bottom w:val="none" w:sz="0" w:space="0" w:color="auto"/>
                            <w:right w:val="none" w:sz="0" w:space="0" w:color="auto"/>
                          </w:divBdr>
                        </w:div>
                        <w:div w:id="336352212">
                          <w:marLeft w:val="640"/>
                          <w:marRight w:val="0"/>
                          <w:marTop w:val="0"/>
                          <w:marBottom w:val="0"/>
                          <w:divBdr>
                            <w:top w:val="none" w:sz="0" w:space="0" w:color="auto"/>
                            <w:left w:val="none" w:sz="0" w:space="0" w:color="auto"/>
                            <w:bottom w:val="none" w:sz="0" w:space="0" w:color="auto"/>
                            <w:right w:val="none" w:sz="0" w:space="0" w:color="auto"/>
                          </w:divBdr>
                        </w:div>
                        <w:div w:id="1233660366">
                          <w:marLeft w:val="640"/>
                          <w:marRight w:val="0"/>
                          <w:marTop w:val="0"/>
                          <w:marBottom w:val="0"/>
                          <w:divBdr>
                            <w:top w:val="none" w:sz="0" w:space="0" w:color="auto"/>
                            <w:left w:val="none" w:sz="0" w:space="0" w:color="auto"/>
                            <w:bottom w:val="none" w:sz="0" w:space="0" w:color="auto"/>
                            <w:right w:val="none" w:sz="0" w:space="0" w:color="auto"/>
                          </w:divBdr>
                        </w:div>
                        <w:div w:id="588849642">
                          <w:marLeft w:val="640"/>
                          <w:marRight w:val="0"/>
                          <w:marTop w:val="0"/>
                          <w:marBottom w:val="0"/>
                          <w:divBdr>
                            <w:top w:val="none" w:sz="0" w:space="0" w:color="auto"/>
                            <w:left w:val="none" w:sz="0" w:space="0" w:color="auto"/>
                            <w:bottom w:val="none" w:sz="0" w:space="0" w:color="auto"/>
                            <w:right w:val="none" w:sz="0" w:space="0" w:color="auto"/>
                          </w:divBdr>
                        </w:div>
                      </w:divsChild>
                    </w:div>
                    <w:div w:id="1125922952">
                      <w:marLeft w:val="0"/>
                      <w:marRight w:val="0"/>
                      <w:marTop w:val="0"/>
                      <w:marBottom w:val="0"/>
                      <w:divBdr>
                        <w:top w:val="none" w:sz="0" w:space="0" w:color="auto"/>
                        <w:left w:val="none" w:sz="0" w:space="0" w:color="auto"/>
                        <w:bottom w:val="none" w:sz="0" w:space="0" w:color="auto"/>
                        <w:right w:val="none" w:sz="0" w:space="0" w:color="auto"/>
                      </w:divBdr>
                      <w:divsChild>
                        <w:div w:id="1792704396">
                          <w:marLeft w:val="640"/>
                          <w:marRight w:val="0"/>
                          <w:marTop w:val="0"/>
                          <w:marBottom w:val="0"/>
                          <w:divBdr>
                            <w:top w:val="none" w:sz="0" w:space="0" w:color="auto"/>
                            <w:left w:val="none" w:sz="0" w:space="0" w:color="auto"/>
                            <w:bottom w:val="none" w:sz="0" w:space="0" w:color="auto"/>
                            <w:right w:val="none" w:sz="0" w:space="0" w:color="auto"/>
                          </w:divBdr>
                        </w:div>
                        <w:div w:id="1136869349">
                          <w:marLeft w:val="640"/>
                          <w:marRight w:val="0"/>
                          <w:marTop w:val="0"/>
                          <w:marBottom w:val="0"/>
                          <w:divBdr>
                            <w:top w:val="none" w:sz="0" w:space="0" w:color="auto"/>
                            <w:left w:val="none" w:sz="0" w:space="0" w:color="auto"/>
                            <w:bottom w:val="none" w:sz="0" w:space="0" w:color="auto"/>
                            <w:right w:val="none" w:sz="0" w:space="0" w:color="auto"/>
                          </w:divBdr>
                        </w:div>
                        <w:div w:id="33701880">
                          <w:marLeft w:val="640"/>
                          <w:marRight w:val="0"/>
                          <w:marTop w:val="0"/>
                          <w:marBottom w:val="0"/>
                          <w:divBdr>
                            <w:top w:val="none" w:sz="0" w:space="0" w:color="auto"/>
                            <w:left w:val="none" w:sz="0" w:space="0" w:color="auto"/>
                            <w:bottom w:val="none" w:sz="0" w:space="0" w:color="auto"/>
                            <w:right w:val="none" w:sz="0" w:space="0" w:color="auto"/>
                          </w:divBdr>
                        </w:div>
                        <w:div w:id="1652634583">
                          <w:marLeft w:val="640"/>
                          <w:marRight w:val="0"/>
                          <w:marTop w:val="0"/>
                          <w:marBottom w:val="0"/>
                          <w:divBdr>
                            <w:top w:val="none" w:sz="0" w:space="0" w:color="auto"/>
                            <w:left w:val="none" w:sz="0" w:space="0" w:color="auto"/>
                            <w:bottom w:val="none" w:sz="0" w:space="0" w:color="auto"/>
                            <w:right w:val="none" w:sz="0" w:space="0" w:color="auto"/>
                          </w:divBdr>
                        </w:div>
                        <w:div w:id="266819158">
                          <w:marLeft w:val="640"/>
                          <w:marRight w:val="0"/>
                          <w:marTop w:val="0"/>
                          <w:marBottom w:val="0"/>
                          <w:divBdr>
                            <w:top w:val="none" w:sz="0" w:space="0" w:color="auto"/>
                            <w:left w:val="none" w:sz="0" w:space="0" w:color="auto"/>
                            <w:bottom w:val="none" w:sz="0" w:space="0" w:color="auto"/>
                            <w:right w:val="none" w:sz="0" w:space="0" w:color="auto"/>
                          </w:divBdr>
                        </w:div>
                        <w:div w:id="752435387">
                          <w:marLeft w:val="640"/>
                          <w:marRight w:val="0"/>
                          <w:marTop w:val="0"/>
                          <w:marBottom w:val="0"/>
                          <w:divBdr>
                            <w:top w:val="none" w:sz="0" w:space="0" w:color="auto"/>
                            <w:left w:val="none" w:sz="0" w:space="0" w:color="auto"/>
                            <w:bottom w:val="none" w:sz="0" w:space="0" w:color="auto"/>
                            <w:right w:val="none" w:sz="0" w:space="0" w:color="auto"/>
                          </w:divBdr>
                        </w:div>
                        <w:div w:id="428163358">
                          <w:marLeft w:val="640"/>
                          <w:marRight w:val="0"/>
                          <w:marTop w:val="0"/>
                          <w:marBottom w:val="0"/>
                          <w:divBdr>
                            <w:top w:val="none" w:sz="0" w:space="0" w:color="auto"/>
                            <w:left w:val="none" w:sz="0" w:space="0" w:color="auto"/>
                            <w:bottom w:val="none" w:sz="0" w:space="0" w:color="auto"/>
                            <w:right w:val="none" w:sz="0" w:space="0" w:color="auto"/>
                          </w:divBdr>
                        </w:div>
                        <w:div w:id="1328483979">
                          <w:marLeft w:val="640"/>
                          <w:marRight w:val="0"/>
                          <w:marTop w:val="0"/>
                          <w:marBottom w:val="0"/>
                          <w:divBdr>
                            <w:top w:val="none" w:sz="0" w:space="0" w:color="auto"/>
                            <w:left w:val="none" w:sz="0" w:space="0" w:color="auto"/>
                            <w:bottom w:val="none" w:sz="0" w:space="0" w:color="auto"/>
                            <w:right w:val="none" w:sz="0" w:space="0" w:color="auto"/>
                          </w:divBdr>
                        </w:div>
                        <w:div w:id="771171845">
                          <w:marLeft w:val="640"/>
                          <w:marRight w:val="0"/>
                          <w:marTop w:val="0"/>
                          <w:marBottom w:val="0"/>
                          <w:divBdr>
                            <w:top w:val="none" w:sz="0" w:space="0" w:color="auto"/>
                            <w:left w:val="none" w:sz="0" w:space="0" w:color="auto"/>
                            <w:bottom w:val="none" w:sz="0" w:space="0" w:color="auto"/>
                            <w:right w:val="none" w:sz="0" w:space="0" w:color="auto"/>
                          </w:divBdr>
                        </w:div>
                        <w:div w:id="844829393">
                          <w:marLeft w:val="640"/>
                          <w:marRight w:val="0"/>
                          <w:marTop w:val="0"/>
                          <w:marBottom w:val="0"/>
                          <w:divBdr>
                            <w:top w:val="none" w:sz="0" w:space="0" w:color="auto"/>
                            <w:left w:val="none" w:sz="0" w:space="0" w:color="auto"/>
                            <w:bottom w:val="none" w:sz="0" w:space="0" w:color="auto"/>
                            <w:right w:val="none" w:sz="0" w:space="0" w:color="auto"/>
                          </w:divBdr>
                        </w:div>
                        <w:div w:id="407465746">
                          <w:marLeft w:val="640"/>
                          <w:marRight w:val="0"/>
                          <w:marTop w:val="0"/>
                          <w:marBottom w:val="0"/>
                          <w:divBdr>
                            <w:top w:val="none" w:sz="0" w:space="0" w:color="auto"/>
                            <w:left w:val="none" w:sz="0" w:space="0" w:color="auto"/>
                            <w:bottom w:val="none" w:sz="0" w:space="0" w:color="auto"/>
                            <w:right w:val="none" w:sz="0" w:space="0" w:color="auto"/>
                          </w:divBdr>
                        </w:div>
                        <w:div w:id="744497914">
                          <w:marLeft w:val="640"/>
                          <w:marRight w:val="0"/>
                          <w:marTop w:val="0"/>
                          <w:marBottom w:val="0"/>
                          <w:divBdr>
                            <w:top w:val="none" w:sz="0" w:space="0" w:color="auto"/>
                            <w:left w:val="none" w:sz="0" w:space="0" w:color="auto"/>
                            <w:bottom w:val="none" w:sz="0" w:space="0" w:color="auto"/>
                            <w:right w:val="none" w:sz="0" w:space="0" w:color="auto"/>
                          </w:divBdr>
                        </w:div>
                        <w:div w:id="2035617012">
                          <w:marLeft w:val="640"/>
                          <w:marRight w:val="0"/>
                          <w:marTop w:val="0"/>
                          <w:marBottom w:val="0"/>
                          <w:divBdr>
                            <w:top w:val="none" w:sz="0" w:space="0" w:color="auto"/>
                            <w:left w:val="none" w:sz="0" w:space="0" w:color="auto"/>
                            <w:bottom w:val="none" w:sz="0" w:space="0" w:color="auto"/>
                            <w:right w:val="none" w:sz="0" w:space="0" w:color="auto"/>
                          </w:divBdr>
                        </w:div>
                        <w:div w:id="1933850601">
                          <w:marLeft w:val="640"/>
                          <w:marRight w:val="0"/>
                          <w:marTop w:val="0"/>
                          <w:marBottom w:val="0"/>
                          <w:divBdr>
                            <w:top w:val="none" w:sz="0" w:space="0" w:color="auto"/>
                            <w:left w:val="none" w:sz="0" w:space="0" w:color="auto"/>
                            <w:bottom w:val="none" w:sz="0" w:space="0" w:color="auto"/>
                            <w:right w:val="none" w:sz="0" w:space="0" w:color="auto"/>
                          </w:divBdr>
                        </w:div>
                        <w:div w:id="599413867">
                          <w:marLeft w:val="640"/>
                          <w:marRight w:val="0"/>
                          <w:marTop w:val="0"/>
                          <w:marBottom w:val="0"/>
                          <w:divBdr>
                            <w:top w:val="none" w:sz="0" w:space="0" w:color="auto"/>
                            <w:left w:val="none" w:sz="0" w:space="0" w:color="auto"/>
                            <w:bottom w:val="none" w:sz="0" w:space="0" w:color="auto"/>
                            <w:right w:val="none" w:sz="0" w:space="0" w:color="auto"/>
                          </w:divBdr>
                        </w:div>
                        <w:div w:id="1727145773">
                          <w:marLeft w:val="640"/>
                          <w:marRight w:val="0"/>
                          <w:marTop w:val="0"/>
                          <w:marBottom w:val="0"/>
                          <w:divBdr>
                            <w:top w:val="none" w:sz="0" w:space="0" w:color="auto"/>
                            <w:left w:val="none" w:sz="0" w:space="0" w:color="auto"/>
                            <w:bottom w:val="none" w:sz="0" w:space="0" w:color="auto"/>
                            <w:right w:val="none" w:sz="0" w:space="0" w:color="auto"/>
                          </w:divBdr>
                        </w:div>
                        <w:div w:id="393892950">
                          <w:marLeft w:val="640"/>
                          <w:marRight w:val="0"/>
                          <w:marTop w:val="0"/>
                          <w:marBottom w:val="0"/>
                          <w:divBdr>
                            <w:top w:val="none" w:sz="0" w:space="0" w:color="auto"/>
                            <w:left w:val="none" w:sz="0" w:space="0" w:color="auto"/>
                            <w:bottom w:val="none" w:sz="0" w:space="0" w:color="auto"/>
                            <w:right w:val="none" w:sz="0" w:space="0" w:color="auto"/>
                          </w:divBdr>
                        </w:div>
                        <w:div w:id="1104422426">
                          <w:marLeft w:val="640"/>
                          <w:marRight w:val="0"/>
                          <w:marTop w:val="0"/>
                          <w:marBottom w:val="0"/>
                          <w:divBdr>
                            <w:top w:val="none" w:sz="0" w:space="0" w:color="auto"/>
                            <w:left w:val="none" w:sz="0" w:space="0" w:color="auto"/>
                            <w:bottom w:val="none" w:sz="0" w:space="0" w:color="auto"/>
                            <w:right w:val="none" w:sz="0" w:space="0" w:color="auto"/>
                          </w:divBdr>
                        </w:div>
                        <w:div w:id="2073694160">
                          <w:marLeft w:val="640"/>
                          <w:marRight w:val="0"/>
                          <w:marTop w:val="0"/>
                          <w:marBottom w:val="0"/>
                          <w:divBdr>
                            <w:top w:val="none" w:sz="0" w:space="0" w:color="auto"/>
                            <w:left w:val="none" w:sz="0" w:space="0" w:color="auto"/>
                            <w:bottom w:val="none" w:sz="0" w:space="0" w:color="auto"/>
                            <w:right w:val="none" w:sz="0" w:space="0" w:color="auto"/>
                          </w:divBdr>
                        </w:div>
                        <w:div w:id="1743211590">
                          <w:marLeft w:val="640"/>
                          <w:marRight w:val="0"/>
                          <w:marTop w:val="0"/>
                          <w:marBottom w:val="0"/>
                          <w:divBdr>
                            <w:top w:val="none" w:sz="0" w:space="0" w:color="auto"/>
                            <w:left w:val="none" w:sz="0" w:space="0" w:color="auto"/>
                            <w:bottom w:val="none" w:sz="0" w:space="0" w:color="auto"/>
                            <w:right w:val="none" w:sz="0" w:space="0" w:color="auto"/>
                          </w:divBdr>
                        </w:div>
                        <w:div w:id="1211646891">
                          <w:marLeft w:val="640"/>
                          <w:marRight w:val="0"/>
                          <w:marTop w:val="0"/>
                          <w:marBottom w:val="0"/>
                          <w:divBdr>
                            <w:top w:val="none" w:sz="0" w:space="0" w:color="auto"/>
                            <w:left w:val="none" w:sz="0" w:space="0" w:color="auto"/>
                            <w:bottom w:val="none" w:sz="0" w:space="0" w:color="auto"/>
                            <w:right w:val="none" w:sz="0" w:space="0" w:color="auto"/>
                          </w:divBdr>
                        </w:div>
                        <w:div w:id="888540962">
                          <w:marLeft w:val="640"/>
                          <w:marRight w:val="0"/>
                          <w:marTop w:val="0"/>
                          <w:marBottom w:val="0"/>
                          <w:divBdr>
                            <w:top w:val="none" w:sz="0" w:space="0" w:color="auto"/>
                            <w:left w:val="none" w:sz="0" w:space="0" w:color="auto"/>
                            <w:bottom w:val="none" w:sz="0" w:space="0" w:color="auto"/>
                            <w:right w:val="none" w:sz="0" w:space="0" w:color="auto"/>
                          </w:divBdr>
                        </w:div>
                        <w:div w:id="132067178">
                          <w:marLeft w:val="640"/>
                          <w:marRight w:val="0"/>
                          <w:marTop w:val="0"/>
                          <w:marBottom w:val="0"/>
                          <w:divBdr>
                            <w:top w:val="none" w:sz="0" w:space="0" w:color="auto"/>
                            <w:left w:val="none" w:sz="0" w:space="0" w:color="auto"/>
                            <w:bottom w:val="none" w:sz="0" w:space="0" w:color="auto"/>
                            <w:right w:val="none" w:sz="0" w:space="0" w:color="auto"/>
                          </w:divBdr>
                        </w:div>
                        <w:div w:id="1494299701">
                          <w:marLeft w:val="640"/>
                          <w:marRight w:val="0"/>
                          <w:marTop w:val="0"/>
                          <w:marBottom w:val="0"/>
                          <w:divBdr>
                            <w:top w:val="none" w:sz="0" w:space="0" w:color="auto"/>
                            <w:left w:val="none" w:sz="0" w:space="0" w:color="auto"/>
                            <w:bottom w:val="none" w:sz="0" w:space="0" w:color="auto"/>
                            <w:right w:val="none" w:sz="0" w:space="0" w:color="auto"/>
                          </w:divBdr>
                        </w:div>
                        <w:div w:id="153687990">
                          <w:marLeft w:val="640"/>
                          <w:marRight w:val="0"/>
                          <w:marTop w:val="0"/>
                          <w:marBottom w:val="0"/>
                          <w:divBdr>
                            <w:top w:val="none" w:sz="0" w:space="0" w:color="auto"/>
                            <w:left w:val="none" w:sz="0" w:space="0" w:color="auto"/>
                            <w:bottom w:val="none" w:sz="0" w:space="0" w:color="auto"/>
                            <w:right w:val="none" w:sz="0" w:space="0" w:color="auto"/>
                          </w:divBdr>
                        </w:div>
                        <w:div w:id="165631305">
                          <w:marLeft w:val="640"/>
                          <w:marRight w:val="0"/>
                          <w:marTop w:val="0"/>
                          <w:marBottom w:val="0"/>
                          <w:divBdr>
                            <w:top w:val="none" w:sz="0" w:space="0" w:color="auto"/>
                            <w:left w:val="none" w:sz="0" w:space="0" w:color="auto"/>
                            <w:bottom w:val="none" w:sz="0" w:space="0" w:color="auto"/>
                            <w:right w:val="none" w:sz="0" w:space="0" w:color="auto"/>
                          </w:divBdr>
                        </w:div>
                      </w:divsChild>
                    </w:div>
                    <w:div w:id="1153185020">
                      <w:marLeft w:val="0"/>
                      <w:marRight w:val="0"/>
                      <w:marTop w:val="0"/>
                      <w:marBottom w:val="0"/>
                      <w:divBdr>
                        <w:top w:val="none" w:sz="0" w:space="0" w:color="auto"/>
                        <w:left w:val="none" w:sz="0" w:space="0" w:color="auto"/>
                        <w:bottom w:val="none" w:sz="0" w:space="0" w:color="auto"/>
                        <w:right w:val="none" w:sz="0" w:space="0" w:color="auto"/>
                      </w:divBdr>
                      <w:divsChild>
                        <w:div w:id="362511954">
                          <w:marLeft w:val="640"/>
                          <w:marRight w:val="0"/>
                          <w:marTop w:val="0"/>
                          <w:marBottom w:val="0"/>
                          <w:divBdr>
                            <w:top w:val="none" w:sz="0" w:space="0" w:color="auto"/>
                            <w:left w:val="none" w:sz="0" w:space="0" w:color="auto"/>
                            <w:bottom w:val="none" w:sz="0" w:space="0" w:color="auto"/>
                            <w:right w:val="none" w:sz="0" w:space="0" w:color="auto"/>
                          </w:divBdr>
                        </w:div>
                        <w:div w:id="821654998">
                          <w:marLeft w:val="640"/>
                          <w:marRight w:val="0"/>
                          <w:marTop w:val="0"/>
                          <w:marBottom w:val="0"/>
                          <w:divBdr>
                            <w:top w:val="none" w:sz="0" w:space="0" w:color="auto"/>
                            <w:left w:val="none" w:sz="0" w:space="0" w:color="auto"/>
                            <w:bottom w:val="none" w:sz="0" w:space="0" w:color="auto"/>
                            <w:right w:val="none" w:sz="0" w:space="0" w:color="auto"/>
                          </w:divBdr>
                        </w:div>
                        <w:div w:id="1006438536">
                          <w:marLeft w:val="640"/>
                          <w:marRight w:val="0"/>
                          <w:marTop w:val="0"/>
                          <w:marBottom w:val="0"/>
                          <w:divBdr>
                            <w:top w:val="none" w:sz="0" w:space="0" w:color="auto"/>
                            <w:left w:val="none" w:sz="0" w:space="0" w:color="auto"/>
                            <w:bottom w:val="none" w:sz="0" w:space="0" w:color="auto"/>
                            <w:right w:val="none" w:sz="0" w:space="0" w:color="auto"/>
                          </w:divBdr>
                        </w:div>
                        <w:div w:id="1755589095">
                          <w:marLeft w:val="640"/>
                          <w:marRight w:val="0"/>
                          <w:marTop w:val="0"/>
                          <w:marBottom w:val="0"/>
                          <w:divBdr>
                            <w:top w:val="none" w:sz="0" w:space="0" w:color="auto"/>
                            <w:left w:val="none" w:sz="0" w:space="0" w:color="auto"/>
                            <w:bottom w:val="none" w:sz="0" w:space="0" w:color="auto"/>
                            <w:right w:val="none" w:sz="0" w:space="0" w:color="auto"/>
                          </w:divBdr>
                        </w:div>
                        <w:div w:id="1803696715">
                          <w:marLeft w:val="640"/>
                          <w:marRight w:val="0"/>
                          <w:marTop w:val="0"/>
                          <w:marBottom w:val="0"/>
                          <w:divBdr>
                            <w:top w:val="none" w:sz="0" w:space="0" w:color="auto"/>
                            <w:left w:val="none" w:sz="0" w:space="0" w:color="auto"/>
                            <w:bottom w:val="none" w:sz="0" w:space="0" w:color="auto"/>
                            <w:right w:val="none" w:sz="0" w:space="0" w:color="auto"/>
                          </w:divBdr>
                        </w:div>
                        <w:div w:id="1540583165">
                          <w:marLeft w:val="640"/>
                          <w:marRight w:val="0"/>
                          <w:marTop w:val="0"/>
                          <w:marBottom w:val="0"/>
                          <w:divBdr>
                            <w:top w:val="none" w:sz="0" w:space="0" w:color="auto"/>
                            <w:left w:val="none" w:sz="0" w:space="0" w:color="auto"/>
                            <w:bottom w:val="none" w:sz="0" w:space="0" w:color="auto"/>
                            <w:right w:val="none" w:sz="0" w:space="0" w:color="auto"/>
                          </w:divBdr>
                        </w:div>
                        <w:div w:id="245111503">
                          <w:marLeft w:val="640"/>
                          <w:marRight w:val="0"/>
                          <w:marTop w:val="0"/>
                          <w:marBottom w:val="0"/>
                          <w:divBdr>
                            <w:top w:val="none" w:sz="0" w:space="0" w:color="auto"/>
                            <w:left w:val="none" w:sz="0" w:space="0" w:color="auto"/>
                            <w:bottom w:val="none" w:sz="0" w:space="0" w:color="auto"/>
                            <w:right w:val="none" w:sz="0" w:space="0" w:color="auto"/>
                          </w:divBdr>
                        </w:div>
                        <w:div w:id="1829205671">
                          <w:marLeft w:val="640"/>
                          <w:marRight w:val="0"/>
                          <w:marTop w:val="0"/>
                          <w:marBottom w:val="0"/>
                          <w:divBdr>
                            <w:top w:val="none" w:sz="0" w:space="0" w:color="auto"/>
                            <w:left w:val="none" w:sz="0" w:space="0" w:color="auto"/>
                            <w:bottom w:val="none" w:sz="0" w:space="0" w:color="auto"/>
                            <w:right w:val="none" w:sz="0" w:space="0" w:color="auto"/>
                          </w:divBdr>
                        </w:div>
                        <w:div w:id="944189824">
                          <w:marLeft w:val="640"/>
                          <w:marRight w:val="0"/>
                          <w:marTop w:val="0"/>
                          <w:marBottom w:val="0"/>
                          <w:divBdr>
                            <w:top w:val="none" w:sz="0" w:space="0" w:color="auto"/>
                            <w:left w:val="none" w:sz="0" w:space="0" w:color="auto"/>
                            <w:bottom w:val="none" w:sz="0" w:space="0" w:color="auto"/>
                            <w:right w:val="none" w:sz="0" w:space="0" w:color="auto"/>
                          </w:divBdr>
                        </w:div>
                        <w:div w:id="749473398">
                          <w:marLeft w:val="640"/>
                          <w:marRight w:val="0"/>
                          <w:marTop w:val="0"/>
                          <w:marBottom w:val="0"/>
                          <w:divBdr>
                            <w:top w:val="none" w:sz="0" w:space="0" w:color="auto"/>
                            <w:left w:val="none" w:sz="0" w:space="0" w:color="auto"/>
                            <w:bottom w:val="none" w:sz="0" w:space="0" w:color="auto"/>
                            <w:right w:val="none" w:sz="0" w:space="0" w:color="auto"/>
                          </w:divBdr>
                        </w:div>
                        <w:div w:id="1978297591">
                          <w:marLeft w:val="640"/>
                          <w:marRight w:val="0"/>
                          <w:marTop w:val="0"/>
                          <w:marBottom w:val="0"/>
                          <w:divBdr>
                            <w:top w:val="none" w:sz="0" w:space="0" w:color="auto"/>
                            <w:left w:val="none" w:sz="0" w:space="0" w:color="auto"/>
                            <w:bottom w:val="none" w:sz="0" w:space="0" w:color="auto"/>
                            <w:right w:val="none" w:sz="0" w:space="0" w:color="auto"/>
                          </w:divBdr>
                        </w:div>
                        <w:div w:id="607353992">
                          <w:marLeft w:val="640"/>
                          <w:marRight w:val="0"/>
                          <w:marTop w:val="0"/>
                          <w:marBottom w:val="0"/>
                          <w:divBdr>
                            <w:top w:val="none" w:sz="0" w:space="0" w:color="auto"/>
                            <w:left w:val="none" w:sz="0" w:space="0" w:color="auto"/>
                            <w:bottom w:val="none" w:sz="0" w:space="0" w:color="auto"/>
                            <w:right w:val="none" w:sz="0" w:space="0" w:color="auto"/>
                          </w:divBdr>
                        </w:div>
                        <w:div w:id="923299501">
                          <w:marLeft w:val="640"/>
                          <w:marRight w:val="0"/>
                          <w:marTop w:val="0"/>
                          <w:marBottom w:val="0"/>
                          <w:divBdr>
                            <w:top w:val="none" w:sz="0" w:space="0" w:color="auto"/>
                            <w:left w:val="none" w:sz="0" w:space="0" w:color="auto"/>
                            <w:bottom w:val="none" w:sz="0" w:space="0" w:color="auto"/>
                            <w:right w:val="none" w:sz="0" w:space="0" w:color="auto"/>
                          </w:divBdr>
                        </w:div>
                        <w:div w:id="789937435">
                          <w:marLeft w:val="640"/>
                          <w:marRight w:val="0"/>
                          <w:marTop w:val="0"/>
                          <w:marBottom w:val="0"/>
                          <w:divBdr>
                            <w:top w:val="none" w:sz="0" w:space="0" w:color="auto"/>
                            <w:left w:val="none" w:sz="0" w:space="0" w:color="auto"/>
                            <w:bottom w:val="none" w:sz="0" w:space="0" w:color="auto"/>
                            <w:right w:val="none" w:sz="0" w:space="0" w:color="auto"/>
                          </w:divBdr>
                        </w:div>
                        <w:div w:id="1658418877">
                          <w:marLeft w:val="640"/>
                          <w:marRight w:val="0"/>
                          <w:marTop w:val="0"/>
                          <w:marBottom w:val="0"/>
                          <w:divBdr>
                            <w:top w:val="none" w:sz="0" w:space="0" w:color="auto"/>
                            <w:left w:val="none" w:sz="0" w:space="0" w:color="auto"/>
                            <w:bottom w:val="none" w:sz="0" w:space="0" w:color="auto"/>
                            <w:right w:val="none" w:sz="0" w:space="0" w:color="auto"/>
                          </w:divBdr>
                        </w:div>
                        <w:div w:id="288708503">
                          <w:marLeft w:val="640"/>
                          <w:marRight w:val="0"/>
                          <w:marTop w:val="0"/>
                          <w:marBottom w:val="0"/>
                          <w:divBdr>
                            <w:top w:val="none" w:sz="0" w:space="0" w:color="auto"/>
                            <w:left w:val="none" w:sz="0" w:space="0" w:color="auto"/>
                            <w:bottom w:val="none" w:sz="0" w:space="0" w:color="auto"/>
                            <w:right w:val="none" w:sz="0" w:space="0" w:color="auto"/>
                          </w:divBdr>
                        </w:div>
                        <w:div w:id="2136753166">
                          <w:marLeft w:val="640"/>
                          <w:marRight w:val="0"/>
                          <w:marTop w:val="0"/>
                          <w:marBottom w:val="0"/>
                          <w:divBdr>
                            <w:top w:val="none" w:sz="0" w:space="0" w:color="auto"/>
                            <w:left w:val="none" w:sz="0" w:space="0" w:color="auto"/>
                            <w:bottom w:val="none" w:sz="0" w:space="0" w:color="auto"/>
                            <w:right w:val="none" w:sz="0" w:space="0" w:color="auto"/>
                          </w:divBdr>
                        </w:div>
                        <w:div w:id="1391610468">
                          <w:marLeft w:val="640"/>
                          <w:marRight w:val="0"/>
                          <w:marTop w:val="0"/>
                          <w:marBottom w:val="0"/>
                          <w:divBdr>
                            <w:top w:val="none" w:sz="0" w:space="0" w:color="auto"/>
                            <w:left w:val="none" w:sz="0" w:space="0" w:color="auto"/>
                            <w:bottom w:val="none" w:sz="0" w:space="0" w:color="auto"/>
                            <w:right w:val="none" w:sz="0" w:space="0" w:color="auto"/>
                          </w:divBdr>
                        </w:div>
                        <w:div w:id="708846267">
                          <w:marLeft w:val="640"/>
                          <w:marRight w:val="0"/>
                          <w:marTop w:val="0"/>
                          <w:marBottom w:val="0"/>
                          <w:divBdr>
                            <w:top w:val="none" w:sz="0" w:space="0" w:color="auto"/>
                            <w:left w:val="none" w:sz="0" w:space="0" w:color="auto"/>
                            <w:bottom w:val="none" w:sz="0" w:space="0" w:color="auto"/>
                            <w:right w:val="none" w:sz="0" w:space="0" w:color="auto"/>
                          </w:divBdr>
                        </w:div>
                        <w:div w:id="90972731">
                          <w:marLeft w:val="640"/>
                          <w:marRight w:val="0"/>
                          <w:marTop w:val="0"/>
                          <w:marBottom w:val="0"/>
                          <w:divBdr>
                            <w:top w:val="none" w:sz="0" w:space="0" w:color="auto"/>
                            <w:left w:val="none" w:sz="0" w:space="0" w:color="auto"/>
                            <w:bottom w:val="none" w:sz="0" w:space="0" w:color="auto"/>
                            <w:right w:val="none" w:sz="0" w:space="0" w:color="auto"/>
                          </w:divBdr>
                        </w:div>
                        <w:div w:id="1271083221">
                          <w:marLeft w:val="640"/>
                          <w:marRight w:val="0"/>
                          <w:marTop w:val="0"/>
                          <w:marBottom w:val="0"/>
                          <w:divBdr>
                            <w:top w:val="none" w:sz="0" w:space="0" w:color="auto"/>
                            <w:left w:val="none" w:sz="0" w:space="0" w:color="auto"/>
                            <w:bottom w:val="none" w:sz="0" w:space="0" w:color="auto"/>
                            <w:right w:val="none" w:sz="0" w:space="0" w:color="auto"/>
                          </w:divBdr>
                        </w:div>
                        <w:div w:id="1934972305">
                          <w:marLeft w:val="640"/>
                          <w:marRight w:val="0"/>
                          <w:marTop w:val="0"/>
                          <w:marBottom w:val="0"/>
                          <w:divBdr>
                            <w:top w:val="none" w:sz="0" w:space="0" w:color="auto"/>
                            <w:left w:val="none" w:sz="0" w:space="0" w:color="auto"/>
                            <w:bottom w:val="none" w:sz="0" w:space="0" w:color="auto"/>
                            <w:right w:val="none" w:sz="0" w:space="0" w:color="auto"/>
                          </w:divBdr>
                        </w:div>
                        <w:div w:id="1445424850">
                          <w:marLeft w:val="640"/>
                          <w:marRight w:val="0"/>
                          <w:marTop w:val="0"/>
                          <w:marBottom w:val="0"/>
                          <w:divBdr>
                            <w:top w:val="none" w:sz="0" w:space="0" w:color="auto"/>
                            <w:left w:val="none" w:sz="0" w:space="0" w:color="auto"/>
                            <w:bottom w:val="none" w:sz="0" w:space="0" w:color="auto"/>
                            <w:right w:val="none" w:sz="0" w:space="0" w:color="auto"/>
                          </w:divBdr>
                        </w:div>
                        <w:div w:id="605818655">
                          <w:marLeft w:val="640"/>
                          <w:marRight w:val="0"/>
                          <w:marTop w:val="0"/>
                          <w:marBottom w:val="0"/>
                          <w:divBdr>
                            <w:top w:val="none" w:sz="0" w:space="0" w:color="auto"/>
                            <w:left w:val="none" w:sz="0" w:space="0" w:color="auto"/>
                            <w:bottom w:val="none" w:sz="0" w:space="0" w:color="auto"/>
                            <w:right w:val="none" w:sz="0" w:space="0" w:color="auto"/>
                          </w:divBdr>
                        </w:div>
                        <w:div w:id="2078018415">
                          <w:marLeft w:val="640"/>
                          <w:marRight w:val="0"/>
                          <w:marTop w:val="0"/>
                          <w:marBottom w:val="0"/>
                          <w:divBdr>
                            <w:top w:val="none" w:sz="0" w:space="0" w:color="auto"/>
                            <w:left w:val="none" w:sz="0" w:space="0" w:color="auto"/>
                            <w:bottom w:val="none" w:sz="0" w:space="0" w:color="auto"/>
                            <w:right w:val="none" w:sz="0" w:space="0" w:color="auto"/>
                          </w:divBdr>
                        </w:div>
                        <w:div w:id="1705402532">
                          <w:marLeft w:val="640"/>
                          <w:marRight w:val="0"/>
                          <w:marTop w:val="0"/>
                          <w:marBottom w:val="0"/>
                          <w:divBdr>
                            <w:top w:val="none" w:sz="0" w:space="0" w:color="auto"/>
                            <w:left w:val="none" w:sz="0" w:space="0" w:color="auto"/>
                            <w:bottom w:val="none" w:sz="0" w:space="0" w:color="auto"/>
                            <w:right w:val="none" w:sz="0" w:space="0" w:color="auto"/>
                          </w:divBdr>
                        </w:div>
                      </w:divsChild>
                    </w:div>
                    <w:div w:id="1621762205">
                      <w:marLeft w:val="0"/>
                      <w:marRight w:val="0"/>
                      <w:marTop w:val="0"/>
                      <w:marBottom w:val="0"/>
                      <w:divBdr>
                        <w:top w:val="none" w:sz="0" w:space="0" w:color="auto"/>
                        <w:left w:val="none" w:sz="0" w:space="0" w:color="auto"/>
                        <w:bottom w:val="none" w:sz="0" w:space="0" w:color="auto"/>
                        <w:right w:val="none" w:sz="0" w:space="0" w:color="auto"/>
                      </w:divBdr>
                      <w:divsChild>
                        <w:div w:id="1261643812">
                          <w:marLeft w:val="640"/>
                          <w:marRight w:val="0"/>
                          <w:marTop w:val="0"/>
                          <w:marBottom w:val="0"/>
                          <w:divBdr>
                            <w:top w:val="none" w:sz="0" w:space="0" w:color="auto"/>
                            <w:left w:val="none" w:sz="0" w:space="0" w:color="auto"/>
                            <w:bottom w:val="none" w:sz="0" w:space="0" w:color="auto"/>
                            <w:right w:val="none" w:sz="0" w:space="0" w:color="auto"/>
                          </w:divBdr>
                        </w:div>
                        <w:div w:id="644965650">
                          <w:marLeft w:val="640"/>
                          <w:marRight w:val="0"/>
                          <w:marTop w:val="0"/>
                          <w:marBottom w:val="0"/>
                          <w:divBdr>
                            <w:top w:val="none" w:sz="0" w:space="0" w:color="auto"/>
                            <w:left w:val="none" w:sz="0" w:space="0" w:color="auto"/>
                            <w:bottom w:val="none" w:sz="0" w:space="0" w:color="auto"/>
                            <w:right w:val="none" w:sz="0" w:space="0" w:color="auto"/>
                          </w:divBdr>
                        </w:div>
                        <w:div w:id="2115858105">
                          <w:marLeft w:val="640"/>
                          <w:marRight w:val="0"/>
                          <w:marTop w:val="0"/>
                          <w:marBottom w:val="0"/>
                          <w:divBdr>
                            <w:top w:val="none" w:sz="0" w:space="0" w:color="auto"/>
                            <w:left w:val="none" w:sz="0" w:space="0" w:color="auto"/>
                            <w:bottom w:val="none" w:sz="0" w:space="0" w:color="auto"/>
                            <w:right w:val="none" w:sz="0" w:space="0" w:color="auto"/>
                          </w:divBdr>
                        </w:div>
                        <w:div w:id="1197425028">
                          <w:marLeft w:val="640"/>
                          <w:marRight w:val="0"/>
                          <w:marTop w:val="0"/>
                          <w:marBottom w:val="0"/>
                          <w:divBdr>
                            <w:top w:val="none" w:sz="0" w:space="0" w:color="auto"/>
                            <w:left w:val="none" w:sz="0" w:space="0" w:color="auto"/>
                            <w:bottom w:val="none" w:sz="0" w:space="0" w:color="auto"/>
                            <w:right w:val="none" w:sz="0" w:space="0" w:color="auto"/>
                          </w:divBdr>
                        </w:div>
                        <w:div w:id="1529176856">
                          <w:marLeft w:val="640"/>
                          <w:marRight w:val="0"/>
                          <w:marTop w:val="0"/>
                          <w:marBottom w:val="0"/>
                          <w:divBdr>
                            <w:top w:val="none" w:sz="0" w:space="0" w:color="auto"/>
                            <w:left w:val="none" w:sz="0" w:space="0" w:color="auto"/>
                            <w:bottom w:val="none" w:sz="0" w:space="0" w:color="auto"/>
                            <w:right w:val="none" w:sz="0" w:space="0" w:color="auto"/>
                          </w:divBdr>
                        </w:div>
                        <w:div w:id="438380047">
                          <w:marLeft w:val="640"/>
                          <w:marRight w:val="0"/>
                          <w:marTop w:val="0"/>
                          <w:marBottom w:val="0"/>
                          <w:divBdr>
                            <w:top w:val="none" w:sz="0" w:space="0" w:color="auto"/>
                            <w:left w:val="none" w:sz="0" w:space="0" w:color="auto"/>
                            <w:bottom w:val="none" w:sz="0" w:space="0" w:color="auto"/>
                            <w:right w:val="none" w:sz="0" w:space="0" w:color="auto"/>
                          </w:divBdr>
                        </w:div>
                        <w:div w:id="369958408">
                          <w:marLeft w:val="640"/>
                          <w:marRight w:val="0"/>
                          <w:marTop w:val="0"/>
                          <w:marBottom w:val="0"/>
                          <w:divBdr>
                            <w:top w:val="none" w:sz="0" w:space="0" w:color="auto"/>
                            <w:left w:val="none" w:sz="0" w:space="0" w:color="auto"/>
                            <w:bottom w:val="none" w:sz="0" w:space="0" w:color="auto"/>
                            <w:right w:val="none" w:sz="0" w:space="0" w:color="auto"/>
                          </w:divBdr>
                        </w:div>
                        <w:div w:id="1584603858">
                          <w:marLeft w:val="640"/>
                          <w:marRight w:val="0"/>
                          <w:marTop w:val="0"/>
                          <w:marBottom w:val="0"/>
                          <w:divBdr>
                            <w:top w:val="none" w:sz="0" w:space="0" w:color="auto"/>
                            <w:left w:val="none" w:sz="0" w:space="0" w:color="auto"/>
                            <w:bottom w:val="none" w:sz="0" w:space="0" w:color="auto"/>
                            <w:right w:val="none" w:sz="0" w:space="0" w:color="auto"/>
                          </w:divBdr>
                        </w:div>
                        <w:div w:id="469439637">
                          <w:marLeft w:val="640"/>
                          <w:marRight w:val="0"/>
                          <w:marTop w:val="0"/>
                          <w:marBottom w:val="0"/>
                          <w:divBdr>
                            <w:top w:val="none" w:sz="0" w:space="0" w:color="auto"/>
                            <w:left w:val="none" w:sz="0" w:space="0" w:color="auto"/>
                            <w:bottom w:val="none" w:sz="0" w:space="0" w:color="auto"/>
                            <w:right w:val="none" w:sz="0" w:space="0" w:color="auto"/>
                          </w:divBdr>
                        </w:div>
                        <w:div w:id="966350752">
                          <w:marLeft w:val="640"/>
                          <w:marRight w:val="0"/>
                          <w:marTop w:val="0"/>
                          <w:marBottom w:val="0"/>
                          <w:divBdr>
                            <w:top w:val="none" w:sz="0" w:space="0" w:color="auto"/>
                            <w:left w:val="none" w:sz="0" w:space="0" w:color="auto"/>
                            <w:bottom w:val="none" w:sz="0" w:space="0" w:color="auto"/>
                            <w:right w:val="none" w:sz="0" w:space="0" w:color="auto"/>
                          </w:divBdr>
                        </w:div>
                        <w:div w:id="956450422">
                          <w:marLeft w:val="640"/>
                          <w:marRight w:val="0"/>
                          <w:marTop w:val="0"/>
                          <w:marBottom w:val="0"/>
                          <w:divBdr>
                            <w:top w:val="none" w:sz="0" w:space="0" w:color="auto"/>
                            <w:left w:val="none" w:sz="0" w:space="0" w:color="auto"/>
                            <w:bottom w:val="none" w:sz="0" w:space="0" w:color="auto"/>
                            <w:right w:val="none" w:sz="0" w:space="0" w:color="auto"/>
                          </w:divBdr>
                        </w:div>
                        <w:div w:id="2109615310">
                          <w:marLeft w:val="640"/>
                          <w:marRight w:val="0"/>
                          <w:marTop w:val="0"/>
                          <w:marBottom w:val="0"/>
                          <w:divBdr>
                            <w:top w:val="none" w:sz="0" w:space="0" w:color="auto"/>
                            <w:left w:val="none" w:sz="0" w:space="0" w:color="auto"/>
                            <w:bottom w:val="none" w:sz="0" w:space="0" w:color="auto"/>
                            <w:right w:val="none" w:sz="0" w:space="0" w:color="auto"/>
                          </w:divBdr>
                        </w:div>
                        <w:div w:id="1300767090">
                          <w:marLeft w:val="640"/>
                          <w:marRight w:val="0"/>
                          <w:marTop w:val="0"/>
                          <w:marBottom w:val="0"/>
                          <w:divBdr>
                            <w:top w:val="none" w:sz="0" w:space="0" w:color="auto"/>
                            <w:left w:val="none" w:sz="0" w:space="0" w:color="auto"/>
                            <w:bottom w:val="none" w:sz="0" w:space="0" w:color="auto"/>
                            <w:right w:val="none" w:sz="0" w:space="0" w:color="auto"/>
                          </w:divBdr>
                        </w:div>
                        <w:div w:id="621688259">
                          <w:marLeft w:val="640"/>
                          <w:marRight w:val="0"/>
                          <w:marTop w:val="0"/>
                          <w:marBottom w:val="0"/>
                          <w:divBdr>
                            <w:top w:val="none" w:sz="0" w:space="0" w:color="auto"/>
                            <w:left w:val="none" w:sz="0" w:space="0" w:color="auto"/>
                            <w:bottom w:val="none" w:sz="0" w:space="0" w:color="auto"/>
                            <w:right w:val="none" w:sz="0" w:space="0" w:color="auto"/>
                          </w:divBdr>
                        </w:div>
                        <w:div w:id="1031765145">
                          <w:marLeft w:val="640"/>
                          <w:marRight w:val="0"/>
                          <w:marTop w:val="0"/>
                          <w:marBottom w:val="0"/>
                          <w:divBdr>
                            <w:top w:val="none" w:sz="0" w:space="0" w:color="auto"/>
                            <w:left w:val="none" w:sz="0" w:space="0" w:color="auto"/>
                            <w:bottom w:val="none" w:sz="0" w:space="0" w:color="auto"/>
                            <w:right w:val="none" w:sz="0" w:space="0" w:color="auto"/>
                          </w:divBdr>
                        </w:div>
                        <w:div w:id="2035381400">
                          <w:marLeft w:val="640"/>
                          <w:marRight w:val="0"/>
                          <w:marTop w:val="0"/>
                          <w:marBottom w:val="0"/>
                          <w:divBdr>
                            <w:top w:val="none" w:sz="0" w:space="0" w:color="auto"/>
                            <w:left w:val="none" w:sz="0" w:space="0" w:color="auto"/>
                            <w:bottom w:val="none" w:sz="0" w:space="0" w:color="auto"/>
                            <w:right w:val="none" w:sz="0" w:space="0" w:color="auto"/>
                          </w:divBdr>
                        </w:div>
                        <w:div w:id="1310013016">
                          <w:marLeft w:val="640"/>
                          <w:marRight w:val="0"/>
                          <w:marTop w:val="0"/>
                          <w:marBottom w:val="0"/>
                          <w:divBdr>
                            <w:top w:val="none" w:sz="0" w:space="0" w:color="auto"/>
                            <w:left w:val="none" w:sz="0" w:space="0" w:color="auto"/>
                            <w:bottom w:val="none" w:sz="0" w:space="0" w:color="auto"/>
                            <w:right w:val="none" w:sz="0" w:space="0" w:color="auto"/>
                          </w:divBdr>
                        </w:div>
                        <w:div w:id="531960232">
                          <w:marLeft w:val="640"/>
                          <w:marRight w:val="0"/>
                          <w:marTop w:val="0"/>
                          <w:marBottom w:val="0"/>
                          <w:divBdr>
                            <w:top w:val="none" w:sz="0" w:space="0" w:color="auto"/>
                            <w:left w:val="none" w:sz="0" w:space="0" w:color="auto"/>
                            <w:bottom w:val="none" w:sz="0" w:space="0" w:color="auto"/>
                            <w:right w:val="none" w:sz="0" w:space="0" w:color="auto"/>
                          </w:divBdr>
                        </w:div>
                        <w:div w:id="146095500">
                          <w:marLeft w:val="640"/>
                          <w:marRight w:val="0"/>
                          <w:marTop w:val="0"/>
                          <w:marBottom w:val="0"/>
                          <w:divBdr>
                            <w:top w:val="none" w:sz="0" w:space="0" w:color="auto"/>
                            <w:left w:val="none" w:sz="0" w:space="0" w:color="auto"/>
                            <w:bottom w:val="none" w:sz="0" w:space="0" w:color="auto"/>
                            <w:right w:val="none" w:sz="0" w:space="0" w:color="auto"/>
                          </w:divBdr>
                        </w:div>
                        <w:div w:id="1928340263">
                          <w:marLeft w:val="640"/>
                          <w:marRight w:val="0"/>
                          <w:marTop w:val="0"/>
                          <w:marBottom w:val="0"/>
                          <w:divBdr>
                            <w:top w:val="none" w:sz="0" w:space="0" w:color="auto"/>
                            <w:left w:val="none" w:sz="0" w:space="0" w:color="auto"/>
                            <w:bottom w:val="none" w:sz="0" w:space="0" w:color="auto"/>
                            <w:right w:val="none" w:sz="0" w:space="0" w:color="auto"/>
                          </w:divBdr>
                        </w:div>
                        <w:div w:id="854996806">
                          <w:marLeft w:val="640"/>
                          <w:marRight w:val="0"/>
                          <w:marTop w:val="0"/>
                          <w:marBottom w:val="0"/>
                          <w:divBdr>
                            <w:top w:val="none" w:sz="0" w:space="0" w:color="auto"/>
                            <w:left w:val="none" w:sz="0" w:space="0" w:color="auto"/>
                            <w:bottom w:val="none" w:sz="0" w:space="0" w:color="auto"/>
                            <w:right w:val="none" w:sz="0" w:space="0" w:color="auto"/>
                          </w:divBdr>
                        </w:div>
                        <w:div w:id="1924871598">
                          <w:marLeft w:val="640"/>
                          <w:marRight w:val="0"/>
                          <w:marTop w:val="0"/>
                          <w:marBottom w:val="0"/>
                          <w:divBdr>
                            <w:top w:val="none" w:sz="0" w:space="0" w:color="auto"/>
                            <w:left w:val="none" w:sz="0" w:space="0" w:color="auto"/>
                            <w:bottom w:val="none" w:sz="0" w:space="0" w:color="auto"/>
                            <w:right w:val="none" w:sz="0" w:space="0" w:color="auto"/>
                          </w:divBdr>
                        </w:div>
                        <w:div w:id="520050692">
                          <w:marLeft w:val="640"/>
                          <w:marRight w:val="0"/>
                          <w:marTop w:val="0"/>
                          <w:marBottom w:val="0"/>
                          <w:divBdr>
                            <w:top w:val="none" w:sz="0" w:space="0" w:color="auto"/>
                            <w:left w:val="none" w:sz="0" w:space="0" w:color="auto"/>
                            <w:bottom w:val="none" w:sz="0" w:space="0" w:color="auto"/>
                            <w:right w:val="none" w:sz="0" w:space="0" w:color="auto"/>
                          </w:divBdr>
                        </w:div>
                        <w:div w:id="663359323">
                          <w:marLeft w:val="640"/>
                          <w:marRight w:val="0"/>
                          <w:marTop w:val="0"/>
                          <w:marBottom w:val="0"/>
                          <w:divBdr>
                            <w:top w:val="none" w:sz="0" w:space="0" w:color="auto"/>
                            <w:left w:val="none" w:sz="0" w:space="0" w:color="auto"/>
                            <w:bottom w:val="none" w:sz="0" w:space="0" w:color="auto"/>
                            <w:right w:val="none" w:sz="0" w:space="0" w:color="auto"/>
                          </w:divBdr>
                        </w:div>
                        <w:div w:id="1275751610">
                          <w:marLeft w:val="640"/>
                          <w:marRight w:val="0"/>
                          <w:marTop w:val="0"/>
                          <w:marBottom w:val="0"/>
                          <w:divBdr>
                            <w:top w:val="none" w:sz="0" w:space="0" w:color="auto"/>
                            <w:left w:val="none" w:sz="0" w:space="0" w:color="auto"/>
                            <w:bottom w:val="none" w:sz="0" w:space="0" w:color="auto"/>
                            <w:right w:val="none" w:sz="0" w:space="0" w:color="auto"/>
                          </w:divBdr>
                        </w:div>
                        <w:div w:id="1053970381">
                          <w:marLeft w:val="640"/>
                          <w:marRight w:val="0"/>
                          <w:marTop w:val="0"/>
                          <w:marBottom w:val="0"/>
                          <w:divBdr>
                            <w:top w:val="none" w:sz="0" w:space="0" w:color="auto"/>
                            <w:left w:val="none" w:sz="0" w:space="0" w:color="auto"/>
                            <w:bottom w:val="none" w:sz="0" w:space="0" w:color="auto"/>
                            <w:right w:val="none" w:sz="0" w:space="0" w:color="auto"/>
                          </w:divBdr>
                        </w:div>
                      </w:divsChild>
                    </w:div>
                    <w:div w:id="1453013910">
                      <w:marLeft w:val="0"/>
                      <w:marRight w:val="0"/>
                      <w:marTop w:val="0"/>
                      <w:marBottom w:val="0"/>
                      <w:divBdr>
                        <w:top w:val="none" w:sz="0" w:space="0" w:color="auto"/>
                        <w:left w:val="none" w:sz="0" w:space="0" w:color="auto"/>
                        <w:bottom w:val="none" w:sz="0" w:space="0" w:color="auto"/>
                        <w:right w:val="none" w:sz="0" w:space="0" w:color="auto"/>
                      </w:divBdr>
                      <w:divsChild>
                        <w:div w:id="2091195974">
                          <w:marLeft w:val="640"/>
                          <w:marRight w:val="0"/>
                          <w:marTop w:val="0"/>
                          <w:marBottom w:val="0"/>
                          <w:divBdr>
                            <w:top w:val="none" w:sz="0" w:space="0" w:color="auto"/>
                            <w:left w:val="none" w:sz="0" w:space="0" w:color="auto"/>
                            <w:bottom w:val="none" w:sz="0" w:space="0" w:color="auto"/>
                            <w:right w:val="none" w:sz="0" w:space="0" w:color="auto"/>
                          </w:divBdr>
                        </w:div>
                        <w:div w:id="438796210">
                          <w:marLeft w:val="640"/>
                          <w:marRight w:val="0"/>
                          <w:marTop w:val="0"/>
                          <w:marBottom w:val="0"/>
                          <w:divBdr>
                            <w:top w:val="none" w:sz="0" w:space="0" w:color="auto"/>
                            <w:left w:val="none" w:sz="0" w:space="0" w:color="auto"/>
                            <w:bottom w:val="none" w:sz="0" w:space="0" w:color="auto"/>
                            <w:right w:val="none" w:sz="0" w:space="0" w:color="auto"/>
                          </w:divBdr>
                        </w:div>
                        <w:div w:id="2135444914">
                          <w:marLeft w:val="640"/>
                          <w:marRight w:val="0"/>
                          <w:marTop w:val="0"/>
                          <w:marBottom w:val="0"/>
                          <w:divBdr>
                            <w:top w:val="none" w:sz="0" w:space="0" w:color="auto"/>
                            <w:left w:val="none" w:sz="0" w:space="0" w:color="auto"/>
                            <w:bottom w:val="none" w:sz="0" w:space="0" w:color="auto"/>
                            <w:right w:val="none" w:sz="0" w:space="0" w:color="auto"/>
                          </w:divBdr>
                        </w:div>
                        <w:div w:id="462234737">
                          <w:marLeft w:val="640"/>
                          <w:marRight w:val="0"/>
                          <w:marTop w:val="0"/>
                          <w:marBottom w:val="0"/>
                          <w:divBdr>
                            <w:top w:val="none" w:sz="0" w:space="0" w:color="auto"/>
                            <w:left w:val="none" w:sz="0" w:space="0" w:color="auto"/>
                            <w:bottom w:val="none" w:sz="0" w:space="0" w:color="auto"/>
                            <w:right w:val="none" w:sz="0" w:space="0" w:color="auto"/>
                          </w:divBdr>
                        </w:div>
                        <w:div w:id="1580478941">
                          <w:marLeft w:val="640"/>
                          <w:marRight w:val="0"/>
                          <w:marTop w:val="0"/>
                          <w:marBottom w:val="0"/>
                          <w:divBdr>
                            <w:top w:val="none" w:sz="0" w:space="0" w:color="auto"/>
                            <w:left w:val="none" w:sz="0" w:space="0" w:color="auto"/>
                            <w:bottom w:val="none" w:sz="0" w:space="0" w:color="auto"/>
                            <w:right w:val="none" w:sz="0" w:space="0" w:color="auto"/>
                          </w:divBdr>
                        </w:div>
                        <w:div w:id="303319901">
                          <w:marLeft w:val="640"/>
                          <w:marRight w:val="0"/>
                          <w:marTop w:val="0"/>
                          <w:marBottom w:val="0"/>
                          <w:divBdr>
                            <w:top w:val="none" w:sz="0" w:space="0" w:color="auto"/>
                            <w:left w:val="none" w:sz="0" w:space="0" w:color="auto"/>
                            <w:bottom w:val="none" w:sz="0" w:space="0" w:color="auto"/>
                            <w:right w:val="none" w:sz="0" w:space="0" w:color="auto"/>
                          </w:divBdr>
                        </w:div>
                        <w:div w:id="769937788">
                          <w:marLeft w:val="640"/>
                          <w:marRight w:val="0"/>
                          <w:marTop w:val="0"/>
                          <w:marBottom w:val="0"/>
                          <w:divBdr>
                            <w:top w:val="none" w:sz="0" w:space="0" w:color="auto"/>
                            <w:left w:val="none" w:sz="0" w:space="0" w:color="auto"/>
                            <w:bottom w:val="none" w:sz="0" w:space="0" w:color="auto"/>
                            <w:right w:val="none" w:sz="0" w:space="0" w:color="auto"/>
                          </w:divBdr>
                        </w:div>
                        <w:div w:id="1637486922">
                          <w:marLeft w:val="640"/>
                          <w:marRight w:val="0"/>
                          <w:marTop w:val="0"/>
                          <w:marBottom w:val="0"/>
                          <w:divBdr>
                            <w:top w:val="none" w:sz="0" w:space="0" w:color="auto"/>
                            <w:left w:val="none" w:sz="0" w:space="0" w:color="auto"/>
                            <w:bottom w:val="none" w:sz="0" w:space="0" w:color="auto"/>
                            <w:right w:val="none" w:sz="0" w:space="0" w:color="auto"/>
                          </w:divBdr>
                        </w:div>
                        <w:div w:id="561212541">
                          <w:marLeft w:val="640"/>
                          <w:marRight w:val="0"/>
                          <w:marTop w:val="0"/>
                          <w:marBottom w:val="0"/>
                          <w:divBdr>
                            <w:top w:val="none" w:sz="0" w:space="0" w:color="auto"/>
                            <w:left w:val="none" w:sz="0" w:space="0" w:color="auto"/>
                            <w:bottom w:val="none" w:sz="0" w:space="0" w:color="auto"/>
                            <w:right w:val="none" w:sz="0" w:space="0" w:color="auto"/>
                          </w:divBdr>
                        </w:div>
                        <w:div w:id="333647559">
                          <w:marLeft w:val="640"/>
                          <w:marRight w:val="0"/>
                          <w:marTop w:val="0"/>
                          <w:marBottom w:val="0"/>
                          <w:divBdr>
                            <w:top w:val="none" w:sz="0" w:space="0" w:color="auto"/>
                            <w:left w:val="none" w:sz="0" w:space="0" w:color="auto"/>
                            <w:bottom w:val="none" w:sz="0" w:space="0" w:color="auto"/>
                            <w:right w:val="none" w:sz="0" w:space="0" w:color="auto"/>
                          </w:divBdr>
                        </w:div>
                        <w:div w:id="714692566">
                          <w:marLeft w:val="640"/>
                          <w:marRight w:val="0"/>
                          <w:marTop w:val="0"/>
                          <w:marBottom w:val="0"/>
                          <w:divBdr>
                            <w:top w:val="none" w:sz="0" w:space="0" w:color="auto"/>
                            <w:left w:val="none" w:sz="0" w:space="0" w:color="auto"/>
                            <w:bottom w:val="none" w:sz="0" w:space="0" w:color="auto"/>
                            <w:right w:val="none" w:sz="0" w:space="0" w:color="auto"/>
                          </w:divBdr>
                        </w:div>
                        <w:div w:id="134375430">
                          <w:marLeft w:val="640"/>
                          <w:marRight w:val="0"/>
                          <w:marTop w:val="0"/>
                          <w:marBottom w:val="0"/>
                          <w:divBdr>
                            <w:top w:val="none" w:sz="0" w:space="0" w:color="auto"/>
                            <w:left w:val="none" w:sz="0" w:space="0" w:color="auto"/>
                            <w:bottom w:val="none" w:sz="0" w:space="0" w:color="auto"/>
                            <w:right w:val="none" w:sz="0" w:space="0" w:color="auto"/>
                          </w:divBdr>
                        </w:div>
                        <w:div w:id="18432824">
                          <w:marLeft w:val="640"/>
                          <w:marRight w:val="0"/>
                          <w:marTop w:val="0"/>
                          <w:marBottom w:val="0"/>
                          <w:divBdr>
                            <w:top w:val="none" w:sz="0" w:space="0" w:color="auto"/>
                            <w:left w:val="none" w:sz="0" w:space="0" w:color="auto"/>
                            <w:bottom w:val="none" w:sz="0" w:space="0" w:color="auto"/>
                            <w:right w:val="none" w:sz="0" w:space="0" w:color="auto"/>
                          </w:divBdr>
                        </w:div>
                        <w:div w:id="1576089355">
                          <w:marLeft w:val="640"/>
                          <w:marRight w:val="0"/>
                          <w:marTop w:val="0"/>
                          <w:marBottom w:val="0"/>
                          <w:divBdr>
                            <w:top w:val="none" w:sz="0" w:space="0" w:color="auto"/>
                            <w:left w:val="none" w:sz="0" w:space="0" w:color="auto"/>
                            <w:bottom w:val="none" w:sz="0" w:space="0" w:color="auto"/>
                            <w:right w:val="none" w:sz="0" w:space="0" w:color="auto"/>
                          </w:divBdr>
                        </w:div>
                        <w:div w:id="324362035">
                          <w:marLeft w:val="640"/>
                          <w:marRight w:val="0"/>
                          <w:marTop w:val="0"/>
                          <w:marBottom w:val="0"/>
                          <w:divBdr>
                            <w:top w:val="none" w:sz="0" w:space="0" w:color="auto"/>
                            <w:left w:val="none" w:sz="0" w:space="0" w:color="auto"/>
                            <w:bottom w:val="none" w:sz="0" w:space="0" w:color="auto"/>
                            <w:right w:val="none" w:sz="0" w:space="0" w:color="auto"/>
                          </w:divBdr>
                        </w:div>
                        <w:div w:id="631833694">
                          <w:marLeft w:val="640"/>
                          <w:marRight w:val="0"/>
                          <w:marTop w:val="0"/>
                          <w:marBottom w:val="0"/>
                          <w:divBdr>
                            <w:top w:val="none" w:sz="0" w:space="0" w:color="auto"/>
                            <w:left w:val="none" w:sz="0" w:space="0" w:color="auto"/>
                            <w:bottom w:val="none" w:sz="0" w:space="0" w:color="auto"/>
                            <w:right w:val="none" w:sz="0" w:space="0" w:color="auto"/>
                          </w:divBdr>
                        </w:div>
                        <w:div w:id="425274176">
                          <w:marLeft w:val="640"/>
                          <w:marRight w:val="0"/>
                          <w:marTop w:val="0"/>
                          <w:marBottom w:val="0"/>
                          <w:divBdr>
                            <w:top w:val="none" w:sz="0" w:space="0" w:color="auto"/>
                            <w:left w:val="none" w:sz="0" w:space="0" w:color="auto"/>
                            <w:bottom w:val="none" w:sz="0" w:space="0" w:color="auto"/>
                            <w:right w:val="none" w:sz="0" w:space="0" w:color="auto"/>
                          </w:divBdr>
                        </w:div>
                        <w:div w:id="1730154171">
                          <w:marLeft w:val="640"/>
                          <w:marRight w:val="0"/>
                          <w:marTop w:val="0"/>
                          <w:marBottom w:val="0"/>
                          <w:divBdr>
                            <w:top w:val="none" w:sz="0" w:space="0" w:color="auto"/>
                            <w:left w:val="none" w:sz="0" w:space="0" w:color="auto"/>
                            <w:bottom w:val="none" w:sz="0" w:space="0" w:color="auto"/>
                            <w:right w:val="none" w:sz="0" w:space="0" w:color="auto"/>
                          </w:divBdr>
                        </w:div>
                        <w:div w:id="439223672">
                          <w:marLeft w:val="640"/>
                          <w:marRight w:val="0"/>
                          <w:marTop w:val="0"/>
                          <w:marBottom w:val="0"/>
                          <w:divBdr>
                            <w:top w:val="none" w:sz="0" w:space="0" w:color="auto"/>
                            <w:left w:val="none" w:sz="0" w:space="0" w:color="auto"/>
                            <w:bottom w:val="none" w:sz="0" w:space="0" w:color="auto"/>
                            <w:right w:val="none" w:sz="0" w:space="0" w:color="auto"/>
                          </w:divBdr>
                        </w:div>
                        <w:div w:id="897667454">
                          <w:marLeft w:val="640"/>
                          <w:marRight w:val="0"/>
                          <w:marTop w:val="0"/>
                          <w:marBottom w:val="0"/>
                          <w:divBdr>
                            <w:top w:val="none" w:sz="0" w:space="0" w:color="auto"/>
                            <w:left w:val="none" w:sz="0" w:space="0" w:color="auto"/>
                            <w:bottom w:val="none" w:sz="0" w:space="0" w:color="auto"/>
                            <w:right w:val="none" w:sz="0" w:space="0" w:color="auto"/>
                          </w:divBdr>
                        </w:div>
                        <w:div w:id="1266764151">
                          <w:marLeft w:val="640"/>
                          <w:marRight w:val="0"/>
                          <w:marTop w:val="0"/>
                          <w:marBottom w:val="0"/>
                          <w:divBdr>
                            <w:top w:val="none" w:sz="0" w:space="0" w:color="auto"/>
                            <w:left w:val="none" w:sz="0" w:space="0" w:color="auto"/>
                            <w:bottom w:val="none" w:sz="0" w:space="0" w:color="auto"/>
                            <w:right w:val="none" w:sz="0" w:space="0" w:color="auto"/>
                          </w:divBdr>
                        </w:div>
                        <w:div w:id="2081098827">
                          <w:marLeft w:val="640"/>
                          <w:marRight w:val="0"/>
                          <w:marTop w:val="0"/>
                          <w:marBottom w:val="0"/>
                          <w:divBdr>
                            <w:top w:val="none" w:sz="0" w:space="0" w:color="auto"/>
                            <w:left w:val="none" w:sz="0" w:space="0" w:color="auto"/>
                            <w:bottom w:val="none" w:sz="0" w:space="0" w:color="auto"/>
                            <w:right w:val="none" w:sz="0" w:space="0" w:color="auto"/>
                          </w:divBdr>
                        </w:div>
                        <w:div w:id="684524726">
                          <w:marLeft w:val="640"/>
                          <w:marRight w:val="0"/>
                          <w:marTop w:val="0"/>
                          <w:marBottom w:val="0"/>
                          <w:divBdr>
                            <w:top w:val="none" w:sz="0" w:space="0" w:color="auto"/>
                            <w:left w:val="none" w:sz="0" w:space="0" w:color="auto"/>
                            <w:bottom w:val="none" w:sz="0" w:space="0" w:color="auto"/>
                            <w:right w:val="none" w:sz="0" w:space="0" w:color="auto"/>
                          </w:divBdr>
                        </w:div>
                        <w:div w:id="1352607709">
                          <w:marLeft w:val="640"/>
                          <w:marRight w:val="0"/>
                          <w:marTop w:val="0"/>
                          <w:marBottom w:val="0"/>
                          <w:divBdr>
                            <w:top w:val="none" w:sz="0" w:space="0" w:color="auto"/>
                            <w:left w:val="none" w:sz="0" w:space="0" w:color="auto"/>
                            <w:bottom w:val="none" w:sz="0" w:space="0" w:color="auto"/>
                            <w:right w:val="none" w:sz="0" w:space="0" w:color="auto"/>
                          </w:divBdr>
                        </w:div>
                        <w:div w:id="2027780900">
                          <w:marLeft w:val="640"/>
                          <w:marRight w:val="0"/>
                          <w:marTop w:val="0"/>
                          <w:marBottom w:val="0"/>
                          <w:divBdr>
                            <w:top w:val="none" w:sz="0" w:space="0" w:color="auto"/>
                            <w:left w:val="none" w:sz="0" w:space="0" w:color="auto"/>
                            <w:bottom w:val="none" w:sz="0" w:space="0" w:color="auto"/>
                            <w:right w:val="none" w:sz="0" w:space="0" w:color="auto"/>
                          </w:divBdr>
                        </w:div>
                        <w:div w:id="5717839">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2064554">
          <w:marLeft w:val="640"/>
          <w:marRight w:val="0"/>
          <w:marTop w:val="0"/>
          <w:marBottom w:val="0"/>
          <w:divBdr>
            <w:top w:val="none" w:sz="0" w:space="0" w:color="auto"/>
            <w:left w:val="none" w:sz="0" w:space="0" w:color="auto"/>
            <w:bottom w:val="none" w:sz="0" w:space="0" w:color="auto"/>
            <w:right w:val="none" w:sz="0" w:space="0" w:color="auto"/>
          </w:divBdr>
        </w:div>
        <w:div w:id="37317941">
          <w:marLeft w:val="640"/>
          <w:marRight w:val="0"/>
          <w:marTop w:val="0"/>
          <w:marBottom w:val="0"/>
          <w:divBdr>
            <w:top w:val="none" w:sz="0" w:space="0" w:color="auto"/>
            <w:left w:val="none" w:sz="0" w:space="0" w:color="auto"/>
            <w:bottom w:val="none" w:sz="0" w:space="0" w:color="auto"/>
            <w:right w:val="none" w:sz="0" w:space="0" w:color="auto"/>
          </w:divBdr>
        </w:div>
        <w:div w:id="895238191">
          <w:marLeft w:val="640"/>
          <w:marRight w:val="0"/>
          <w:marTop w:val="0"/>
          <w:marBottom w:val="0"/>
          <w:divBdr>
            <w:top w:val="none" w:sz="0" w:space="0" w:color="auto"/>
            <w:left w:val="none" w:sz="0" w:space="0" w:color="auto"/>
            <w:bottom w:val="none" w:sz="0" w:space="0" w:color="auto"/>
            <w:right w:val="none" w:sz="0" w:space="0" w:color="auto"/>
          </w:divBdr>
        </w:div>
        <w:div w:id="933199243">
          <w:marLeft w:val="640"/>
          <w:marRight w:val="0"/>
          <w:marTop w:val="0"/>
          <w:marBottom w:val="0"/>
          <w:divBdr>
            <w:top w:val="none" w:sz="0" w:space="0" w:color="auto"/>
            <w:left w:val="none" w:sz="0" w:space="0" w:color="auto"/>
            <w:bottom w:val="none" w:sz="0" w:space="0" w:color="auto"/>
            <w:right w:val="none" w:sz="0" w:space="0" w:color="auto"/>
          </w:divBdr>
        </w:div>
        <w:div w:id="1016687727">
          <w:marLeft w:val="640"/>
          <w:marRight w:val="0"/>
          <w:marTop w:val="0"/>
          <w:marBottom w:val="0"/>
          <w:divBdr>
            <w:top w:val="none" w:sz="0" w:space="0" w:color="auto"/>
            <w:left w:val="none" w:sz="0" w:space="0" w:color="auto"/>
            <w:bottom w:val="none" w:sz="0" w:space="0" w:color="auto"/>
            <w:right w:val="none" w:sz="0" w:space="0" w:color="auto"/>
          </w:divBdr>
        </w:div>
        <w:div w:id="627584692">
          <w:marLeft w:val="640"/>
          <w:marRight w:val="0"/>
          <w:marTop w:val="0"/>
          <w:marBottom w:val="0"/>
          <w:divBdr>
            <w:top w:val="none" w:sz="0" w:space="0" w:color="auto"/>
            <w:left w:val="none" w:sz="0" w:space="0" w:color="auto"/>
            <w:bottom w:val="none" w:sz="0" w:space="0" w:color="auto"/>
            <w:right w:val="none" w:sz="0" w:space="0" w:color="auto"/>
          </w:divBdr>
        </w:div>
        <w:div w:id="723337150">
          <w:marLeft w:val="640"/>
          <w:marRight w:val="0"/>
          <w:marTop w:val="0"/>
          <w:marBottom w:val="0"/>
          <w:divBdr>
            <w:top w:val="none" w:sz="0" w:space="0" w:color="auto"/>
            <w:left w:val="none" w:sz="0" w:space="0" w:color="auto"/>
            <w:bottom w:val="none" w:sz="0" w:space="0" w:color="auto"/>
            <w:right w:val="none" w:sz="0" w:space="0" w:color="auto"/>
          </w:divBdr>
        </w:div>
        <w:div w:id="1138643109">
          <w:marLeft w:val="640"/>
          <w:marRight w:val="0"/>
          <w:marTop w:val="0"/>
          <w:marBottom w:val="0"/>
          <w:divBdr>
            <w:top w:val="none" w:sz="0" w:space="0" w:color="auto"/>
            <w:left w:val="none" w:sz="0" w:space="0" w:color="auto"/>
            <w:bottom w:val="none" w:sz="0" w:space="0" w:color="auto"/>
            <w:right w:val="none" w:sz="0" w:space="0" w:color="auto"/>
          </w:divBdr>
        </w:div>
        <w:div w:id="648171324">
          <w:marLeft w:val="640"/>
          <w:marRight w:val="0"/>
          <w:marTop w:val="0"/>
          <w:marBottom w:val="0"/>
          <w:divBdr>
            <w:top w:val="none" w:sz="0" w:space="0" w:color="auto"/>
            <w:left w:val="none" w:sz="0" w:space="0" w:color="auto"/>
            <w:bottom w:val="none" w:sz="0" w:space="0" w:color="auto"/>
            <w:right w:val="none" w:sz="0" w:space="0" w:color="auto"/>
          </w:divBdr>
        </w:div>
        <w:div w:id="1277566092">
          <w:marLeft w:val="640"/>
          <w:marRight w:val="0"/>
          <w:marTop w:val="0"/>
          <w:marBottom w:val="0"/>
          <w:divBdr>
            <w:top w:val="none" w:sz="0" w:space="0" w:color="auto"/>
            <w:left w:val="none" w:sz="0" w:space="0" w:color="auto"/>
            <w:bottom w:val="none" w:sz="0" w:space="0" w:color="auto"/>
            <w:right w:val="none" w:sz="0" w:space="0" w:color="auto"/>
          </w:divBdr>
        </w:div>
        <w:div w:id="831946139">
          <w:marLeft w:val="640"/>
          <w:marRight w:val="0"/>
          <w:marTop w:val="0"/>
          <w:marBottom w:val="0"/>
          <w:divBdr>
            <w:top w:val="none" w:sz="0" w:space="0" w:color="auto"/>
            <w:left w:val="none" w:sz="0" w:space="0" w:color="auto"/>
            <w:bottom w:val="none" w:sz="0" w:space="0" w:color="auto"/>
            <w:right w:val="none" w:sz="0" w:space="0" w:color="auto"/>
          </w:divBdr>
        </w:div>
        <w:div w:id="1609703395">
          <w:marLeft w:val="640"/>
          <w:marRight w:val="0"/>
          <w:marTop w:val="0"/>
          <w:marBottom w:val="0"/>
          <w:divBdr>
            <w:top w:val="none" w:sz="0" w:space="0" w:color="auto"/>
            <w:left w:val="none" w:sz="0" w:space="0" w:color="auto"/>
            <w:bottom w:val="none" w:sz="0" w:space="0" w:color="auto"/>
            <w:right w:val="none" w:sz="0" w:space="0" w:color="auto"/>
          </w:divBdr>
        </w:div>
        <w:div w:id="312492133">
          <w:marLeft w:val="640"/>
          <w:marRight w:val="0"/>
          <w:marTop w:val="0"/>
          <w:marBottom w:val="0"/>
          <w:divBdr>
            <w:top w:val="none" w:sz="0" w:space="0" w:color="auto"/>
            <w:left w:val="none" w:sz="0" w:space="0" w:color="auto"/>
            <w:bottom w:val="none" w:sz="0" w:space="0" w:color="auto"/>
            <w:right w:val="none" w:sz="0" w:space="0" w:color="auto"/>
          </w:divBdr>
        </w:div>
        <w:div w:id="2111852983">
          <w:marLeft w:val="640"/>
          <w:marRight w:val="0"/>
          <w:marTop w:val="0"/>
          <w:marBottom w:val="0"/>
          <w:divBdr>
            <w:top w:val="none" w:sz="0" w:space="0" w:color="auto"/>
            <w:left w:val="none" w:sz="0" w:space="0" w:color="auto"/>
            <w:bottom w:val="none" w:sz="0" w:space="0" w:color="auto"/>
            <w:right w:val="none" w:sz="0" w:space="0" w:color="auto"/>
          </w:divBdr>
        </w:div>
        <w:div w:id="236211065">
          <w:marLeft w:val="640"/>
          <w:marRight w:val="0"/>
          <w:marTop w:val="0"/>
          <w:marBottom w:val="0"/>
          <w:divBdr>
            <w:top w:val="none" w:sz="0" w:space="0" w:color="auto"/>
            <w:left w:val="none" w:sz="0" w:space="0" w:color="auto"/>
            <w:bottom w:val="none" w:sz="0" w:space="0" w:color="auto"/>
            <w:right w:val="none" w:sz="0" w:space="0" w:color="auto"/>
          </w:divBdr>
        </w:div>
        <w:div w:id="1237478395">
          <w:marLeft w:val="640"/>
          <w:marRight w:val="0"/>
          <w:marTop w:val="0"/>
          <w:marBottom w:val="0"/>
          <w:divBdr>
            <w:top w:val="none" w:sz="0" w:space="0" w:color="auto"/>
            <w:left w:val="none" w:sz="0" w:space="0" w:color="auto"/>
            <w:bottom w:val="none" w:sz="0" w:space="0" w:color="auto"/>
            <w:right w:val="none" w:sz="0" w:space="0" w:color="auto"/>
          </w:divBdr>
        </w:div>
        <w:div w:id="653024367">
          <w:marLeft w:val="640"/>
          <w:marRight w:val="0"/>
          <w:marTop w:val="0"/>
          <w:marBottom w:val="0"/>
          <w:divBdr>
            <w:top w:val="none" w:sz="0" w:space="0" w:color="auto"/>
            <w:left w:val="none" w:sz="0" w:space="0" w:color="auto"/>
            <w:bottom w:val="none" w:sz="0" w:space="0" w:color="auto"/>
            <w:right w:val="none" w:sz="0" w:space="0" w:color="auto"/>
          </w:divBdr>
        </w:div>
        <w:div w:id="8679200">
          <w:marLeft w:val="64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8.wmf"/><Relationship Id="rId21" Type="http://schemas.openxmlformats.org/officeDocument/2006/relationships/image" Target="media/image7.png"/><Relationship Id="rId42" Type="http://schemas.openxmlformats.org/officeDocument/2006/relationships/oleObject" Target="embeddings/oleObject7.bin"/><Relationship Id="rId47" Type="http://schemas.openxmlformats.org/officeDocument/2006/relationships/image" Target="media/image18.wmf"/><Relationship Id="rId63" Type="http://schemas.openxmlformats.org/officeDocument/2006/relationships/image" Target="media/image26.wmf"/><Relationship Id="rId68" Type="http://schemas.openxmlformats.org/officeDocument/2006/relationships/oleObject" Target="embeddings/oleObject20.bin"/><Relationship Id="rId84" Type="http://schemas.openxmlformats.org/officeDocument/2006/relationships/chart" Target="charts/chart18.xml"/><Relationship Id="rId89" Type="http://schemas.openxmlformats.org/officeDocument/2006/relationships/theme" Target="theme/theme1.xml"/><Relationship Id="rId16" Type="http://schemas.openxmlformats.org/officeDocument/2006/relationships/footer" Target="footer2.xml"/><Relationship Id="rId11" Type="http://schemas.openxmlformats.org/officeDocument/2006/relationships/image" Target="media/image2.png"/><Relationship Id="rId32" Type="http://schemas.openxmlformats.org/officeDocument/2006/relationships/image" Target="media/image11.wmf"/><Relationship Id="rId37" Type="http://schemas.openxmlformats.org/officeDocument/2006/relationships/oleObject" Target="embeddings/oleObject6.bin"/><Relationship Id="rId53" Type="http://schemas.openxmlformats.org/officeDocument/2006/relationships/image" Target="media/image21.wmf"/><Relationship Id="rId58" Type="http://schemas.openxmlformats.org/officeDocument/2006/relationships/oleObject" Target="embeddings/oleObject15.bin"/><Relationship Id="rId74" Type="http://schemas.openxmlformats.org/officeDocument/2006/relationships/chart" Target="charts/chart8.xml"/><Relationship Id="rId79" Type="http://schemas.openxmlformats.org/officeDocument/2006/relationships/chart" Target="charts/chart13.xml"/><Relationship Id="rId5"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hart" Target="charts/chart1.xml"/><Relationship Id="rId27" Type="http://schemas.openxmlformats.org/officeDocument/2006/relationships/oleObject" Target="embeddings/oleObject1.bin"/><Relationship Id="rId30" Type="http://schemas.openxmlformats.org/officeDocument/2006/relationships/image" Target="media/image10.wmf"/><Relationship Id="rId35" Type="http://schemas.openxmlformats.org/officeDocument/2006/relationships/oleObject" Target="embeddings/oleObject5.bin"/><Relationship Id="rId43" Type="http://schemas.openxmlformats.org/officeDocument/2006/relationships/image" Target="media/image16.wmf"/><Relationship Id="rId48" Type="http://schemas.openxmlformats.org/officeDocument/2006/relationships/oleObject" Target="embeddings/oleObject10.bin"/><Relationship Id="rId56" Type="http://schemas.openxmlformats.org/officeDocument/2006/relationships/oleObject" Target="embeddings/oleObject14.bin"/><Relationship Id="rId64" Type="http://schemas.openxmlformats.org/officeDocument/2006/relationships/oleObject" Target="embeddings/oleObject18.bin"/><Relationship Id="rId69" Type="http://schemas.openxmlformats.org/officeDocument/2006/relationships/image" Target="media/image29.wmf"/><Relationship Id="rId77" Type="http://schemas.openxmlformats.org/officeDocument/2006/relationships/chart" Target="charts/chart11.xml"/><Relationship Id="rId8" Type="http://schemas.openxmlformats.org/officeDocument/2006/relationships/endnotes" Target="endnotes.xml"/><Relationship Id="rId51" Type="http://schemas.openxmlformats.org/officeDocument/2006/relationships/image" Target="media/image20.wmf"/><Relationship Id="rId72" Type="http://schemas.openxmlformats.org/officeDocument/2006/relationships/oleObject" Target="embeddings/oleObject22.bin"/><Relationship Id="rId80" Type="http://schemas.openxmlformats.org/officeDocument/2006/relationships/chart" Target="charts/chart14.xml"/><Relationship Id="rId85" Type="http://schemas.openxmlformats.org/officeDocument/2006/relationships/chart" Target="charts/chart19.xml"/><Relationship Id="rId3" Type="http://schemas.openxmlformats.org/officeDocument/2006/relationships/numbering" Target="numbering.xml"/><Relationship Id="rId12" Type="http://schemas.openxmlformats.org/officeDocument/2006/relationships/hyperlink" Target="mailto:doddi_yd@unpar.ac.id" TargetMode="External"/><Relationship Id="rId17" Type="http://schemas.openxmlformats.org/officeDocument/2006/relationships/header" Target="header3.xml"/><Relationship Id="rId25" Type="http://schemas.openxmlformats.org/officeDocument/2006/relationships/chart" Target="charts/chart4.xml"/><Relationship Id="rId33" Type="http://schemas.openxmlformats.org/officeDocument/2006/relationships/oleObject" Target="embeddings/oleObject4.bin"/><Relationship Id="rId38" Type="http://schemas.openxmlformats.org/officeDocument/2006/relationships/chart" Target="charts/chart5.xml"/><Relationship Id="rId46" Type="http://schemas.openxmlformats.org/officeDocument/2006/relationships/oleObject" Target="embeddings/oleObject9.bin"/><Relationship Id="rId59" Type="http://schemas.openxmlformats.org/officeDocument/2006/relationships/image" Target="media/image24.wmf"/><Relationship Id="rId67" Type="http://schemas.openxmlformats.org/officeDocument/2006/relationships/image" Target="media/image28.wmf"/><Relationship Id="rId20" Type="http://schemas.openxmlformats.org/officeDocument/2006/relationships/image" Target="media/image6.png"/><Relationship Id="rId41" Type="http://schemas.openxmlformats.org/officeDocument/2006/relationships/image" Target="media/image15.wmf"/><Relationship Id="rId54" Type="http://schemas.openxmlformats.org/officeDocument/2006/relationships/oleObject" Target="embeddings/oleObject13.bin"/><Relationship Id="rId62" Type="http://schemas.openxmlformats.org/officeDocument/2006/relationships/oleObject" Target="embeddings/oleObject17.bin"/><Relationship Id="rId70" Type="http://schemas.openxmlformats.org/officeDocument/2006/relationships/oleObject" Target="embeddings/oleObject21.bin"/><Relationship Id="rId75" Type="http://schemas.openxmlformats.org/officeDocument/2006/relationships/chart" Target="charts/chart9.xml"/><Relationship Id="rId83" Type="http://schemas.openxmlformats.org/officeDocument/2006/relationships/chart" Target="charts/chart17.xml"/><Relationship Id="rId88"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chart" Target="charts/chart2.xml"/><Relationship Id="rId28" Type="http://schemas.openxmlformats.org/officeDocument/2006/relationships/image" Target="media/image9.wmf"/><Relationship Id="rId36" Type="http://schemas.openxmlformats.org/officeDocument/2006/relationships/image" Target="media/image13.wmf"/><Relationship Id="rId49" Type="http://schemas.openxmlformats.org/officeDocument/2006/relationships/image" Target="media/image19.wmf"/><Relationship Id="rId57" Type="http://schemas.openxmlformats.org/officeDocument/2006/relationships/image" Target="media/image23.wmf"/><Relationship Id="rId10" Type="http://schemas.openxmlformats.org/officeDocument/2006/relationships/hyperlink" Target="http://creativecommons.org/licenses/by-sa/4.0/" TargetMode="External"/><Relationship Id="rId31" Type="http://schemas.openxmlformats.org/officeDocument/2006/relationships/oleObject" Target="embeddings/oleObject3.bin"/><Relationship Id="rId44" Type="http://schemas.openxmlformats.org/officeDocument/2006/relationships/oleObject" Target="embeddings/oleObject8.bin"/><Relationship Id="rId52" Type="http://schemas.openxmlformats.org/officeDocument/2006/relationships/oleObject" Target="embeddings/oleObject12.bin"/><Relationship Id="rId60" Type="http://schemas.openxmlformats.org/officeDocument/2006/relationships/oleObject" Target="embeddings/oleObject16.bin"/><Relationship Id="rId65" Type="http://schemas.openxmlformats.org/officeDocument/2006/relationships/image" Target="media/image27.wmf"/><Relationship Id="rId73" Type="http://schemas.openxmlformats.org/officeDocument/2006/relationships/chart" Target="charts/chart7.xml"/><Relationship Id="rId78" Type="http://schemas.openxmlformats.org/officeDocument/2006/relationships/chart" Target="charts/chart12.xml"/><Relationship Id="rId81" Type="http://schemas.openxmlformats.org/officeDocument/2006/relationships/chart" Target="charts/chart15.xml"/><Relationship Id="rId86" Type="http://schemas.openxmlformats.org/officeDocument/2006/relationships/header" Target="header4.xml"/><Relationship Id="rId4" Type="http://schemas.openxmlformats.org/officeDocument/2006/relationships/styles" Target="styles.xml"/><Relationship Id="rId9" Type="http://schemas.openxmlformats.org/officeDocument/2006/relationships/image" Target="media/image1.jpg"/><Relationship Id="rId13" Type="http://schemas.openxmlformats.org/officeDocument/2006/relationships/header" Target="header1.xml"/><Relationship Id="rId18" Type="http://schemas.openxmlformats.org/officeDocument/2006/relationships/footer" Target="footer3.xml"/><Relationship Id="rId39" Type="http://schemas.openxmlformats.org/officeDocument/2006/relationships/chart" Target="charts/chart6.xml"/><Relationship Id="rId34" Type="http://schemas.openxmlformats.org/officeDocument/2006/relationships/image" Target="media/image12.wmf"/><Relationship Id="rId50" Type="http://schemas.openxmlformats.org/officeDocument/2006/relationships/oleObject" Target="embeddings/oleObject11.bin"/><Relationship Id="rId55" Type="http://schemas.openxmlformats.org/officeDocument/2006/relationships/image" Target="media/image22.wmf"/><Relationship Id="rId76" Type="http://schemas.openxmlformats.org/officeDocument/2006/relationships/chart" Target="charts/chart10.xml"/><Relationship Id="rId7" Type="http://schemas.openxmlformats.org/officeDocument/2006/relationships/footnotes" Target="footnotes.xml"/><Relationship Id="rId71" Type="http://schemas.openxmlformats.org/officeDocument/2006/relationships/image" Target="media/image30.wmf"/><Relationship Id="rId2" Type="http://schemas.openxmlformats.org/officeDocument/2006/relationships/customXml" Target="../customXml/item2.xml"/><Relationship Id="rId29" Type="http://schemas.openxmlformats.org/officeDocument/2006/relationships/oleObject" Target="embeddings/oleObject2.bin"/><Relationship Id="rId24" Type="http://schemas.openxmlformats.org/officeDocument/2006/relationships/chart" Target="charts/chart3.xml"/><Relationship Id="rId40" Type="http://schemas.openxmlformats.org/officeDocument/2006/relationships/image" Target="media/image14.png"/><Relationship Id="rId45" Type="http://schemas.openxmlformats.org/officeDocument/2006/relationships/image" Target="media/image17.wmf"/><Relationship Id="rId66" Type="http://schemas.openxmlformats.org/officeDocument/2006/relationships/oleObject" Target="embeddings/oleObject19.bin"/><Relationship Id="rId87" Type="http://schemas.openxmlformats.org/officeDocument/2006/relationships/fontTable" Target="fontTable.xml"/><Relationship Id="rId61" Type="http://schemas.openxmlformats.org/officeDocument/2006/relationships/image" Target="media/image25.wmf"/><Relationship Id="rId82" Type="http://schemas.openxmlformats.org/officeDocument/2006/relationships/chart" Target="charts/chart16.xml"/><Relationship Id="rId19" Type="http://schemas.openxmlformats.org/officeDocument/2006/relationships/image" Target="media/image5.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3" Type="http://schemas.openxmlformats.org/officeDocument/2006/relationships/oleObject" Target="file:///D:\Kuliah\pre-Thesis%20Defense\Observed%20Data.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D:\Kuliah\Thesis\MATLAB%20Pollution%20Control\DO%20PCC.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D:\Kuliah\Thesis\MATLAB%20Pollution%20Control\PCC_Rainy%20Season.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D:\Kuliah\Thesis\MATLAB%20Pollution%20Control\PCC_Rainy%20Season.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D:\Kuliah\Thesis\MATLAB%20Pollution%20Control\PCC_Rainy%20Season.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D:\Kuliah\Thesis\MATLAB%20Pollution%20Control\DO%20PCC.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D:\Kuliah\Thesis\MATLAB%20Pollution%20Control\PCC_Dry%20Season%20v2.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D:\Kuliah\Thesis\MATLAB%20Pollution%20Control\PCC_Dry%20Season%20v2.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D:\Kuliah\Thesis\MATLAB%20Pollution%20Control\PCC_Dry%20Season%20v2.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D:\Kuliah\pre-Thesis%20Defense\Observed%20Data.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Kuliah\pre-Thesis%20Defense\Observed%20Data.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D:\Kuliah\pre-Thesis%20Defense\Observed%20Data.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D:\Kuliah\pre-Thesis%20Defense\Observed%20Data.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D:\Kuliah\pre-Thesis%20Defense\Observed%20Data.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D:\Kuliah\Thesis\MATLAB\CuRESULTS.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D:\Kuliah\Thesis\MATLAB\CuRESULTS.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D:\Kuliah\Thesis\MATLAB\CuRESULTS.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 (2)'!$D$4</c:f>
              <c:strCache>
                <c:ptCount val="1"/>
                <c:pt idx="0">
                  <c:v>1/27/2022</c:v>
                </c:pt>
              </c:strCache>
            </c:strRef>
          </c:tx>
          <c:spPr>
            <a:solidFill>
              <a:schemeClr val="tx1"/>
            </a:solidFill>
            <a:ln>
              <a:solidFill>
                <a:schemeClr val="tx1"/>
              </a:solidFill>
            </a:ln>
            <a:effectLst/>
          </c:spPr>
          <c:invertIfNegative val="0"/>
          <c:cat>
            <c:strRef>
              <c:f>'Sheet1 (2)'!$C$23:$C$25</c:f>
              <c:strCache>
                <c:ptCount val="3"/>
                <c:pt idx="0">
                  <c:v>S01</c:v>
                </c:pt>
                <c:pt idx="1">
                  <c:v>S02</c:v>
                </c:pt>
                <c:pt idx="2">
                  <c:v>S03</c:v>
                </c:pt>
              </c:strCache>
            </c:strRef>
          </c:cat>
          <c:val>
            <c:numRef>
              <c:f>'Sheet1 (2)'!$D$17:$D$19</c:f>
              <c:numCache>
                <c:formatCode>General</c:formatCode>
                <c:ptCount val="3"/>
                <c:pt idx="0">
                  <c:v>0.27</c:v>
                </c:pt>
                <c:pt idx="1">
                  <c:v>0.18</c:v>
                </c:pt>
                <c:pt idx="2">
                  <c:v>0.1</c:v>
                </c:pt>
              </c:numCache>
            </c:numRef>
          </c:val>
          <c:extLst>
            <c:ext xmlns:c16="http://schemas.microsoft.com/office/drawing/2014/chart" uri="{C3380CC4-5D6E-409C-BE32-E72D297353CC}">
              <c16:uniqueId val="{00000000-C6B8-48C6-9781-483BB3708F2F}"/>
            </c:ext>
          </c:extLst>
        </c:ser>
        <c:ser>
          <c:idx val="1"/>
          <c:order val="1"/>
          <c:tx>
            <c:strRef>
              <c:f>'Sheet1 (2)'!$E$4</c:f>
              <c:strCache>
                <c:ptCount val="1"/>
                <c:pt idx="0">
                  <c:v>2/23/2022</c:v>
                </c:pt>
              </c:strCache>
            </c:strRef>
          </c:tx>
          <c:spPr>
            <a:solidFill>
              <a:schemeClr val="tx1"/>
            </a:solidFill>
            <a:ln>
              <a:solidFill>
                <a:schemeClr val="tx1"/>
              </a:solidFill>
            </a:ln>
            <a:effectLst/>
          </c:spPr>
          <c:invertIfNegative val="0"/>
          <c:cat>
            <c:strRef>
              <c:f>'Sheet1 (2)'!$C$23:$C$25</c:f>
              <c:strCache>
                <c:ptCount val="3"/>
                <c:pt idx="0">
                  <c:v>S01</c:v>
                </c:pt>
                <c:pt idx="1">
                  <c:v>S02</c:v>
                </c:pt>
                <c:pt idx="2">
                  <c:v>S03</c:v>
                </c:pt>
              </c:strCache>
            </c:strRef>
          </c:cat>
          <c:val>
            <c:numRef>
              <c:f>'Sheet1 (2)'!$E$17:$E$19</c:f>
              <c:numCache>
                <c:formatCode>General</c:formatCode>
                <c:ptCount val="3"/>
                <c:pt idx="0">
                  <c:v>0.24</c:v>
                </c:pt>
                <c:pt idx="1">
                  <c:v>0.13</c:v>
                </c:pt>
                <c:pt idx="2">
                  <c:v>0.18</c:v>
                </c:pt>
              </c:numCache>
            </c:numRef>
          </c:val>
          <c:extLst>
            <c:ext xmlns:c16="http://schemas.microsoft.com/office/drawing/2014/chart" uri="{C3380CC4-5D6E-409C-BE32-E72D297353CC}">
              <c16:uniqueId val="{00000001-C6B8-48C6-9781-483BB3708F2F}"/>
            </c:ext>
          </c:extLst>
        </c:ser>
        <c:ser>
          <c:idx val="2"/>
          <c:order val="2"/>
          <c:tx>
            <c:strRef>
              <c:f>'Sheet1 (2)'!$F$4</c:f>
              <c:strCache>
                <c:ptCount val="1"/>
                <c:pt idx="0">
                  <c:v>10/19/2022</c:v>
                </c:pt>
              </c:strCache>
            </c:strRef>
          </c:tx>
          <c:spPr>
            <a:solidFill>
              <a:schemeClr val="tx1"/>
            </a:solidFill>
            <a:ln>
              <a:noFill/>
            </a:ln>
            <a:effectLst/>
          </c:spPr>
          <c:invertIfNegative val="0"/>
          <c:cat>
            <c:strRef>
              <c:f>'Sheet1 (2)'!$C$23:$C$25</c:f>
              <c:strCache>
                <c:ptCount val="3"/>
                <c:pt idx="0">
                  <c:v>S01</c:v>
                </c:pt>
                <c:pt idx="1">
                  <c:v>S02</c:v>
                </c:pt>
                <c:pt idx="2">
                  <c:v>S03</c:v>
                </c:pt>
              </c:strCache>
            </c:strRef>
          </c:cat>
          <c:val>
            <c:numRef>
              <c:f>'Sheet1 (2)'!$F$17:$F$19</c:f>
              <c:numCache>
                <c:formatCode>General</c:formatCode>
                <c:ptCount val="3"/>
                <c:pt idx="0">
                  <c:v>0</c:v>
                </c:pt>
                <c:pt idx="1">
                  <c:v>0</c:v>
                </c:pt>
                <c:pt idx="2">
                  <c:v>0</c:v>
                </c:pt>
              </c:numCache>
            </c:numRef>
          </c:val>
          <c:extLst>
            <c:ext xmlns:c16="http://schemas.microsoft.com/office/drawing/2014/chart" uri="{C3380CC4-5D6E-409C-BE32-E72D297353CC}">
              <c16:uniqueId val="{00000002-C6B8-48C6-9781-483BB3708F2F}"/>
            </c:ext>
          </c:extLst>
        </c:ser>
        <c:ser>
          <c:idx val="3"/>
          <c:order val="3"/>
          <c:tx>
            <c:strRef>
              <c:f>'Sheet1 (2)'!$G$4</c:f>
              <c:strCache>
                <c:ptCount val="1"/>
                <c:pt idx="0">
                  <c:v>7/27/2022</c:v>
                </c:pt>
              </c:strCache>
            </c:strRef>
          </c:tx>
          <c:spPr>
            <a:solidFill>
              <a:srgbClr val="FF0000"/>
            </a:solidFill>
            <a:ln>
              <a:solidFill>
                <a:srgbClr val="FF0000"/>
              </a:solidFill>
            </a:ln>
            <a:effectLst/>
          </c:spPr>
          <c:invertIfNegative val="0"/>
          <c:cat>
            <c:strRef>
              <c:f>'Sheet1 (2)'!$C$23:$C$25</c:f>
              <c:strCache>
                <c:ptCount val="3"/>
                <c:pt idx="0">
                  <c:v>S01</c:v>
                </c:pt>
                <c:pt idx="1">
                  <c:v>S02</c:v>
                </c:pt>
                <c:pt idx="2">
                  <c:v>S03</c:v>
                </c:pt>
              </c:strCache>
            </c:strRef>
          </c:cat>
          <c:val>
            <c:numRef>
              <c:f>'Sheet1 (2)'!$X$17:$X$19</c:f>
              <c:numCache>
                <c:formatCode>General</c:formatCode>
                <c:ptCount val="3"/>
                <c:pt idx="0">
                  <c:v>0.2</c:v>
                </c:pt>
                <c:pt idx="1">
                  <c:v>0.2</c:v>
                </c:pt>
                <c:pt idx="2">
                  <c:v>0.2</c:v>
                </c:pt>
              </c:numCache>
            </c:numRef>
          </c:val>
          <c:extLst>
            <c:ext xmlns:c16="http://schemas.microsoft.com/office/drawing/2014/chart" uri="{C3380CC4-5D6E-409C-BE32-E72D297353CC}">
              <c16:uniqueId val="{00000003-C6B8-48C6-9781-483BB3708F2F}"/>
            </c:ext>
          </c:extLst>
        </c:ser>
        <c:ser>
          <c:idx val="4"/>
          <c:order val="4"/>
          <c:tx>
            <c:strRef>
              <c:f>'Sheet1 (2)'!$H$4</c:f>
              <c:strCache>
                <c:ptCount val="1"/>
                <c:pt idx="0">
                  <c:v>8/24/2022</c:v>
                </c:pt>
              </c:strCache>
            </c:strRef>
          </c:tx>
          <c:spPr>
            <a:solidFill>
              <a:srgbClr val="FF0000"/>
            </a:solidFill>
            <a:ln>
              <a:solidFill>
                <a:srgbClr val="FF0000"/>
              </a:solidFill>
            </a:ln>
            <a:effectLst/>
          </c:spPr>
          <c:invertIfNegative val="0"/>
          <c:cat>
            <c:strRef>
              <c:f>'Sheet1 (2)'!$C$23:$C$25</c:f>
              <c:strCache>
                <c:ptCount val="3"/>
                <c:pt idx="0">
                  <c:v>S01</c:v>
                </c:pt>
                <c:pt idx="1">
                  <c:v>S02</c:v>
                </c:pt>
                <c:pt idx="2">
                  <c:v>S03</c:v>
                </c:pt>
              </c:strCache>
            </c:strRef>
          </c:cat>
          <c:val>
            <c:numRef>
              <c:f>'Sheet1 (2)'!$H$17:$H$19</c:f>
              <c:numCache>
                <c:formatCode>General</c:formatCode>
                <c:ptCount val="3"/>
                <c:pt idx="0">
                  <c:v>0.16</c:v>
                </c:pt>
                <c:pt idx="1">
                  <c:v>0</c:v>
                </c:pt>
                <c:pt idx="2">
                  <c:v>0.09</c:v>
                </c:pt>
              </c:numCache>
            </c:numRef>
          </c:val>
          <c:extLst>
            <c:ext xmlns:c16="http://schemas.microsoft.com/office/drawing/2014/chart" uri="{C3380CC4-5D6E-409C-BE32-E72D297353CC}">
              <c16:uniqueId val="{00000004-C6B8-48C6-9781-483BB3708F2F}"/>
            </c:ext>
          </c:extLst>
        </c:ser>
        <c:ser>
          <c:idx val="5"/>
          <c:order val="5"/>
          <c:tx>
            <c:strRef>
              <c:f>'Sheet1 (2)'!$I$4</c:f>
              <c:strCache>
                <c:ptCount val="1"/>
                <c:pt idx="0">
                  <c:v>09/07/2022</c:v>
                </c:pt>
              </c:strCache>
            </c:strRef>
          </c:tx>
          <c:spPr>
            <a:solidFill>
              <a:srgbClr val="FF0000"/>
            </a:solidFill>
            <a:ln>
              <a:solidFill>
                <a:srgbClr val="FF0000"/>
              </a:solidFill>
            </a:ln>
            <a:effectLst/>
          </c:spPr>
          <c:invertIfNegative val="0"/>
          <c:cat>
            <c:strRef>
              <c:f>'Sheet1 (2)'!$C$23:$C$25</c:f>
              <c:strCache>
                <c:ptCount val="3"/>
                <c:pt idx="0">
                  <c:v>S01</c:v>
                </c:pt>
                <c:pt idx="1">
                  <c:v>S02</c:v>
                </c:pt>
                <c:pt idx="2">
                  <c:v>S03</c:v>
                </c:pt>
              </c:strCache>
            </c:strRef>
          </c:cat>
          <c:val>
            <c:numRef>
              <c:f>'Sheet1 (2)'!$I$17:$I$19</c:f>
              <c:numCache>
                <c:formatCode>General</c:formatCode>
                <c:ptCount val="3"/>
                <c:pt idx="0">
                  <c:v>0.42</c:v>
                </c:pt>
                <c:pt idx="1">
                  <c:v>0.18</c:v>
                </c:pt>
                <c:pt idx="2">
                  <c:v>0.09</c:v>
                </c:pt>
              </c:numCache>
            </c:numRef>
          </c:val>
          <c:extLst>
            <c:ext xmlns:c16="http://schemas.microsoft.com/office/drawing/2014/chart" uri="{C3380CC4-5D6E-409C-BE32-E72D297353CC}">
              <c16:uniqueId val="{00000005-C6B8-48C6-9781-483BB3708F2F}"/>
            </c:ext>
          </c:extLst>
        </c:ser>
        <c:dLbls>
          <c:showLegendKey val="0"/>
          <c:showVal val="0"/>
          <c:showCatName val="0"/>
          <c:showSerName val="0"/>
          <c:showPercent val="0"/>
          <c:showBubbleSize val="0"/>
        </c:dLbls>
        <c:gapWidth val="150"/>
        <c:axId val="661897152"/>
        <c:axId val="497647920"/>
      </c:barChart>
      <c:scatterChart>
        <c:scatterStyle val="smoothMarker"/>
        <c:varyColors val="0"/>
        <c:ser>
          <c:idx val="6"/>
          <c:order val="6"/>
          <c:tx>
            <c:strRef>
              <c:f>'Sheet1 (2)'!$U$4</c:f>
              <c:strCache>
                <c:ptCount val="1"/>
                <c:pt idx="0">
                  <c:v>Class 1</c:v>
                </c:pt>
              </c:strCache>
            </c:strRef>
          </c:tx>
          <c:spPr>
            <a:ln w="12700" cap="rnd">
              <a:solidFill>
                <a:srgbClr val="92D050"/>
              </a:solidFill>
              <a:round/>
            </a:ln>
            <a:effectLst/>
          </c:spPr>
          <c:marker>
            <c:symbol val="none"/>
          </c:marker>
          <c:xVal>
            <c:numRef>
              <c:f>'Sheet1 (2)'!$T$16:$T$20</c:f>
              <c:numCache>
                <c:formatCode>General</c:formatCode>
                <c:ptCount val="5"/>
                <c:pt idx="0">
                  <c:v>0</c:v>
                </c:pt>
                <c:pt idx="1">
                  <c:v>1</c:v>
                </c:pt>
                <c:pt idx="2">
                  <c:v>2</c:v>
                </c:pt>
                <c:pt idx="3">
                  <c:v>3</c:v>
                </c:pt>
                <c:pt idx="4">
                  <c:v>4</c:v>
                </c:pt>
              </c:numCache>
            </c:numRef>
          </c:xVal>
          <c:yVal>
            <c:numRef>
              <c:f>'Sheet1 (2)'!$U$16:$U$20</c:f>
              <c:numCache>
                <c:formatCode>General</c:formatCode>
                <c:ptCount val="5"/>
                <c:pt idx="0">
                  <c:v>0.02</c:v>
                </c:pt>
                <c:pt idx="1">
                  <c:v>0.02</c:v>
                </c:pt>
                <c:pt idx="2">
                  <c:v>0.02</c:v>
                </c:pt>
                <c:pt idx="3">
                  <c:v>0.02</c:v>
                </c:pt>
                <c:pt idx="4">
                  <c:v>0.02</c:v>
                </c:pt>
              </c:numCache>
            </c:numRef>
          </c:yVal>
          <c:smooth val="1"/>
          <c:extLst>
            <c:ext xmlns:c16="http://schemas.microsoft.com/office/drawing/2014/chart" uri="{C3380CC4-5D6E-409C-BE32-E72D297353CC}">
              <c16:uniqueId val="{00000006-C6B8-48C6-9781-483BB3708F2F}"/>
            </c:ext>
          </c:extLst>
        </c:ser>
        <c:dLbls>
          <c:showLegendKey val="0"/>
          <c:showVal val="0"/>
          <c:showCatName val="0"/>
          <c:showSerName val="0"/>
          <c:showPercent val="0"/>
          <c:showBubbleSize val="0"/>
        </c:dLbls>
        <c:axId val="661897152"/>
        <c:axId val="497647920"/>
      </c:scatterChart>
      <c:scatterChart>
        <c:scatterStyle val="lineMarker"/>
        <c:varyColors val="0"/>
        <c:ser>
          <c:idx val="9"/>
          <c:order val="7"/>
          <c:tx>
            <c:strRef>
              <c:f>'Sheet1 (2)'!$X$4</c:f>
              <c:strCache>
                <c:ptCount val="1"/>
                <c:pt idx="0">
                  <c:v>Class 4</c:v>
                </c:pt>
              </c:strCache>
            </c:strRef>
          </c:tx>
          <c:spPr>
            <a:ln w="12700" cap="rnd">
              <a:solidFill>
                <a:srgbClr val="FFC000"/>
              </a:solidFill>
              <a:round/>
            </a:ln>
            <a:effectLst/>
          </c:spPr>
          <c:marker>
            <c:symbol val="none"/>
          </c:marker>
          <c:xVal>
            <c:numRef>
              <c:f>'Sheet1 (2)'!$T$16:$T$20</c:f>
              <c:numCache>
                <c:formatCode>General</c:formatCode>
                <c:ptCount val="5"/>
                <c:pt idx="0">
                  <c:v>0</c:v>
                </c:pt>
                <c:pt idx="1">
                  <c:v>1</c:v>
                </c:pt>
                <c:pt idx="2">
                  <c:v>2</c:v>
                </c:pt>
                <c:pt idx="3">
                  <c:v>3</c:v>
                </c:pt>
                <c:pt idx="4">
                  <c:v>4</c:v>
                </c:pt>
              </c:numCache>
            </c:numRef>
          </c:xVal>
          <c:yVal>
            <c:numRef>
              <c:f>'Sheet1 (2)'!$X$16:$X$20</c:f>
              <c:numCache>
                <c:formatCode>General</c:formatCode>
                <c:ptCount val="5"/>
                <c:pt idx="0">
                  <c:v>0.2</c:v>
                </c:pt>
                <c:pt idx="1">
                  <c:v>0.2</c:v>
                </c:pt>
                <c:pt idx="2">
                  <c:v>0.2</c:v>
                </c:pt>
                <c:pt idx="3">
                  <c:v>0.2</c:v>
                </c:pt>
                <c:pt idx="4">
                  <c:v>0.2</c:v>
                </c:pt>
              </c:numCache>
            </c:numRef>
          </c:yVal>
          <c:smooth val="0"/>
          <c:extLst>
            <c:ext xmlns:c16="http://schemas.microsoft.com/office/drawing/2014/chart" uri="{C3380CC4-5D6E-409C-BE32-E72D297353CC}">
              <c16:uniqueId val="{00000007-C6B8-48C6-9781-483BB3708F2F}"/>
            </c:ext>
          </c:extLst>
        </c:ser>
        <c:dLbls>
          <c:showLegendKey val="0"/>
          <c:showVal val="0"/>
          <c:showCatName val="0"/>
          <c:showSerName val="0"/>
          <c:showPercent val="0"/>
          <c:showBubbleSize val="0"/>
        </c:dLbls>
        <c:axId val="661897152"/>
        <c:axId val="497647920"/>
      </c:scatterChart>
      <c:catAx>
        <c:axId val="66189715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5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GB"/>
                  <a:t>Location</a:t>
                </a:r>
              </a:p>
            </c:rich>
          </c:tx>
          <c:overlay val="0"/>
          <c:spPr>
            <a:noFill/>
            <a:ln>
              <a:noFill/>
            </a:ln>
            <a:effectLst/>
          </c:spPr>
          <c:txPr>
            <a:bodyPr rot="0" spcFirstLastPara="1" vertOverflow="ellipsis" vert="horz" wrap="square" anchor="ctr" anchorCtr="1"/>
            <a:lstStyle/>
            <a:p>
              <a:pPr>
                <a:defRPr sz="5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5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497647920"/>
        <c:crosses val="autoZero"/>
        <c:auto val="1"/>
        <c:lblAlgn val="ctr"/>
        <c:lblOffset val="100"/>
        <c:noMultiLvlLbl val="0"/>
      </c:catAx>
      <c:valAx>
        <c:axId val="4976479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5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GB"/>
                  <a:t>Cu (mg/L)</a:t>
                </a:r>
              </a:p>
            </c:rich>
          </c:tx>
          <c:overlay val="0"/>
          <c:spPr>
            <a:noFill/>
            <a:ln>
              <a:noFill/>
            </a:ln>
            <a:effectLst/>
          </c:spPr>
          <c:txPr>
            <a:bodyPr rot="-5400000" spcFirstLastPara="1" vertOverflow="ellipsis" vert="horz" wrap="square" anchor="ctr" anchorCtr="1"/>
            <a:lstStyle/>
            <a:p>
              <a:pPr>
                <a:defRPr sz="5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5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661897152"/>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5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500">
          <a:latin typeface="Arial" panose="020B0604020202020204" pitchFamily="34" charset="0"/>
          <a:cs typeface="Arial" panose="020B0604020202020204" pitchFamily="34" charset="0"/>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ux (m/s)</c:v>
          </c:tx>
          <c:spPr>
            <a:ln w="9525" cap="rnd">
              <a:solidFill>
                <a:sysClr val="windowText" lastClr="000000"/>
              </a:solidFill>
              <a:round/>
            </a:ln>
            <a:effectLst/>
          </c:spPr>
          <c:marker>
            <c:symbol val="square"/>
            <c:size val="3"/>
            <c:spPr>
              <a:solidFill>
                <a:schemeClr val="tx1"/>
              </a:solidFill>
              <a:ln w="9525">
                <a:solidFill>
                  <a:sysClr val="windowText" lastClr="000000"/>
                </a:solidFill>
              </a:ln>
              <a:effectLst/>
            </c:spPr>
          </c:marker>
          <c:xVal>
            <c:numRef>
              <c:f>Rainy!$H$2:$H$37</c:f>
              <c:numCache>
                <c:formatCode>General</c:formatCode>
                <c:ptCount val="36"/>
                <c:pt idx="0">
                  <c:v>2359.89</c:v>
                </c:pt>
                <c:pt idx="1">
                  <c:v>2321.59</c:v>
                </c:pt>
                <c:pt idx="2">
                  <c:v>2290.59</c:v>
                </c:pt>
                <c:pt idx="3">
                  <c:v>2260.29</c:v>
                </c:pt>
                <c:pt idx="4">
                  <c:v>2208.39</c:v>
                </c:pt>
                <c:pt idx="5">
                  <c:v>2122.89</c:v>
                </c:pt>
                <c:pt idx="6">
                  <c:v>1964.89</c:v>
                </c:pt>
                <c:pt idx="7">
                  <c:v>1831.39</c:v>
                </c:pt>
                <c:pt idx="8">
                  <c:v>1755.59</c:v>
                </c:pt>
                <c:pt idx="9">
                  <c:v>1681.59</c:v>
                </c:pt>
                <c:pt idx="10">
                  <c:v>1631.39</c:v>
                </c:pt>
                <c:pt idx="11">
                  <c:v>1564.99</c:v>
                </c:pt>
                <c:pt idx="12">
                  <c:v>1487.59</c:v>
                </c:pt>
                <c:pt idx="13">
                  <c:v>1418.59</c:v>
                </c:pt>
                <c:pt idx="14">
                  <c:v>1365.79</c:v>
                </c:pt>
                <c:pt idx="15">
                  <c:v>1179.19</c:v>
                </c:pt>
                <c:pt idx="16">
                  <c:v>1001.19</c:v>
                </c:pt>
                <c:pt idx="17">
                  <c:v>955.89</c:v>
                </c:pt>
                <c:pt idx="18">
                  <c:v>909.49</c:v>
                </c:pt>
                <c:pt idx="19">
                  <c:v>754.1</c:v>
                </c:pt>
                <c:pt idx="20">
                  <c:v>673.4</c:v>
                </c:pt>
                <c:pt idx="21">
                  <c:v>558</c:v>
                </c:pt>
                <c:pt idx="22">
                  <c:v>455.6</c:v>
                </c:pt>
                <c:pt idx="23">
                  <c:v>434.1</c:v>
                </c:pt>
                <c:pt idx="24">
                  <c:v>413.7</c:v>
                </c:pt>
                <c:pt idx="25">
                  <c:v>393</c:v>
                </c:pt>
                <c:pt idx="26">
                  <c:v>357.5</c:v>
                </c:pt>
                <c:pt idx="27">
                  <c:v>324</c:v>
                </c:pt>
                <c:pt idx="28">
                  <c:v>295.5</c:v>
                </c:pt>
                <c:pt idx="29">
                  <c:v>273.3</c:v>
                </c:pt>
                <c:pt idx="30">
                  <c:v>242</c:v>
                </c:pt>
                <c:pt idx="31">
                  <c:v>180.6</c:v>
                </c:pt>
                <c:pt idx="32">
                  <c:v>123.6</c:v>
                </c:pt>
                <c:pt idx="33">
                  <c:v>81</c:v>
                </c:pt>
                <c:pt idx="34">
                  <c:v>32.799999999999997</c:v>
                </c:pt>
                <c:pt idx="35">
                  <c:v>0</c:v>
                </c:pt>
              </c:numCache>
            </c:numRef>
          </c:xVal>
          <c:yVal>
            <c:numRef>
              <c:f>Rainy!$C$2:$C$37</c:f>
              <c:numCache>
                <c:formatCode>General</c:formatCode>
                <c:ptCount val="36"/>
                <c:pt idx="0">
                  <c:v>0.98</c:v>
                </c:pt>
                <c:pt idx="1">
                  <c:v>0.71</c:v>
                </c:pt>
                <c:pt idx="2">
                  <c:v>1.06</c:v>
                </c:pt>
                <c:pt idx="3">
                  <c:v>1.54</c:v>
                </c:pt>
                <c:pt idx="4">
                  <c:v>0.5</c:v>
                </c:pt>
                <c:pt idx="5">
                  <c:v>0.95</c:v>
                </c:pt>
                <c:pt idx="6">
                  <c:v>0.3</c:v>
                </c:pt>
                <c:pt idx="7">
                  <c:v>0.76</c:v>
                </c:pt>
                <c:pt idx="8">
                  <c:v>0.93</c:v>
                </c:pt>
                <c:pt idx="9">
                  <c:v>0.93</c:v>
                </c:pt>
                <c:pt idx="10">
                  <c:v>0.96</c:v>
                </c:pt>
                <c:pt idx="11">
                  <c:v>0.75</c:v>
                </c:pt>
                <c:pt idx="12">
                  <c:v>0.44</c:v>
                </c:pt>
                <c:pt idx="13">
                  <c:v>0.96</c:v>
                </c:pt>
                <c:pt idx="14">
                  <c:v>0.31</c:v>
                </c:pt>
                <c:pt idx="15">
                  <c:v>0.46</c:v>
                </c:pt>
                <c:pt idx="16">
                  <c:v>0.68</c:v>
                </c:pt>
                <c:pt idx="17">
                  <c:v>0.55000000000000004</c:v>
                </c:pt>
                <c:pt idx="18">
                  <c:v>1.1299999999999999</c:v>
                </c:pt>
                <c:pt idx="19">
                  <c:v>1.27</c:v>
                </c:pt>
                <c:pt idx="20">
                  <c:v>1.67</c:v>
                </c:pt>
                <c:pt idx="21">
                  <c:v>0.41</c:v>
                </c:pt>
                <c:pt idx="22">
                  <c:v>0.2</c:v>
                </c:pt>
                <c:pt idx="23">
                  <c:v>0.51</c:v>
                </c:pt>
                <c:pt idx="24">
                  <c:v>0.42</c:v>
                </c:pt>
                <c:pt idx="25">
                  <c:v>0.71</c:v>
                </c:pt>
                <c:pt idx="26">
                  <c:v>1.25</c:v>
                </c:pt>
                <c:pt idx="27">
                  <c:v>0.85</c:v>
                </c:pt>
                <c:pt idx="28">
                  <c:v>0.42</c:v>
                </c:pt>
                <c:pt idx="29">
                  <c:v>0.18</c:v>
                </c:pt>
                <c:pt idx="30">
                  <c:v>0.14000000000000001</c:v>
                </c:pt>
                <c:pt idx="31">
                  <c:v>1.06</c:v>
                </c:pt>
                <c:pt idx="32">
                  <c:v>1.55</c:v>
                </c:pt>
                <c:pt idx="33">
                  <c:v>1.1000000000000001</c:v>
                </c:pt>
                <c:pt idx="34">
                  <c:v>1.54</c:v>
                </c:pt>
                <c:pt idx="35">
                  <c:v>1.45</c:v>
                </c:pt>
              </c:numCache>
            </c:numRef>
          </c:yVal>
          <c:smooth val="0"/>
          <c:extLst>
            <c:ext xmlns:c16="http://schemas.microsoft.com/office/drawing/2014/chart" uri="{C3380CC4-5D6E-409C-BE32-E72D297353CC}">
              <c16:uniqueId val="{00000000-0876-43CE-A8E7-8839040F93F2}"/>
            </c:ext>
          </c:extLst>
        </c:ser>
        <c:ser>
          <c:idx val="1"/>
          <c:order val="1"/>
          <c:tx>
            <c:v>Fr</c:v>
          </c:tx>
          <c:spPr>
            <a:ln w="9525" cap="rnd">
              <a:solidFill>
                <a:schemeClr val="accent2">
                  <a:lumMod val="40000"/>
                  <a:lumOff val="60000"/>
                </a:schemeClr>
              </a:solidFill>
              <a:round/>
            </a:ln>
            <a:effectLst/>
          </c:spPr>
          <c:marker>
            <c:symbol val="triangle"/>
            <c:size val="3"/>
            <c:spPr>
              <a:solidFill>
                <a:schemeClr val="accent2">
                  <a:lumMod val="40000"/>
                  <a:lumOff val="60000"/>
                </a:schemeClr>
              </a:solidFill>
              <a:ln w="9525">
                <a:solidFill>
                  <a:schemeClr val="accent2">
                    <a:lumMod val="40000"/>
                    <a:lumOff val="60000"/>
                  </a:schemeClr>
                </a:solidFill>
              </a:ln>
              <a:effectLst/>
            </c:spPr>
          </c:marker>
          <c:xVal>
            <c:numRef>
              <c:f>Rainy!$H$2:$H$37</c:f>
              <c:numCache>
                <c:formatCode>General</c:formatCode>
                <c:ptCount val="36"/>
                <c:pt idx="0">
                  <c:v>2359.89</c:v>
                </c:pt>
                <c:pt idx="1">
                  <c:v>2321.59</c:v>
                </c:pt>
                <c:pt idx="2">
                  <c:v>2290.59</c:v>
                </c:pt>
                <c:pt idx="3">
                  <c:v>2260.29</c:v>
                </c:pt>
                <c:pt idx="4">
                  <c:v>2208.39</c:v>
                </c:pt>
                <c:pt idx="5">
                  <c:v>2122.89</c:v>
                </c:pt>
                <c:pt idx="6">
                  <c:v>1964.89</c:v>
                </c:pt>
                <c:pt idx="7">
                  <c:v>1831.39</c:v>
                </c:pt>
                <c:pt idx="8">
                  <c:v>1755.59</c:v>
                </c:pt>
                <c:pt idx="9">
                  <c:v>1681.59</c:v>
                </c:pt>
                <c:pt idx="10">
                  <c:v>1631.39</c:v>
                </c:pt>
                <c:pt idx="11">
                  <c:v>1564.99</c:v>
                </c:pt>
                <c:pt idx="12">
                  <c:v>1487.59</c:v>
                </c:pt>
                <c:pt idx="13">
                  <c:v>1418.59</c:v>
                </c:pt>
                <c:pt idx="14">
                  <c:v>1365.79</c:v>
                </c:pt>
                <c:pt idx="15">
                  <c:v>1179.19</c:v>
                </c:pt>
                <c:pt idx="16">
                  <c:v>1001.19</c:v>
                </c:pt>
                <c:pt idx="17">
                  <c:v>955.89</c:v>
                </c:pt>
                <c:pt idx="18">
                  <c:v>909.49</c:v>
                </c:pt>
                <c:pt idx="19">
                  <c:v>754.1</c:v>
                </c:pt>
                <c:pt idx="20">
                  <c:v>673.4</c:v>
                </c:pt>
                <c:pt idx="21">
                  <c:v>558</c:v>
                </c:pt>
                <c:pt idx="22">
                  <c:v>455.6</c:v>
                </c:pt>
                <c:pt idx="23">
                  <c:v>434.1</c:v>
                </c:pt>
                <c:pt idx="24">
                  <c:v>413.7</c:v>
                </c:pt>
                <c:pt idx="25">
                  <c:v>393</c:v>
                </c:pt>
                <c:pt idx="26">
                  <c:v>357.5</c:v>
                </c:pt>
                <c:pt idx="27">
                  <c:v>324</c:v>
                </c:pt>
                <c:pt idx="28">
                  <c:v>295.5</c:v>
                </c:pt>
                <c:pt idx="29">
                  <c:v>273.3</c:v>
                </c:pt>
                <c:pt idx="30">
                  <c:v>242</c:v>
                </c:pt>
                <c:pt idx="31">
                  <c:v>180.6</c:v>
                </c:pt>
                <c:pt idx="32">
                  <c:v>123.6</c:v>
                </c:pt>
                <c:pt idx="33">
                  <c:v>81</c:v>
                </c:pt>
                <c:pt idx="34">
                  <c:v>32.799999999999997</c:v>
                </c:pt>
                <c:pt idx="35">
                  <c:v>0</c:v>
                </c:pt>
              </c:numCache>
            </c:numRef>
          </c:xVal>
          <c:yVal>
            <c:numRef>
              <c:f>Rainy!$E$2:$E$37</c:f>
              <c:numCache>
                <c:formatCode>General</c:formatCode>
                <c:ptCount val="36"/>
                <c:pt idx="0">
                  <c:v>1.02</c:v>
                </c:pt>
                <c:pt idx="1">
                  <c:v>0.66</c:v>
                </c:pt>
                <c:pt idx="2">
                  <c:v>1.02</c:v>
                </c:pt>
                <c:pt idx="3">
                  <c:v>1.77</c:v>
                </c:pt>
                <c:pt idx="4">
                  <c:v>0.35</c:v>
                </c:pt>
                <c:pt idx="5">
                  <c:v>1.01</c:v>
                </c:pt>
                <c:pt idx="6">
                  <c:v>0.19</c:v>
                </c:pt>
                <c:pt idx="7">
                  <c:v>0.73</c:v>
                </c:pt>
                <c:pt idx="8">
                  <c:v>0.98</c:v>
                </c:pt>
                <c:pt idx="9">
                  <c:v>0.8</c:v>
                </c:pt>
                <c:pt idx="10">
                  <c:v>0.81</c:v>
                </c:pt>
                <c:pt idx="11">
                  <c:v>0.63</c:v>
                </c:pt>
                <c:pt idx="12">
                  <c:v>0.32</c:v>
                </c:pt>
                <c:pt idx="13">
                  <c:v>1.02</c:v>
                </c:pt>
                <c:pt idx="14">
                  <c:v>0.16</c:v>
                </c:pt>
                <c:pt idx="15">
                  <c:v>0.28000000000000003</c:v>
                </c:pt>
                <c:pt idx="16">
                  <c:v>0.56999999999999995</c:v>
                </c:pt>
                <c:pt idx="17">
                  <c:v>0.4</c:v>
                </c:pt>
                <c:pt idx="18">
                  <c:v>1.02</c:v>
                </c:pt>
                <c:pt idx="19">
                  <c:v>1.25</c:v>
                </c:pt>
                <c:pt idx="20">
                  <c:v>1.7</c:v>
                </c:pt>
                <c:pt idx="21">
                  <c:v>0.19</c:v>
                </c:pt>
                <c:pt idx="22">
                  <c:v>0.06</c:v>
                </c:pt>
                <c:pt idx="23">
                  <c:v>0.26</c:v>
                </c:pt>
                <c:pt idx="24">
                  <c:v>0.21</c:v>
                </c:pt>
                <c:pt idx="25">
                  <c:v>0.41</c:v>
                </c:pt>
                <c:pt idx="26">
                  <c:v>1</c:v>
                </c:pt>
                <c:pt idx="27">
                  <c:v>0.63</c:v>
                </c:pt>
                <c:pt idx="28">
                  <c:v>0.22</c:v>
                </c:pt>
                <c:pt idx="29">
                  <c:v>7.0000000000000007E-2</c:v>
                </c:pt>
                <c:pt idx="30">
                  <c:v>0.05</c:v>
                </c:pt>
                <c:pt idx="31">
                  <c:v>1</c:v>
                </c:pt>
                <c:pt idx="32">
                  <c:v>1.66</c:v>
                </c:pt>
                <c:pt idx="33">
                  <c:v>1</c:v>
                </c:pt>
                <c:pt idx="34">
                  <c:v>1.45</c:v>
                </c:pt>
                <c:pt idx="35">
                  <c:v>1.39</c:v>
                </c:pt>
              </c:numCache>
            </c:numRef>
          </c:yVal>
          <c:smooth val="0"/>
          <c:extLst>
            <c:ext xmlns:c16="http://schemas.microsoft.com/office/drawing/2014/chart" uri="{C3380CC4-5D6E-409C-BE32-E72D297353CC}">
              <c16:uniqueId val="{00000001-0876-43CE-A8E7-8839040F93F2}"/>
            </c:ext>
          </c:extLst>
        </c:ser>
        <c:ser>
          <c:idx val="3"/>
          <c:order val="2"/>
          <c:tx>
            <c:v>W (m)</c:v>
          </c:tx>
          <c:spPr>
            <a:ln w="9525" cap="rnd">
              <a:solidFill>
                <a:srgbClr val="92D050"/>
              </a:solidFill>
              <a:round/>
            </a:ln>
            <a:effectLst/>
          </c:spPr>
          <c:marker>
            <c:symbol val="plus"/>
            <c:size val="3"/>
            <c:spPr>
              <a:solidFill>
                <a:srgbClr val="92D050"/>
              </a:solidFill>
              <a:ln w="9525">
                <a:solidFill>
                  <a:srgbClr val="92D050"/>
                </a:solidFill>
              </a:ln>
              <a:effectLst/>
            </c:spPr>
          </c:marker>
          <c:xVal>
            <c:numRef>
              <c:f>Rainy!$H$2:$H$37</c:f>
              <c:numCache>
                <c:formatCode>General</c:formatCode>
                <c:ptCount val="36"/>
                <c:pt idx="0">
                  <c:v>2359.89</c:v>
                </c:pt>
                <c:pt idx="1">
                  <c:v>2321.59</c:v>
                </c:pt>
                <c:pt idx="2">
                  <c:v>2290.59</c:v>
                </c:pt>
                <c:pt idx="3">
                  <c:v>2260.29</c:v>
                </c:pt>
                <c:pt idx="4">
                  <c:v>2208.39</c:v>
                </c:pt>
                <c:pt idx="5">
                  <c:v>2122.89</c:v>
                </c:pt>
                <c:pt idx="6">
                  <c:v>1964.89</c:v>
                </c:pt>
                <c:pt idx="7">
                  <c:v>1831.39</c:v>
                </c:pt>
                <c:pt idx="8">
                  <c:v>1755.59</c:v>
                </c:pt>
                <c:pt idx="9">
                  <c:v>1681.59</c:v>
                </c:pt>
                <c:pt idx="10">
                  <c:v>1631.39</c:v>
                </c:pt>
                <c:pt idx="11">
                  <c:v>1564.99</c:v>
                </c:pt>
                <c:pt idx="12">
                  <c:v>1487.59</c:v>
                </c:pt>
                <c:pt idx="13">
                  <c:v>1418.59</c:v>
                </c:pt>
                <c:pt idx="14">
                  <c:v>1365.79</c:v>
                </c:pt>
                <c:pt idx="15">
                  <c:v>1179.19</c:v>
                </c:pt>
                <c:pt idx="16">
                  <c:v>1001.19</c:v>
                </c:pt>
                <c:pt idx="17">
                  <c:v>955.89</c:v>
                </c:pt>
                <c:pt idx="18">
                  <c:v>909.49</c:v>
                </c:pt>
                <c:pt idx="19">
                  <c:v>754.1</c:v>
                </c:pt>
                <c:pt idx="20">
                  <c:v>673.4</c:v>
                </c:pt>
                <c:pt idx="21">
                  <c:v>558</c:v>
                </c:pt>
                <c:pt idx="22">
                  <c:v>455.6</c:v>
                </c:pt>
                <c:pt idx="23">
                  <c:v>434.1</c:v>
                </c:pt>
                <c:pt idx="24">
                  <c:v>413.7</c:v>
                </c:pt>
                <c:pt idx="25">
                  <c:v>393</c:v>
                </c:pt>
                <c:pt idx="26">
                  <c:v>357.5</c:v>
                </c:pt>
                <c:pt idx="27">
                  <c:v>324</c:v>
                </c:pt>
                <c:pt idx="28">
                  <c:v>295.5</c:v>
                </c:pt>
                <c:pt idx="29">
                  <c:v>273.3</c:v>
                </c:pt>
                <c:pt idx="30">
                  <c:v>242</c:v>
                </c:pt>
                <c:pt idx="31">
                  <c:v>180.6</c:v>
                </c:pt>
                <c:pt idx="32">
                  <c:v>123.6</c:v>
                </c:pt>
                <c:pt idx="33">
                  <c:v>81</c:v>
                </c:pt>
                <c:pt idx="34">
                  <c:v>32.799999999999997</c:v>
                </c:pt>
                <c:pt idx="35">
                  <c:v>0</c:v>
                </c:pt>
              </c:numCache>
            </c:numRef>
          </c:xVal>
          <c:yVal>
            <c:numRef>
              <c:f>Rainy!$D$2:$D$37</c:f>
              <c:numCache>
                <c:formatCode>General</c:formatCode>
                <c:ptCount val="36"/>
                <c:pt idx="0">
                  <c:v>3.76</c:v>
                </c:pt>
                <c:pt idx="1">
                  <c:v>4.1100000000000003</c:v>
                </c:pt>
                <c:pt idx="2">
                  <c:v>2.98</c:v>
                </c:pt>
                <c:pt idx="3">
                  <c:v>2.92</c:v>
                </c:pt>
                <c:pt idx="4">
                  <c:v>3.5</c:v>
                </c:pt>
                <c:pt idx="5">
                  <c:v>4.29</c:v>
                </c:pt>
                <c:pt idx="6">
                  <c:v>5.22</c:v>
                </c:pt>
                <c:pt idx="7">
                  <c:v>4.8899999999999997</c:v>
                </c:pt>
                <c:pt idx="8">
                  <c:v>4.82</c:v>
                </c:pt>
                <c:pt idx="9">
                  <c:v>3.14</c:v>
                </c:pt>
                <c:pt idx="10">
                  <c:v>3.17</c:v>
                </c:pt>
                <c:pt idx="11">
                  <c:v>4.22</c:v>
                </c:pt>
                <c:pt idx="12">
                  <c:v>5.45</c:v>
                </c:pt>
                <c:pt idx="13">
                  <c:v>5.32</c:v>
                </c:pt>
                <c:pt idx="14">
                  <c:v>4.29</c:v>
                </c:pt>
                <c:pt idx="15">
                  <c:v>4</c:v>
                </c:pt>
                <c:pt idx="16">
                  <c:v>5.22</c:v>
                </c:pt>
                <c:pt idx="17">
                  <c:v>5.08</c:v>
                </c:pt>
                <c:pt idx="18">
                  <c:v>3.79</c:v>
                </c:pt>
                <c:pt idx="19">
                  <c:v>4.0999999999999996</c:v>
                </c:pt>
                <c:pt idx="20">
                  <c:v>3.41</c:v>
                </c:pt>
                <c:pt idx="21">
                  <c:v>2.82</c:v>
                </c:pt>
                <c:pt idx="22">
                  <c:v>2.4700000000000002</c:v>
                </c:pt>
                <c:pt idx="23">
                  <c:v>2.82</c:v>
                </c:pt>
                <c:pt idx="24">
                  <c:v>3.36</c:v>
                </c:pt>
                <c:pt idx="25">
                  <c:v>2.8</c:v>
                </c:pt>
                <c:pt idx="26">
                  <c:v>3.04</c:v>
                </c:pt>
                <c:pt idx="27">
                  <c:v>3.81</c:v>
                </c:pt>
                <c:pt idx="28">
                  <c:v>3.94</c:v>
                </c:pt>
                <c:pt idx="29">
                  <c:v>4.95</c:v>
                </c:pt>
                <c:pt idx="30">
                  <c:v>4.76</c:v>
                </c:pt>
                <c:pt idx="31">
                  <c:v>4.93</c:v>
                </c:pt>
                <c:pt idx="32">
                  <c:v>4.41</c:v>
                </c:pt>
                <c:pt idx="33">
                  <c:v>4.46</c:v>
                </c:pt>
                <c:pt idx="34">
                  <c:v>3.44</c:v>
                </c:pt>
                <c:pt idx="35">
                  <c:v>3.79</c:v>
                </c:pt>
              </c:numCache>
            </c:numRef>
          </c:yVal>
          <c:smooth val="0"/>
          <c:extLst>
            <c:ext xmlns:c16="http://schemas.microsoft.com/office/drawing/2014/chart" uri="{C3380CC4-5D6E-409C-BE32-E72D297353CC}">
              <c16:uniqueId val="{00000002-0876-43CE-A8E7-8839040F93F2}"/>
            </c:ext>
          </c:extLst>
        </c:ser>
        <c:ser>
          <c:idx val="2"/>
          <c:order val="3"/>
          <c:tx>
            <c:v>H (m)</c:v>
          </c:tx>
          <c:spPr>
            <a:ln w="9525" cap="rnd">
              <a:solidFill>
                <a:srgbClr val="FF0000"/>
              </a:solidFill>
              <a:round/>
            </a:ln>
            <a:effectLst/>
          </c:spPr>
          <c:marker>
            <c:symbol val="triangle"/>
            <c:size val="3"/>
            <c:spPr>
              <a:solidFill>
                <a:srgbClr val="FF0000"/>
              </a:solidFill>
              <a:ln w="9525">
                <a:solidFill>
                  <a:srgbClr val="FF0000"/>
                </a:solidFill>
              </a:ln>
              <a:effectLst/>
            </c:spPr>
          </c:marker>
          <c:xVal>
            <c:numRef>
              <c:f>Rainy!$H$2:$H$37</c:f>
              <c:numCache>
                <c:formatCode>General</c:formatCode>
                <c:ptCount val="36"/>
                <c:pt idx="0">
                  <c:v>2359.89</c:v>
                </c:pt>
                <c:pt idx="1">
                  <c:v>2321.59</c:v>
                </c:pt>
                <c:pt idx="2">
                  <c:v>2290.59</c:v>
                </c:pt>
                <c:pt idx="3">
                  <c:v>2260.29</c:v>
                </c:pt>
                <c:pt idx="4">
                  <c:v>2208.39</c:v>
                </c:pt>
                <c:pt idx="5">
                  <c:v>2122.89</c:v>
                </c:pt>
                <c:pt idx="6">
                  <c:v>1964.89</c:v>
                </c:pt>
                <c:pt idx="7">
                  <c:v>1831.39</c:v>
                </c:pt>
                <c:pt idx="8">
                  <c:v>1755.59</c:v>
                </c:pt>
                <c:pt idx="9">
                  <c:v>1681.59</c:v>
                </c:pt>
                <c:pt idx="10">
                  <c:v>1631.39</c:v>
                </c:pt>
                <c:pt idx="11">
                  <c:v>1564.99</c:v>
                </c:pt>
                <c:pt idx="12">
                  <c:v>1487.59</c:v>
                </c:pt>
                <c:pt idx="13">
                  <c:v>1418.59</c:v>
                </c:pt>
                <c:pt idx="14">
                  <c:v>1365.79</c:v>
                </c:pt>
                <c:pt idx="15">
                  <c:v>1179.19</c:v>
                </c:pt>
                <c:pt idx="16">
                  <c:v>1001.19</c:v>
                </c:pt>
                <c:pt idx="17">
                  <c:v>955.89</c:v>
                </c:pt>
                <c:pt idx="18">
                  <c:v>909.49</c:v>
                </c:pt>
                <c:pt idx="19">
                  <c:v>754.1</c:v>
                </c:pt>
                <c:pt idx="20">
                  <c:v>673.4</c:v>
                </c:pt>
                <c:pt idx="21">
                  <c:v>558</c:v>
                </c:pt>
                <c:pt idx="22">
                  <c:v>455.6</c:v>
                </c:pt>
                <c:pt idx="23">
                  <c:v>434.1</c:v>
                </c:pt>
                <c:pt idx="24">
                  <c:v>413.7</c:v>
                </c:pt>
                <c:pt idx="25">
                  <c:v>393</c:v>
                </c:pt>
                <c:pt idx="26">
                  <c:v>357.5</c:v>
                </c:pt>
                <c:pt idx="27">
                  <c:v>324</c:v>
                </c:pt>
                <c:pt idx="28">
                  <c:v>295.5</c:v>
                </c:pt>
                <c:pt idx="29">
                  <c:v>273.3</c:v>
                </c:pt>
                <c:pt idx="30">
                  <c:v>242</c:v>
                </c:pt>
                <c:pt idx="31">
                  <c:v>180.6</c:v>
                </c:pt>
                <c:pt idx="32">
                  <c:v>123.6</c:v>
                </c:pt>
                <c:pt idx="33">
                  <c:v>81</c:v>
                </c:pt>
                <c:pt idx="34">
                  <c:v>32.799999999999997</c:v>
                </c:pt>
                <c:pt idx="35">
                  <c:v>0</c:v>
                </c:pt>
              </c:numCache>
            </c:numRef>
          </c:xVal>
          <c:yVal>
            <c:numRef>
              <c:f>Rainy!$G$2:$G$37</c:f>
              <c:numCache>
                <c:formatCode>General</c:formatCode>
                <c:ptCount val="36"/>
                <c:pt idx="0">
                  <c:v>0.09</c:v>
                </c:pt>
                <c:pt idx="1">
                  <c:v>0.12</c:v>
                </c:pt>
                <c:pt idx="2">
                  <c:v>0.11</c:v>
                </c:pt>
                <c:pt idx="3">
                  <c:v>0.08</c:v>
                </c:pt>
                <c:pt idx="4">
                  <c:v>0.21</c:v>
                </c:pt>
                <c:pt idx="5">
                  <c:v>0.09</c:v>
                </c:pt>
                <c:pt idx="6">
                  <c:v>0.26</c:v>
                </c:pt>
                <c:pt idx="7">
                  <c:v>0.11</c:v>
                </c:pt>
                <c:pt idx="8">
                  <c:v>0.09</c:v>
                </c:pt>
                <c:pt idx="9">
                  <c:v>0.14000000000000001</c:v>
                </c:pt>
                <c:pt idx="10">
                  <c:v>0.14000000000000001</c:v>
                </c:pt>
                <c:pt idx="11">
                  <c:v>0.14000000000000001</c:v>
                </c:pt>
                <c:pt idx="12">
                  <c:v>0.19</c:v>
                </c:pt>
                <c:pt idx="13">
                  <c:v>0.09</c:v>
                </c:pt>
                <c:pt idx="14">
                  <c:v>0.37</c:v>
                </c:pt>
                <c:pt idx="15">
                  <c:v>0.27</c:v>
                </c:pt>
                <c:pt idx="16">
                  <c:v>0.15</c:v>
                </c:pt>
                <c:pt idx="17">
                  <c:v>0.19</c:v>
                </c:pt>
                <c:pt idx="18">
                  <c:v>0.13</c:v>
                </c:pt>
                <c:pt idx="19">
                  <c:v>0.11</c:v>
                </c:pt>
                <c:pt idx="20">
                  <c:v>0.1</c:v>
                </c:pt>
                <c:pt idx="21">
                  <c:v>0.49</c:v>
                </c:pt>
                <c:pt idx="22">
                  <c:v>1.2</c:v>
                </c:pt>
                <c:pt idx="23">
                  <c:v>0.41</c:v>
                </c:pt>
                <c:pt idx="24">
                  <c:v>0.43</c:v>
                </c:pt>
                <c:pt idx="25">
                  <c:v>0.31</c:v>
                </c:pt>
                <c:pt idx="26">
                  <c:v>0.16</c:v>
                </c:pt>
                <c:pt idx="27">
                  <c:v>0.19</c:v>
                </c:pt>
                <c:pt idx="28">
                  <c:v>0.37</c:v>
                </c:pt>
                <c:pt idx="29">
                  <c:v>0.66</c:v>
                </c:pt>
                <c:pt idx="30">
                  <c:v>0.89</c:v>
                </c:pt>
                <c:pt idx="31">
                  <c:v>0.12</c:v>
                </c:pt>
                <c:pt idx="32">
                  <c:v>0.09</c:v>
                </c:pt>
                <c:pt idx="33">
                  <c:v>0.12</c:v>
                </c:pt>
                <c:pt idx="34">
                  <c:v>0.11</c:v>
                </c:pt>
                <c:pt idx="35">
                  <c:v>0.11</c:v>
                </c:pt>
              </c:numCache>
            </c:numRef>
          </c:yVal>
          <c:smooth val="0"/>
          <c:extLst>
            <c:ext xmlns:c16="http://schemas.microsoft.com/office/drawing/2014/chart" uri="{C3380CC4-5D6E-409C-BE32-E72D297353CC}">
              <c16:uniqueId val="{00000003-0876-43CE-A8E7-8839040F93F2}"/>
            </c:ext>
          </c:extLst>
        </c:ser>
        <c:ser>
          <c:idx val="4"/>
          <c:order val="4"/>
          <c:tx>
            <c:v>Q river (cms)</c:v>
          </c:tx>
          <c:spPr>
            <a:ln w="9525" cap="rnd">
              <a:solidFill>
                <a:srgbClr val="00B0F0"/>
              </a:solidFill>
              <a:round/>
            </a:ln>
            <a:effectLst/>
          </c:spPr>
          <c:marker>
            <c:symbol val="diamond"/>
            <c:size val="3"/>
            <c:spPr>
              <a:solidFill>
                <a:srgbClr val="00B0F0"/>
              </a:solidFill>
              <a:ln w="9525">
                <a:solidFill>
                  <a:srgbClr val="00B0F0"/>
                </a:solidFill>
              </a:ln>
              <a:effectLst/>
            </c:spPr>
          </c:marker>
          <c:xVal>
            <c:numRef>
              <c:f>Rainy!$H$2:$H$37</c:f>
              <c:numCache>
                <c:formatCode>General</c:formatCode>
                <c:ptCount val="36"/>
                <c:pt idx="0">
                  <c:v>2359.89</c:v>
                </c:pt>
                <c:pt idx="1">
                  <c:v>2321.59</c:v>
                </c:pt>
                <c:pt idx="2">
                  <c:v>2290.59</c:v>
                </c:pt>
                <c:pt idx="3">
                  <c:v>2260.29</c:v>
                </c:pt>
                <c:pt idx="4">
                  <c:v>2208.39</c:v>
                </c:pt>
                <c:pt idx="5">
                  <c:v>2122.89</c:v>
                </c:pt>
                <c:pt idx="6">
                  <c:v>1964.89</c:v>
                </c:pt>
                <c:pt idx="7">
                  <c:v>1831.39</c:v>
                </c:pt>
                <c:pt idx="8">
                  <c:v>1755.59</c:v>
                </c:pt>
                <c:pt idx="9">
                  <c:v>1681.59</c:v>
                </c:pt>
                <c:pt idx="10">
                  <c:v>1631.39</c:v>
                </c:pt>
                <c:pt idx="11">
                  <c:v>1564.99</c:v>
                </c:pt>
                <c:pt idx="12">
                  <c:v>1487.59</c:v>
                </c:pt>
                <c:pt idx="13">
                  <c:v>1418.59</c:v>
                </c:pt>
                <c:pt idx="14">
                  <c:v>1365.79</c:v>
                </c:pt>
                <c:pt idx="15">
                  <c:v>1179.19</c:v>
                </c:pt>
                <c:pt idx="16">
                  <c:v>1001.19</c:v>
                </c:pt>
                <c:pt idx="17">
                  <c:v>955.89</c:v>
                </c:pt>
                <c:pt idx="18">
                  <c:v>909.49</c:v>
                </c:pt>
                <c:pt idx="19">
                  <c:v>754.1</c:v>
                </c:pt>
                <c:pt idx="20">
                  <c:v>673.4</c:v>
                </c:pt>
                <c:pt idx="21">
                  <c:v>558</c:v>
                </c:pt>
                <c:pt idx="22">
                  <c:v>455.6</c:v>
                </c:pt>
                <c:pt idx="23">
                  <c:v>434.1</c:v>
                </c:pt>
                <c:pt idx="24">
                  <c:v>413.7</c:v>
                </c:pt>
                <c:pt idx="25">
                  <c:v>393</c:v>
                </c:pt>
                <c:pt idx="26">
                  <c:v>357.5</c:v>
                </c:pt>
                <c:pt idx="27">
                  <c:v>324</c:v>
                </c:pt>
                <c:pt idx="28">
                  <c:v>295.5</c:v>
                </c:pt>
                <c:pt idx="29">
                  <c:v>273.3</c:v>
                </c:pt>
                <c:pt idx="30">
                  <c:v>242</c:v>
                </c:pt>
                <c:pt idx="31">
                  <c:v>180.6</c:v>
                </c:pt>
                <c:pt idx="32">
                  <c:v>123.6</c:v>
                </c:pt>
                <c:pt idx="33">
                  <c:v>81</c:v>
                </c:pt>
                <c:pt idx="34">
                  <c:v>32.799999999999997</c:v>
                </c:pt>
                <c:pt idx="35">
                  <c:v>0</c:v>
                </c:pt>
              </c:numCache>
            </c:numRef>
          </c:xVal>
          <c:yVal>
            <c:numRef>
              <c:f>Rainy!$I$2:$I$37</c:f>
              <c:numCache>
                <c:formatCode>General</c:formatCode>
                <c:ptCount val="36"/>
                <c:pt idx="0">
                  <c:v>0.35</c:v>
                </c:pt>
                <c:pt idx="1">
                  <c:v>0.35</c:v>
                </c:pt>
                <c:pt idx="2">
                  <c:v>0.35</c:v>
                </c:pt>
                <c:pt idx="3">
                  <c:v>0.35</c:v>
                </c:pt>
                <c:pt idx="4">
                  <c:v>0.36</c:v>
                </c:pt>
                <c:pt idx="5">
                  <c:v>0.37</c:v>
                </c:pt>
                <c:pt idx="6">
                  <c:v>0.41</c:v>
                </c:pt>
                <c:pt idx="7">
                  <c:v>0.41</c:v>
                </c:pt>
                <c:pt idx="8">
                  <c:v>0.41</c:v>
                </c:pt>
                <c:pt idx="9">
                  <c:v>0.41</c:v>
                </c:pt>
                <c:pt idx="10">
                  <c:v>0.44</c:v>
                </c:pt>
                <c:pt idx="11">
                  <c:v>0.45</c:v>
                </c:pt>
                <c:pt idx="12">
                  <c:v>0.46</c:v>
                </c:pt>
                <c:pt idx="13">
                  <c:v>0.46</c:v>
                </c:pt>
                <c:pt idx="14">
                  <c:v>0.49</c:v>
                </c:pt>
                <c:pt idx="15">
                  <c:v>0.51</c:v>
                </c:pt>
                <c:pt idx="16">
                  <c:v>0.52</c:v>
                </c:pt>
                <c:pt idx="17">
                  <c:v>0.54</c:v>
                </c:pt>
                <c:pt idx="18">
                  <c:v>0.54</c:v>
                </c:pt>
                <c:pt idx="19">
                  <c:v>0.55000000000000004</c:v>
                </c:pt>
                <c:pt idx="20">
                  <c:v>0.56000000000000005</c:v>
                </c:pt>
                <c:pt idx="21">
                  <c:v>0.56999999999999995</c:v>
                </c:pt>
                <c:pt idx="22">
                  <c:v>0.57999999999999996</c:v>
                </c:pt>
                <c:pt idx="23">
                  <c:v>0.59</c:v>
                </c:pt>
                <c:pt idx="24">
                  <c:v>0.61</c:v>
                </c:pt>
                <c:pt idx="25">
                  <c:v>0.61</c:v>
                </c:pt>
                <c:pt idx="26">
                  <c:v>0.61</c:v>
                </c:pt>
                <c:pt idx="27">
                  <c:v>0.61</c:v>
                </c:pt>
                <c:pt idx="28">
                  <c:v>0.61</c:v>
                </c:pt>
                <c:pt idx="29">
                  <c:v>0.61</c:v>
                </c:pt>
                <c:pt idx="30">
                  <c:v>0.61</c:v>
                </c:pt>
                <c:pt idx="31">
                  <c:v>0.61</c:v>
                </c:pt>
                <c:pt idx="32">
                  <c:v>0.61</c:v>
                </c:pt>
                <c:pt idx="33">
                  <c:v>0.61</c:v>
                </c:pt>
                <c:pt idx="34">
                  <c:v>0.61</c:v>
                </c:pt>
                <c:pt idx="35">
                  <c:v>0.61</c:v>
                </c:pt>
              </c:numCache>
            </c:numRef>
          </c:yVal>
          <c:smooth val="0"/>
          <c:extLst>
            <c:ext xmlns:c16="http://schemas.microsoft.com/office/drawing/2014/chart" uri="{C3380CC4-5D6E-409C-BE32-E72D297353CC}">
              <c16:uniqueId val="{00000004-0876-43CE-A8E7-8839040F93F2}"/>
            </c:ext>
          </c:extLst>
        </c:ser>
        <c:dLbls>
          <c:showLegendKey val="0"/>
          <c:showVal val="0"/>
          <c:showCatName val="0"/>
          <c:showSerName val="0"/>
          <c:showPercent val="0"/>
          <c:showBubbleSize val="0"/>
        </c:dLbls>
        <c:axId val="1780078976"/>
        <c:axId val="1780079936"/>
      </c:scatterChart>
      <c:valAx>
        <c:axId val="1780078976"/>
        <c:scaling>
          <c:orientation val="minMax"/>
          <c:max val="236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GB"/>
                  <a:t>Distance from Downstream (m)</a:t>
                </a:r>
              </a:p>
            </c:rich>
          </c:tx>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780079936"/>
        <c:crosses val="autoZero"/>
        <c:crossBetween val="midCat"/>
      </c:valAx>
      <c:valAx>
        <c:axId val="17800799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GB"/>
                  <a:t>Hydraulic Parameter Generated </a:t>
                </a:r>
              </a:p>
            </c:rich>
          </c:tx>
          <c:overlay val="0"/>
          <c:spPr>
            <a:noFill/>
            <a:ln>
              <a:noFill/>
            </a:ln>
            <a:effectLst/>
          </c:spPr>
          <c:txPr>
            <a:bodyPr rot="-540000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780078976"/>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700">
          <a:latin typeface="Arial" panose="020B0604020202020204" pitchFamily="34" charset="0"/>
          <a:cs typeface="Arial" panose="020B0604020202020204" pitchFamily="34" charset="0"/>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ux (m/s)</c:v>
          </c:tx>
          <c:spPr>
            <a:ln w="9525" cap="rnd">
              <a:solidFill>
                <a:sysClr val="windowText" lastClr="000000"/>
              </a:solidFill>
              <a:round/>
            </a:ln>
            <a:effectLst/>
          </c:spPr>
          <c:marker>
            <c:symbol val="square"/>
            <c:size val="3"/>
            <c:spPr>
              <a:solidFill>
                <a:schemeClr val="tx1"/>
              </a:solidFill>
              <a:ln w="9525">
                <a:solidFill>
                  <a:sysClr val="windowText" lastClr="000000"/>
                </a:solidFill>
              </a:ln>
              <a:effectLst/>
            </c:spPr>
          </c:marker>
          <c:xVal>
            <c:numRef>
              <c:f>Dry!$I$2:$I$37</c:f>
              <c:numCache>
                <c:formatCode>General</c:formatCode>
                <c:ptCount val="36"/>
                <c:pt idx="0">
                  <c:v>2359.89</c:v>
                </c:pt>
                <c:pt idx="1">
                  <c:v>2321.59</c:v>
                </c:pt>
                <c:pt idx="2">
                  <c:v>2290.59</c:v>
                </c:pt>
                <c:pt idx="3">
                  <c:v>2260.29</c:v>
                </c:pt>
                <c:pt idx="4">
                  <c:v>2208.39</c:v>
                </c:pt>
                <c:pt idx="5">
                  <c:v>2122.89</c:v>
                </c:pt>
                <c:pt idx="6">
                  <c:v>1964.89</c:v>
                </c:pt>
                <c:pt idx="7">
                  <c:v>1831.39</c:v>
                </c:pt>
                <c:pt idx="8">
                  <c:v>1755.59</c:v>
                </c:pt>
                <c:pt idx="9">
                  <c:v>1681.59</c:v>
                </c:pt>
                <c:pt idx="10">
                  <c:v>1631.39</c:v>
                </c:pt>
                <c:pt idx="11">
                  <c:v>1564.99</c:v>
                </c:pt>
                <c:pt idx="12">
                  <c:v>1487.59</c:v>
                </c:pt>
                <c:pt idx="13">
                  <c:v>1418.59</c:v>
                </c:pt>
                <c:pt idx="14">
                  <c:v>1365.79</c:v>
                </c:pt>
                <c:pt idx="15">
                  <c:v>1179.19</c:v>
                </c:pt>
                <c:pt idx="16">
                  <c:v>1001.19</c:v>
                </c:pt>
                <c:pt idx="17">
                  <c:v>955.89</c:v>
                </c:pt>
                <c:pt idx="18">
                  <c:v>909.49</c:v>
                </c:pt>
                <c:pt idx="19">
                  <c:v>754.1</c:v>
                </c:pt>
                <c:pt idx="20">
                  <c:v>673.4</c:v>
                </c:pt>
                <c:pt idx="21">
                  <c:v>558</c:v>
                </c:pt>
                <c:pt idx="22">
                  <c:v>455.6</c:v>
                </c:pt>
                <c:pt idx="23">
                  <c:v>434.1</c:v>
                </c:pt>
                <c:pt idx="24">
                  <c:v>413.7</c:v>
                </c:pt>
                <c:pt idx="25">
                  <c:v>393</c:v>
                </c:pt>
                <c:pt idx="26">
                  <c:v>357.5</c:v>
                </c:pt>
                <c:pt idx="27">
                  <c:v>324</c:v>
                </c:pt>
                <c:pt idx="28">
                  <c:v>295.5</c:v>
                </c:pt>
                <c:pt idx="29">
                  <c:v>273.3</c:v>
                </c:pt>
                <c:pt idx="30">
                  <c:v>242</c:v>
                </c:pt>
                <c:pt idx="31">
                  <c:v>180.6</c:v>
                </c:pt>
                <c:pt idx="32">
                  <c:v>123.6</c:v>
                </c:pt>
                <c:pt idx="33">
                  <c:v>81</c:v>
                </c:pt>
                <c:pt idx="34">
                  <c:v>32.799999999999997</c:v>
                </c:pt>
                <c:pt idx="35">
                  <c:v>0</c:v>
                </c:pt>
              </c:numCache>
            </c:numRef>
          </c:xVal>
          <c:yVal>
            <c:numRef>
              <c:f>Dry!$C$2:$C$37</c:f>
              <c:numCache>
                <c:formatCode>General</c:formatCode>
                <c:ptCount val="36"/>
                <c:pt idx="0">
                  <c:v>0.91</c:v>
                </c:pt>
                <c:pt idx="1">
                  <c:v>0.64</c:v>
                </c:pt>
                <c:pt idx="2">
                  <c:v>0.97</c:v>
                </c:pt>
                <c:pt idx="3">
                  <c:v>1.4</c:v>
                </c:pt>
                <c:pt idx="4">
                  <c:v>0.43</c:v>
                </c:pt>
                <c:pt idx="5">
                  <c:v>0.88</c:v>
                </c:pt>
                <c:pt idx="6">
                  <c:v>0.27</c:v>
                </c:pt>
                <c:pt idx="7">
                  <c:v>0.71</c:v>
                </c:pt>
                <c:pt idx="8">
                  <c:v>0.82</c:v>
                </c:pt>
                <c:pt idx="9">
                  <c:v>0.88</c:v>
                </c:pt>
                <c:pt idx="10">
                  <c:v>0.86</c:v>
                </c:pt>
                <c:pt idx="11">
                  <c:v>0.71</c:v>
                </c:pt>
                <c:pt idx="12">
                  <c:v>0.4</c:v>
                </c:pt>
                <c:pt idx="13">
                  <c:v>0.9</c:v>
                </c:pt>
                <c:pt idx="14">
                  <c:v>0.28000000000000003</c:v>
                </c:pt>
                <c:pt idx="15">
                  <c:v>0.42</c:v>
                </c:pt>
                <c:pt idx="16">
                  <c:v>0.63</c:v>
                </c:pt>
                <c:pt idx="17">
                  <c:v>0.51</c:v>
                </c:pt>
                <c:pt idx="18">
                  <c:v>1.06</c:v>
                </c:pt>
                <c:pt idx="19">
                  <c:v>1.19</c:v>
                </c:pt>
                <c:pt idx="20">
                  <c:v>1.58</c:v>
                </c:pt>
                <c:pt idx="21">
                  <c:v>0.37</c:v>
                </c:pt>
                <c:pt idx="22">
                  <c:v>0.17</c:v>
                </c:pt>
                <c:pt idx="23">
                  <c:v>0.46</c:v>
                </c:pt>
                <c:pt idx="24">
                  <c:v>0.38</c:v>
                </c:pt>
                <c:pt idx="25">
                  <c:v>0.64</c:v>
                </c:pt>
                <c:pt idx="26">
                  <c:v>1.19</c:v>
                </c:pt>
                <c:pt idx="27">
                  <c:v>0.79</c:v>
                </c:pt>
                <c:pt idx="28">
                  <c:v>0.37</c:v>
                </c:pt>
                <c:pt idx="29">
                  <c:v>0.16</c:v>
                </c:pt>
                <c:pt idx="30">
                  <c:v>0.12</c:v>
                </c:pt>
                <c:pt idx="31">
                  <c:v>1.01</c:v>
                </c:pt>
                <c:pt idx="32">
                  <c:v>1.43</c:v>
                </c:pt>
                <c:pt idx="33">
                  <c:v>1.04</c:v>
                </c:pt>
                <c:pt idx="34">
                  <c:v>1.43</c:v>
                </c:pt>
                <c:pt idx="35">
                  <c:v>1.37</c:v>
                </c:pt>
              </c:numCache>
            </c:numRef>
          </c:yVal>
          <c:smooth val="0"/>
          <c:extLst>
            <c:ext xmlns:c16="http://schemas.microsoft.com/office/drawing/2014/chart" uri="{C3380CC4-5D6E-409C-BE32-E72D297353CC}">
              <c16:uniqueId val="{00000000-27AF-468A-9B6A-1623F969D35D}"/>
            </c:ext>
          </c:extLst>
        </c:ser>
        <c:ser>
          <c:idx val="1"/>
          <c:order val="1"/>
          <c:tx>
            <c:v>Fr</c:v>
          </c:tx>
          <c:spPr>
            <a:ln w="9525" cap="rnd">
              <a:solidFill>
                <a:schemeClr val="accent2">
                  <a:lumMod val="40000"/>
                  <a:lumOff val="60000"/>
                </a:schemeClr>
              </a:solidFill>
              <a:round/>
            </a:ln>
            <a:effectLst/>
          </c:spPr>
          <c:marker>
            <c:symbol val="triangle"/>
            <c:size val="3"/>
            <c:spPr>
              <a:solidFill>
                <a:schemeClr val="accent2">
                  <a:lumMod val="40000"/>
                  <a:lumOff val="60000"/>
                </a:schemeClr>
              </a:solidFill>
              <a:ln w="9525">
                <a:solidFill>
                  <a:schemeClr val="accent2">
                    <a:lumMod val="40000"/>
                    <a:lumOff val="60000"/>
                  </a:schemeClr>
                </a:solidFill>
              </a:ln>
              <a:effectLst/>
            </c:spPr>
          </c:marker>
          <c:xVal>
            <c:numRef>
              <c:f>Dry!$I$2:$I$37</c:f>
              <c:numCache>
                <c:formatCode>General</c:formatCode>
                <c:ptCount val="36"/>
                <c:pt idx="0">
                  <c:v>2359.89</c:v>
                </c:pt>
                <c:pt idx="1">
                  <c:v>2321.59</c:v>
                </c:pt>
                <c:pt idx="2">
                  <c:v>2290.59</c:v>
                </c:pt>
                <c:pt idx="3">
                  <c:v>2260.29</c:v>
                </c:pt>
                <c:pt idx="4">
                  <c:v>2208.39</c:v>
                </c:pt>
                <c:pt idx="5">
                  <c:v>2122.89</c:v>
                </c:pt>
                <c:pt idx="6">
                  <c:v>1964.89</c:v>
                </c:pt>
                <c:pt idx="7">
                  <c:v>1831.39</c:v>
                </c:pt>
                <c:pt idx="8">
                  <c:v>1755.59</c:v>
                </c:pt>
                <c:pt idx="9">
                  <c:v>1681.59</c:v>
                </c:pt>
                <c:pt idx="10">
                  <c:v>1631.39</c:v>
                </c:pt>
                <c:pt idx="11">
                  <c:v>1564.99</c:v>
                </c:pt>
                <c:pt idx="12">
                  <c:v>1487.59</c:v>
                </c:pt>
                <c:pt idx="13">
                  <c:v>1418.59</c:v>
                </c:pt>
                <c:pt idx="14">
                  <c:v>1365.79</c:v>
                </c:pt>
                <c:pt idx="15">
                  <c:v>1179.19</c:v>
                </c:pt>
                <c:pt idx="16">
                  <c:v>1001.19</c:v>
                </c:pt>
                <c:pt idx="17">
                  <c:v>955.89</c:v>
                </c:pt>
                <c:pt idx="18">
                  <c:v>909.49</c:v>
                </c:pt>
                <c:pt idx="19">
                  <c:v>754.1</c:v>
                </c:pt>
                <c:pt idx="20">
                  <c:v>673.4</c:v>
                </c:pt>
                <c:pt idx="21">
                  <c:v>558</c:v>
                </c:pt>
                <c:pt idx="22">
                  <c:v>455.6</c:v>
                </c:pt>
                <c:pt idx="23">
                  <c:v>434.1</c:v>
                </c:pt>
                <c:pt idx="24">
                  <c:v>413.7</c:v>
                </c:pt>
                <c:pt idx="25">
                  <c:v>393</c:v>
                </c:pt>
                <c:pt idx="26">
                  <c:v>357.5</c:v>
                </c:pt>
                <c:pt idx="27">
                  <c:v>324</c:v>
                </c:pt>
                <c:pt idx="28">
                  <c:v>295.5</c:v>
                </c:pt>
                <c:pt idx="29">
                  <c:v>273.3</c:v>
                </c:pt>
                <c:pt idx="30">
                  <c:v>242</c:v>
                </c:pt>
                <c:pt idx="31">
                  <c:v>180.6</c:v>
                </c:pt>
                <c:pt idx="32">
                  <c:v>123.6</c:v>
                </c:pt>
                <c:pt idx="33">
                  <c:v>81</c:v>
                </c:pt>
                <c:pt idx="34">
                  <c:v>32.799999999999997</c:v>
                </c:pt>
                <c:pt idx="35">
                  <c:v>0</c:v>
                </c:pt>
              </c:numCache>
            </c:numRef>
          </c:xVal>
          <c:yVal>
            <c:numRef>
              <c:f>Dry!$F$2:$F$37</c:f>
              <c:numCache>
                <c:formatCode>General</c:formatCode>
                <c:ptCount val="36"/>
                <c:pt idx="0">
                  <c:v>1.03</c:v>
                </c:pt>
                <c:pt idx="1">
                  <c:v>0.64</c:v>
                </c:pt>
                <c:pt idx="2">
                  <c:v>1.01</c:v>
                </c:pt>
                <c:pt idx="3">
                  <c:v>1.7</c:v>
                </c:pt>
                <c:pt idx="4">
                  <c:v>0.33</c:v>
                </c:pt>
                <c:pt idx="5">
                  <c:v>1.01</c:v>
                </c:pt>
                <c:pt idx="6">
                  <c:v>0.18</c:v>
                </c:pt>
                <c:pt idx="7">
                  <c:v>0.74</c:v>
                </c:pt>
                <c:pt idx="8">
                  <c:v>0.92</c:v>
                </c:pt>
                <c:pt idx="9">
                  <c:v>0.82</c:v>
                </c:pt>
                <c:pt idx="10">
                  <c:v>0.77</c:v>
                </c:pt>
                <c:pt idx="11">
                  <c:v>0.64</c:v>
                </c:pt>
                <c:pt idx="12">
                  <c:v>0.31</c:v>
                </c:pt>
                <c:pt idx="13">
                  <c:v>1.02</c:v>
                </c:pt>
                <c:pt idx="14">
                  <c:v>0.16</c:v>
                </c:pt>
                <c:pt idx="15">
                  <c:v>0.28000000000000003</c:v>
                </c:pt>
                <c:pt idx="16">
                  <c:v>0.56999999999999995</c:v>
                </c:pt>
                <c:pt idx="17">
                  <c:v>0.4</c:v>
                </c:pt>
                <c:pt idx="18">
                  <c:v>1</c:v>
                </c:pt>
                <c:pt idx="19">
                  <c:v>1.24</c:v>
                </c:pt>
                <c:pt idx="20">
                  <c:v>1.67</c:v>
                </c:pt>
                <c:pt idx="21">
                  <c:v>0.17</c:v>
                </c:pt>
                <c:pt idx="22">
                  <c:v>0.05</c:v>
                </c:pt>
                <c:pt idx="23">
                  <c:v>0.24</c:v>
                </c:pt>
                <c:pt idx="24">
                  <c:v>0.19</c:v>
                </c:pt>
                <c:pt idx="25">
                  <c:v>0.39</c:v>
                </c:pt>
                <c:pt idx="26">
                  <c:v>1.02</c:v>
                </c:pt>
                <c:pt idx="27">
                  <c:v>0.62</c:v>
                </c:pt>
                <c:pt idx="28">
                  <c:v>0.2</c:v>
                </c:pt>
                <c:pt idx="29">
                  <c:v>0.06</c:v>
                </c:pt>
                <c:pt idx="30">
                  <c:v>0.04</c:v>
                </c:pt>
                <c:pt idx="31">
                  <c:v>1</c:v>
                </c:pt>
                <c:pt idx="32">
                  <c:v>1.61</c:v>
                </c:pt>
                <c:pt idx="33">
                  <c:v>1.01</c:v>
                </c:pt>
                <c:pt idx="34">
                  <c:v>1.42</c:v>
                </c:pt>
                <c:pt idx="35">
                  <c:v>1.38</c:v>
                </c:pt>
              </c:numCache>
            </c:numRef>
          </c:yVal>
          <c:smooth val="0"/>
          <c:extLst>
            <c:ext xmlns:c16="http://schemas.microsoft.com/office/drawing/2014/chart" uri="{C3380CC4-5D6E-409C-BE32-E72D297353CC}">
              <c16:uniqueId val="{00000001-27AF-468A-9B6A-1623F969D35D}"/>
            </c:ext>
          </c:extLst>
        </c:ser>
        <c:ser>
          <c:idx val="3"/>
          <c:order val="2"/>
          <c:tx>
            <c:v>W (m)</c:v>
          </c:tx>
          <c:spPr>
            <a:ln w="9525" cap="rnd">
              <a:solidFill>
                <a:srgbClr val="92D050"/>
              </a:solidFill>
              <a:round/>
            </a:ln>
            <a:effectLst/>
          </c:spPr>
          <c:marker>
            <c:symbol val="plus"/>
            <c:size val="3"/>
            <c:spPr>
              <a:solidFill>
                <a:srgbClr val="92D050"/>
              </a:solidFill>
              <a:ln w="9525">
                <a:solidFill>
                  <a:srgbClr val="92D050"/>
                </a:solidFill>
              </a:ln>
              <a:effectLst/>
            </c:spPr>
          </c:marker>
          <c:xVal>
            <c:numRef>
              <c:f>Dry!$I$2:$I$37</c:f>
              <c:numCache>
                <c:formatCode>General</c:formatCode>
                <c:ptCount val="36"/>
                <c:pt idx="0">
                  <c:v>2359.89</c:v>
                </c:pt>
                <c:pt idx="1">
                  <c:v>2321.59</c:v>
                </c:pt>
                <c:pt idx="2">
                  <c:v>2290.59</c:v>
                </c:pt>
                <c:pt idx="3">
                  <c:v>2260.29</c:v>
                </c:pt>
                <c:pt idx="4">
                  <c:v>2208.39</c:v>
                </c:pt>
                <c:pt idx="5">
                  <c:v>2122.89</c:v>
                </c:pt>
                <c:pt idx="6">
                  <c:v>1964.89</c:v>
                </c:pt>
                <c:pt idx="7">
                  <c:v>1831.39</c:v>
                </c:pt>
                <c:pt idx="8">
                  <c:v>1755.59</c:v>
                </c:pt>
                <c:pt idx="9">
                  <c:v>1681.59</c:v>
                </c:pt>
                <c:pt idx="10">
                  <c:v>1631.39</c:v>
                </c:pt>
                <c:pt idx="11">
                  <c:v>1564.99</c:v>
                </c:pt>
                <c:pt idx="12">
                  <c:v>1487.59</c:v>
                </c:pt>
                <c:pt idx="13">
                  <c:v>1418.59</c:v>
                </c:pt>
                <c:pt idx="14">
                  <c:v>1365.79</c:v>
                </c:pt>
                <c:pt idx="15">
                  <c:v>1179.19</c:v>
                </c:pt>
                <c:pt idx="16">
                  <c:v>1001.19</c:v>
                </c:pt>
                <c:pt idx="17">
                  <c:v>955.89</c:v>
                </c:pt>
                <c:pt idx="18">
                  <c:v>909.49</c:v>
                </c:pt>
                <c:pt idx="19">
                  <c:v>754.1</c:v>
                </c:pt>
                <c:pt idx="20">
                  <c:v>673.4</c:v>
                </c:pt>
                <c:pt idx="21">
                  <c:v>558</c:v>
                </c:pt>
                <c:pt idx="22">
                  <c:v>455.6</c:v>
                </c:pt>
                <c:pt idx="23">
                  <c:v>434.1</c:v>
                </c:pt>
                <c:pt idx="24">
                  <c:v>413.7</c:v>
                </c:pt>
                <c:pt idx="25">
                  <c:v>393</c:v>
                </c:pt>
                <c:pt idx="26">
                  <c:v>357.5</c:v>
                </c:pt>
                <c:pt idx="27">
                  <c:v>324</c:v>
                </c:pt>
                <c:pt idx="28">
                  <c:v>295.5</c:v>
                </c:pt>
                <c:pt idx="29">
                  <c:v>273.3</c:v>
                </c:pt>
                <c:pt idx="30">
                  <c:v>242</c:v>
                </c:pt>
                <c:pt idx="31">
                  <c:v>180.6</c:v>
                </c:pt>
                <c:pt idx="32">
                  <c:v>123.6</c:v>
                </c:pt>
                <c:pt idx="33">
                  <c:v>81</c:v>
                </c:pt>
                <c:pt idx="34">
                  <c:v>32.799999999999997</c:v>
                </c:pt>
                <c:pt idx="35">
                  <c:v>0</c:v>
                </c:pt>
              </c:numCache>
            </c:numRef>
          </c:xVal>
          <c:yVal>
            <c:numRef>
              <c:f>Dry!$E$2:$E$37</c:f>
              <c:numCache>
                <c:formatCode>General</c:formatCode>
                <c:ptCount val="36"/>
                <c:pt idx="0">
                  <c:v>3.5</c:v>
                </c:pt>
                <c:pt idx="1">
                  <c:v>3.88</c:v>
                </c:pt>
                <c:pt idx="2">
                  <c:v>2.79</c:v>
                </c:pt>
                <c:pt idx="3">
                  <c:v>2.6</c:v>
                </c:pt>
                <c:pt idx="4">
                  <c:v>3.48</c:v>
                </c:pt>
                <c:pt idx="5">
                  <c:v>4.0599999999999996</c:v>
                </c:pt>
                <c:pt idx="6">
                  <c:v>5.03</c:v>
                </c:pt>
                <c:pt idx="7">
                  <c:v>4.63</c:v>
                </c:pt>
                <c:pt idx="8">
                  <c:v>4.6100000000000003</c:v>
                </c:pt>
                <c:pt idx="9">
                  <c:v>2.96</c:v>
                </c:pt>
                <c:pt idx="10">
                  <c:v>3.05</c:v>
                </c:pt>
                <c:pt idx="11">
                  <c:v>3.98</c:v>
                </c:pt>
                <c:pt idx="12">
                  <c:v>5.41</c:v>
                </c:pt>
                <c:pt idx="13">
                  <c:v>5.08</c:v>
                </c:pt>
                <c:pt idx="14">
                  <c:v>4.2699999999999996</c:v>
                </c:pt>
                <c:pt idx="15">
                  <c:v>3.98</c:v>
                </c:pt>
                <c:pt idx="16">
                  <c:v>5.21</c:v>
                </c:pt>
                <c:pt idx="17">
                  <c:v>5.0599999999999996</c:v>
                </c:pt>
                <c:pt idx="18">
                  <c:v>3.65</c:v>
                </c:pt>
                <c:pt idx="19">
                  <c:v>3.97</c:v>
                </c:pt>
                <c:pt idx="20">
                  <c:v>3.18</c:v>
                </c:pt>
                <c:pt idx="21">
                  <c:v>2.8</c:v>
                </c:pt>
                <c:pt idx="22">
                  <c:v>2.46</c:v>
                </c:pt>
                <c:pt idx="23">
                  <c:v>2.81</c:v>
                </c:pt>
                <c:pt idx="24">
                  <c:v>3.3</c:v>
                </c:pt>
                <c:pt idx="25">
                  <c:v>2.79</c:v>
                </c:pt>
                <c:pt idx="26">
                  <c:v>3.03</c:v>
                </c:pt>
                <c:pt idx="27">
                  <c:v>3.8</c:v>
                </c:pt>
                <c:pt idx="28">
                  <c:v>3.94</c:v>
                </c:pt>
                <c:pt idx="29">
                  <c:v>4.9400000000000004</c:v>
                </c:pt>
                <c:pt idx="30">
                  <c:v>4.75</c:v>
                </c:pt>
                <c:pt idx="31">
                  <c:v>4.92</c:v>
                </c:pt>
                <c:pt idx="32">
                  <c:v>4.41</c:v>
                </c:pt>
                <c:pt idx="33">
                  <c:v>4.45</c:v>
                </c:pt>
                <c:pt idx="34">
                  <c:v>3.43</c:v>
                </c:pt>
                <c:pt idx="35">
                  <c:v>3.65</c:v>
                </c:pt>
              </c:numCache>
            </c:numRef>
          </c:yVal>
          <c:smooth val="0"/>
          <c:extLst>
            <c:ext xmlns:c16="http://schemas.microsoft.com/office/drawing/2014/chart" uri="{C3380CC4-5D6E-409C-BE32-E72D297353CC}">
              <c16:uniqueId val="{00000002-27AF-468A-9B6A-1623F969D35D}"/>
            </c:ext>
          </c:extLst>
        </c:ser>
        <c:ser>
          <c:idx val="2"/>
          <c:order val="3"/>
          <c:tx>
            <c:v>H (m)</c:v>
          </c:tx>
          <c:spPr>
            <a:ln w="9525" cap="rnd">
              <a:solidFill>
                <a:srgbClr val="FF0000"/>
              </a:solidFill>
              <a:round/>
            </a:ln>
            <a:effectLst/>
          </c:spPr>
          <c:marker>
            <c:symbol val="triangle"/>
            <c:size val="3"/>
            <c:spPr>
              <a:solidFill>
                <a:srgbClr val="FF0000"/>
              </a:solidFill>
              <a:ln w="9525">
                <a:solidFill>
                  <a:srgbClr val="FF0000"/>
                </a:solidFill>
              </a:ln>
              <a:effectLst/>
            </c:spPr>
          </c:marker>
          <c:xVal>
            <c:numRef>
              <c:f>Dry!$I$2:$I$37</c:f>
              <c:numCache>
                <c:formatCode>General</c:formatCode>
                <c:ptCount val="36"/>
                <c:pt idx="0">
                  <c:v>2359.89</c:v>
                </c:pt>
                <c:pt idx="1">
                  <c:v>2321.59</c:v>
                </c:pt>
                <c:pt idx="2">
                  <c:v>2290.59</c:v>
                </c:pt>
                <c:pt idx="3">
                  <c:v>2260.29</c:v>
                </c:pt>
                <c:pt idx="4">
                  <c:v>2208.39</c:v>
                </c:pt>
                <c:pt idx="5">
                  <c:v>2122.89</c:v>
                </c:pt>
                <c:pt idx="6">
                  <c:v>1964.89</c:v>
                </c:pt>
                <c:pt idx="7">
                  <c:v>1831.39</c:v>
                </c:pt>
                <c:pt idx="8">
                  <c:v>1755.59</c:v>
                </c:pt>
                <c:pt idx="9">
                  <c:v>1681.59</c:v>
                </c:pt>
                <c:pt idx="10">
                  <c:v>1631.39</c:v>
                </c:pt>
                <c:pt idx="11">
                  <c:v>1564.99</c:v>
                </c:pt>
                <c:pt idx="12">
                  <c:v>1487.59</c:v>
                </c:pt>
                <c:pt idx="13">
                  <c:v>1418.59</c:v>
                </c:pt>
                <c:pt idx="14">
                  <c:v>1365.79</c:v>
                </c:pt>
                <c:pt idx="15">
                  <c:v>1179.19</c:v>
                </c:pt>
                <c:pt idx="16">
                  <c:v>1001.19</c:v>
                </c:pt>
                <c:pt idx="17">
                  <c:v>955.89</c:v>
                </c:pt>
                <c:pt idx="18">
                  <c:v>909.49</c:v>
                </c:pt>
                <c:pt idx="19">
                  <c:v>754.1</c:v>
                </c:pt>
                <c:pt idx="20">
                  <c:v>673.4</c:v>
                </c:pt>
                <c:pt idx="21">
                  <c:v>558</c:v>
                </c:pt>
                <c:pt idx="22">
                  <c:v>455.6</c:v>
                </c:pt>
                <c:pt idx="23">
                  <c:v>434.1</c:v>
                </c:pt>
                <c:pt idx="24">
                  <c:v>413.7</c:v>
                </c:pt>
                <c:pt idx="25">
                  <c:v>393</c:v>
                </c:pt>
                <c:pt idx="26">
                  <c:v>357.5</c:v>
                </c:pt>
                <c:pt idx="27">
                  <c:v>324</c:v>
                </c:pt>
                <c:pt idx="28">
                  <c:v>295.5</c:v>
                </c:pt>
                <c:pt idx="29">
                  <c:v>273.3</c:v>
                </c:pt>
                <c:pt idx="30">
                  <c:v>242</c:v>
                </c:pt>
                <c:pt idx="31">
                  <c:v>180.6</c:v>
                </c:pt>
                <c:pt idx="32">
                  <c:v>123.6</c:v>
                </c:pt>
                <c:pt idx="33">
                  <c:v>81</c:v>
                </c:pt>
                <c:pt idx="34">
                  <c:v>32.799999999999997</c:v>
                </c:pt>
                <c:pt idx="35">
                  <c:v>0</c:v>
                </c:pt>
              </c:numCache>
            </c:numRef>
          </c:xVal>
          <c:yVal>
            <c:numRef>
              <c:f>Dry!$H$2:$H$37</c:f>
              <c:numCache>
                <c:formatCode>General</c:formatCode>
                <c:ptCount val="36"/>
                <c:pt idx="0">
                  <c:v>0.08</c:v>
                </c:pt>
                <c:pt idx="1">
                  <c:v>0.1</c:v>
                </c:pt>
                <c:pt idx="2">
                  <c:v>0.09</c:v>
                </c:pt>
                <c:pt idx="3">
                  <c:v>7.0000000000000007E-2</c:v>
                </c:pt>
                <c:pt idx="4">
                  <c:v>0.17</c:v>
                </c:pt>
                <c:pt idx="5">
                  <c:v>0.08</c:v>
                </c:pt>
                <c:pt idx="6">
                  <c:v>0.23</c:v>
                </c:pt>
                <c:pt idx="7">
                  <c:v>0.09</c:v>
                </c:pt>
                <c:pt idx="8">
                  <c:v>0.08</c:v>
                </c:pt>
                <c:pt idx="9">
                  <c:v>0.12</c:v>
                </c:pt>
                <c:pt idx="10">
                  <c:v>0.13</c:v>
                </c:pt>
                <c:pt idx="11">
                  <c:v>0.12</c:v>
                </c:pt>
                <c:pt idx="12">
                  <c:v>0.17</c:v>
                </c:pt>
                <c:pt idx="13">
                  <c:v>0.08</c:v>
                </c:pt>
                <c:pt idx="14">
                  <c:v>0.33</c:v>
                </c:pt>
                <c:pt idx="15">
                  <c:v>0.24</c:v>
                </c:pt>
                <c:pt idx="16">
                  <c:v>0.13</c:v>
                </c:pt>
                <c:pt idx="17">
                  <c:v>0.17</c:v>
                </c:pt>
                <c:pt idx="18">
                  <c:v>0.11</c:v>
                </c:pt>
                <c:pt idx="19">
                  <c:v>0.09</c:v>
                </c:pt>
                <c:pt idx="20">
                  <c:v>0.09</c:v>
                </c:pt>
                <c:pt idx="21">
                  <c:v>0.46</c:v>
                </c:pt>
                <c:pt idx="22">
                  <c:v>1.18</c:v>
                </c:pt>
                <c:pt idx="23">
                  <c:v>0.38</c:v>
                </c:pt>
                <c:pt idx="24">
                  <c:v>0.41</c:v>
                </c:pt>
                <c:pt idx="25">
                  <c:v>0.28000000000000003</c:v>
                </c:pt>
                <c:pt idx="26">
                  <c:v>0.14000000000000001</c:v>
                </c:pt>
                <c:pt idx="27">
                  <c:v>0.17</c:v>
                </c:pt>
                <c:pt idx="28">
                  <c:v>0.35</c:v>
                </c:pt>
                <c:pt idx="29">
                  <c:v>0.64</c:v>
                </c:pt>
                <c:pt idx="30">
                  <c:v>0.88</c:v>
                </c:pt>
                <c:pt idx="31">
                  <c:v>0.1</c:v>
                </c:pt>
                <c:pt idx="32">
                  <c:v>0.08</c:v>
                </c:pt>
                <c:pt idx="33">
                  <c:v>0.11</c:v>
                </c:pt>
                <c:pt idx="34">
                  <c:v>0.1</c:v>
                </c:pt>
                <c:pt idx="35">
                  <c:v>0.1</c:v>
                </c:pt>
              </c:numCache>
            </c:numRef>
          </c:yVal>
          <c:smooth val="0"/>
          <c:extLst>
            <c:ext xmlns:c16="http://schemas.microsoft.com/office/drawing/2014/chart" uri="{C3380CC4-5D6E-409C-BE32-E72D297353CC}">
              <c16:uniqueId val="{00000003-27AF-468A-9B6A-1623F969D35D}"/>
            </c:ext>
          </c:extLst>
        </c:ser>
        <c:ser>
          <c:idx val="4"/>
          <c:order val="4"/>
          <c:tx>
            <c:v>Q river (cms)</c:v>
          </c:tx>
          <c:spPr>
            <a:ln w="9525" cap="rnd">
              <a:solidFill>
                <a:srgbClr val="00B0F0"/>
              </a:solidFill>
              <a:round/>
            </a:ln>
            <a:effectLst/>
          </c:spPr>
          <c:marker>
            <c:symbol val="diamond"/>
            <c:size val="3"/>
            <c:spPr>
              <a:solidFill>
                <a:srgbClr val="00B0F0"/>
              </a:solidFill>
              <a:ln w="9525">
                <a:solidFill>
                  <a:srgbClr val="00B0F0"/>
                </a:solidFill>
              </a:ln>
              <a:effectLst/>
            </c:spPr>
          </c:marker>
          <c:xVal>
            <c:numRef>
              <c:f>Dry!$I$2:$I$37</c:f>
              <c:numCache>
                <c:formatCode>General</c:formatCode>
                <c:ptCount val="36"/>
                <c:pt idx="0">
                  <c:v>2359.89</c:v>
                </c:pt>
                <c:pt idx="1">
                  <c:v>2321.59</c:v>
                </c:pt>
                <c:pt idx="2">
                  <c:v>2290.59</c:v>
                </c:pt>
                <c:pt idx="3">
                  <c:v>2260.29</c:v>
                </c:pt>
                <c:pt idx="4">
                  <c:v>2208.39</c:v>
                </c:pt>
                <c:pt idx="5">
                  <c:v>2122.89</c:v>
                </c:pt>
                <c:pt idx="6">
                  <c:v>1964.89</c:v>
                </c:pt>
                <c:pt idx="7">
                  <c:v>1831.39</c:v>
                </c:pt>
                <c:pt idx="8">
                  <c:v>1755.59</c:v>
                </c:pt>
                <c:pt idx="9">
                  <c:v>1681.59</c:v>
                </c:pt>
                <c:pt idx="10">
                  <c:v>1631.39</c:v>
                </c:pt>
                <c:pt idx="11">
                  <c:v>1564.99</c:v>
                </c:pt>
                <c:pt idx="12">
                  <c:v>1487.59</c:v>
                </c:pt>
                <c:pt idx="13">
                  <c:v>1418.59</c:v>
                </c:pt>
                <c:pt idx="14">
                  <c:v>1365.79</c:v>
                </c:pt>
                <c:pt idx="15">
                  <c:v>1179.19</c:v>
                </c:pt>
                <c:pt idx="16">
                  <c:v>1001.19</c:v>
                </c:pt>
                <c:pt idx="17">
                  <c:v>955.89</c:v>
                </c:pt>
                <c:pt idx="18">
                  <c:v>909.49</c:v>
                </c:pt>
                <c:pt idx="19">
                  <c:v>754.1</c:v>
                </c:pt>
                <c:pt idx="20">
                  <c:v>673.4</c:v>
                </c:pt>
                <c:pt idx="21">
                  <c:v>558</c:v>
                </c:pt>
                <c:pt idx="22">
                  <c:v>455.6</c:v>
                </c:pt>
                <c:pt idx="23">
                  <c:v>434.1</c:v>
                </c:pt>
                <c:pt idx="24">
                  <c:v>413.7</c:v>
                </c:pt>
                <c:pt idx="25">
                  <c:v>393</c:v>
                </c:pt>
                <c:pt idx="26">
                  <c:v>357.5</c:v>
                </c:pt>
                <c:pt idx="27">
                  <c:v>324</c:v>
                </c:pt>
                <c:pt idx="28">
                  <c:v>295.5</c:v>
                </c:pt>
                <c:pt idx="29">
                  <c:v>273.3</c:v>
                </c:pt>
                <c:pt idx="30">
                  <c:v>242</c:v>
                </c:pt>
                <c:pt idx="31">
                  <c:v>180.6</c:v>
                </c:pt>
                <c:pt idx="32">
                  <c:v>123.6</c:v>
                </c:pt>
                <c:pt idx="33">
                  <c:v>81</c:v>
                </c:pt>
                <c:pt idx="34">
                  <c:v>32.799999999999997</c:v>
                </c:pt>
                <c:pt idx="35">
                  <c:v>0</c:v>
                </c:pt>
              </c:numCache>
            </c:numRef>
          </c:xVal>
          <c:yVal>
            <c:numRef>
              <c:f>Dry!$J$2:$J$37</c:f>
              <c:numCache>
                <c:formatCode>General</c:formatCode>
                <c:ptCount val="36"/>
                <c:pt idx="0">
                  <c:v>0.25</c:v>
                </c:pt>
                <c:pt idx="1">
                  <c:v>0.25</c:v>
                </c:pt>
                <c:pt idx="2">
                  <c:v>0.25</c:v>
                </c:pt>
                <c:pt idx="3">
                  <c:v>0.25</c:v>
                </c:pt>
                <c:pt idx="4">
                  <c:v>0.26</c:v>
                </c:pt>
                <c:pt idx="5">
                  <c:v>0.28000000000000003</c:v>
                </c:pt>
                <c:pt idx="6">
                  <c:v>0.31</c:v>
                </c:pt>
                <c:pt idx="7">
                  <c:v>0.31</c:v>
                </c:pt>
                <c:pt idx="8">
                  <c:v>0.31</c:v>
                </c:pt>
                <c:pt idx="9">
                  <c:v>0.31</c:v>
                </c:pt>
                <c:pt idx="10">
                  <c:v>0.34</c:v>
                </c:pt>
                <c:pt idx="11">
                  <c:v>0.35</c:v>
                </c:pt>
                <c:pt idx="12">
                  <c:v>0.36</c:v>
                </c:pt>
                <c:pt idx="13">
                  <c:v>0.36</c:v>
                </c:pt>
                <c:pt idx="14">
                  <c:v>0.4</c:v>
                </c:pt>
                <c:pt idx="15">
                  <c:v>0.41</c:v>
                </c:pt>
                <c:pt idx="16">
                  <c:v>0.42</c:v>
                </c:pt>
                <c:pt idx="17">
                  <c:v>0.44</c:v>
                </c:pt>
                <c:pt idx="18">
                  <c:v>0.44</c:v>
                </c:pt>
                <c:pt idx="19">
                  <c:v>0.45</c:v>
                </c:pt>
                <c:pt idx="20">
                  <c:v>0.46</c:v>
                </c:pt>
                <c:pt idx="21">
                  <c:v>0.47</c:v>
                </c:pt>
                <c:pt idx="22">
                  <c:v>0.48</c:v>
                </c:pt>
                <c:pt idx="23">
                  <c:v>0.5</c:v>
                </c:pt>
                <c:pt idx="24">
                  <c:v>0.51</c:v>
                </c:pt>
                <c:pt idx="25">
                  <c:v>0.51</c:v>
                </c:pt>
                <c:pt idx="26">
                  <c:v>0.51</c:v>
                </c:pt>
                <c:pt idx="27">
                  <c:v>0.51</c:v>
                </c:pt>
                <c:pt idx="28">
                  <c:v>0.51</c:v>
                </c:pt>
                <c:pt idx="29">
                  <c:v>0.51</c:v>
                </c:pt>
                <c:pt idx="30">
                  <c:v>0.51</c:v>
                </c:pt>
                <c:pt idx="31">
                  <c:v>0.51</c:v>
                </c:pt>
                <c:pt idx="32">
                  <c:v>0.51</c:v>
                </c:pt>
                <c:pt idx="33">
                  <c:v>0.51</c:v>
                </c:pt>
                <c:pt idx="34">
                  <c:v>0.51</c:v>
                </c:pt>
                <c:pt idx="35">
                  <c:v>0.51</c:v>
                </c:pt>
              </c:numCache>
            </c:numRef>
          </c:yVal>
          <c:smooth val="0"/>
          <c:extLst>
            <c:ext xmlns:c16="http://schemas.microsoft.com/office/drawing/2014/chart" uri="{C3380CC4-5D6E-409C-BE32-E72D297353CC}">
              <c16:uniqueId val="{00000004-27AF-468A-9B6A-1623F969D35D}"/>
            </c:ext>
          </c:extLst>
        </c:ser>
        <c:dLbls>
          <c:showLegendKey val="0"/>
          <c:showVal val="0"/>
          <c:showCatName val="0"/>
          <c:showSerName val="0"/>
          <c:showPercent val="0"/>
          <c:showBubbleSize val="0"/>
        </c:dLbls>
        <c:axId val="1780078976"/>
        <c:axId val="1780079936"/>
      </c:scatterChart>
      <c:valAx>
        <c:axId val="1780078976"/>
        <c:scaling>
          <c:orientation val="minMax"/>
          <c:max val="236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GB"/>
                  <a:t>Distance from Downstream (m)</a:t>
                </a:r>
              </a:p>
            </c:rich>
          </c:tx>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780079936"/>
        <c:crosses val="autoZero"/>
        <c:crossBetween val="midCat"/>
      </c:valAx>
      <c:valAx>
        <c:axId val="17800799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GB"/>
                  <a:t>Hydraulic Parameter Generated </a:t>
                </a:r>
              </a:p>
            </c:rich>
          </c:tx>
          <c:overlay val="0"/>
          <c:spPr>
            <a:noFill/>
            <a:ln>
              <a:noFill/>
            </a:ln>
            <a:effectLst/>
          </c:spPr>
          <c:txPr>
            <a:bodyPr rot="-540000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780078976"/>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700">
          <a:latin typeface="Arial" panose="020B0604020202020204" pitchFamily="34" charset="0"/>
          <a:cs typeface="Arial" panose="020B0604020202020204" pitchFamily="34" charset="0"/>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07921971443157"/>
          <c:y val="4.6926325668700142E-2"/>
          <c:w val="0.7785201800659004"/>
          <c:h val="0.55616711683916098"/>
        </c:manualLayout>
      </c:layout>
      <c:scatterChart>
        <c:scatterStyle val="lineMarker"/>
        <c:varyColors val="0"/>
        <c:ser>
          <c:idx val="0"/>
          <c:order val="0"/>
          <c:tx>
            <c:v>DO</c:v>
          </c:tx>
          <c:spPr>
            <a:ln w="12700" cap="rnd">
              <a:solidFill>
                <a:schemeClr val="tx1"/>
              </a:solidFill>
              <a:round/>
            </a:ln>
            <a:effectLst/>
          </c:spPr>
          <c:marker>
            <c:symbol val="circle"/>
            <c:size val="2"/>
            <c:spPr>
              <a:solidFill>
                <a:schemeClr val="tx1"/>
              </a:solidFill>
              <a:ln w="12700">
                <a:solidFill>
                  <a:schemeClr val="tx1"/>
                </a:solidFill>
              </a:ln>
              <a:effectLst/>
            </c:spPr>
          </c:marker>
          <c:xVal>
            <c:numRef>
              <c:f>'DO_Scenario 2 Rainy'!$B$3:$B$38</c:f>
              <c:numCache>
                <c:formatCode>General</c:formatCode>
                <c:ptCount val="36"/>
                <c:pt idx="0">
                  <c:v>2359.89</c:v>
                </c:pt>
                <c:pt idx="1">
                  <c:v>2321.59</c:v>
                </c:pt>
                <c:pt idx="2">
                  <c:v>2290.59</c:v>
                </c:pt>
                <c:pt idx="3">
                  <c:v>2260.29</c:v>
                </c:pt>
                <c:pt idx="4">
                  <c:v>2208.39</c:v>
                </c:pt>
                <c:pt idx="5">
                  <c:v>2122.89</c:v>
                </c:pt>
                <c:pt idx="6">
                  <c:v>1964.89</c:v>
                </c:pt>
                <c:pt idx="7">
                  <c:v>1831.39</c:v>
                </c:pt>
                <c:pt idx="8">
                  <c:v>1755.59</c:v>
                </c:pt>
                <c:pt idx="9">
                  <c:v>1681.59</c:v>
                </c:pt>
                <c:pt idx="10">
                  <c:v>1631.39</c:v>
                </c:pt>
                <c:pt idx="11">
                  <c:v>1564.99</c:v>
                </c:pt>
                <c:pt idx="12">
                  <c:v>1487.59</c:v>
                </c:pt>
                <c:pt idx="13">
                  <c:v>1418.59</c:v>
                </c:pt>
                <c:pt idx="14">
                  <c:v>1365.79</c:v>
                </c:pt>
                <c:pt idx="15">
                  <c:v>1179.19</c:v>
                </c:pt>
                <c:pt idx="16">
                  <c:v>1001.19</c:v>
                </c:pt>
                <c:pt idx="17">
                  <c:v>955.89</c:v>
                </c:pt>
                <c:pt idx="18">
                  <c:v>909.49</c:v>
                </c:pt>
                <c:pt idx="19">
                  <c:v>754.1</c:v>
                </c:pt>
                <c:pt idx="20">
                  <c:v>673.4</c:v>
                </c:pt>
                <c:pt idx="21">
                  <c:v>558</c:v>
                </c:pt>
                <c:pt idx="22">
                  <c:v>455.6</c:v>
                </c:pt>
                <c:pt idx="23">
                  <c:v>434.1</c:v>
                </c:pt>
                <c:pt idx="24">
                  <c:v>413.7</c:v>
                </c:pt>
                <c:pt idx="25">
                  <c:v>393</c:v>
                </c:pt>
                <c:pt idx="26">
                  <c:v>357.5</c:v>
                </c:pt>
                <c:pt idx="27">
                  <c:v>324</c:v>
                </c:pt>
                <c:pt idx="28">
                  <c:v>295.5</c:v>
                </c:pt>
                <c:pt idx="29">
                  <c:v>273.3</c:v>
                </c:pt>
                <c:pt idx="30">
                  <c:v>242</c:v>
                </c:pt>
                <c:pt idx="31">
                  <c:v>180.6</c:v>
                </c:pt>
                <c:pt idx="32">
                  <c:v>123.6</c:v>
                </c:pt>
                <c:pt idx="33">
                  <c:v>81</c:v>
                </c:pt>
                <c:pt idx="34">
                  <c:v>32.799999999999997</c:v>
                </c:pt>
                <c:pt idx="35">
                  <c:v>0</c:v>
                </c:pt>
              </c:numCache>
            </c:numRef>
          </c:xVal>
          <c:yVal>
            <c:numRef>
              <c:f>'DO_Scenario 2 Rainy'!$DD$3:$DD$38</c:f>
              <c:numCache>
                <c:formatCode>General</c:formatCode>
                <c:ptCount val="36"/>
                <c:pt idx="0">
                  <c:v>3</c:v>
                </c:pt>
                <c:pt idx="1">
                  <c:v>3.0345023808101601</c:v>
                </c:pt>
                <c:pt idx="2">
                  <c:v>3.0118981635910802</c:v>
                </c:pt>
                <c:pt idx="3">
                  <c:v>2.9674102704820702</c:v>
                </c:pt>
                <c:pt idx="4">
                  <c:v>2.6703802363664</c:v>
                </c:pt>
                <c:pt idx="5">
                  <c:v>2.023872971856</c:v>
                </c:pt>
                <c:pt idx="6">
                  <c:v>2.3899920007820601</c:v>
                </c:pt>
                <c:pt idx="7">
                  <c:v>2.3988911856070398</c:v>
                </c:pt>
                <c:pt idx="8">
                  <c:v>2.3840254943783399</c:v>
                </c:pt>
                <c:pt idx="9">
                  <c:v>2.4367060556298101</c:v>
                </c:pt>
                <c:pt idx="10">
                  <c:v>2.4953505194518599</c:v>
                </c:pt>
                <c:pt idx="11">
                  <c:v>2.38010093795774</c:v>
                </c:pt>
                <c:pt idx="12">
                  <c:v>2.2694911638440498</c:v>
                </c:pt>
                <c:pt idx="13">
                  <c:v>2.2337997964190701</c:v>
                </c:pt>
                <c:pt idx="14">
                  <c:v>2.8866024414969802</c:v>
                </c:pt>
                <c:pt idx="15">
                  <c:v>2.6448033255980801</c:v>
                </c:pt>
                <c:pt idx="16">
                  <c:v>2.58302170628806</c:v>
                </c:pt>
                <c:pt idx="17">
                  <c:v>2.59844180946908</c:v>
                </c:pt>
                <c:pt idx="18">
                  <c:v>2.3889873411701998</c:v>
                </c:pt>
                <c:pt idx="19">
                  <c:v>2.19112282566546</c:v>
                </c:pt>
                <c:pt idx="20">
                  <c:v>1.9930924415189799</c:v>
                </c:pt>
                <c:pt idx="21">
                  <c:v>2.1877870531850099</c:v>
                </c:pt>
                <c:pt idx="22">
                  <c:v>2.2486657179046601</c:v>
                </c:pt>
                <c:pt idx="23">
                  <c:v>2.2819844060317198</c:v>
                </c:pt>
                <c:pt idx="24">
                  <c:v>2.3280027220117701</c:v>
                </c:pt>
                <c:pt idx="25">
                  <c:v>2.4167244171795299</c:v>
                </c:pt>
                <c:pt idx="26">
                  <c:v>2.3927024632629799</c:v>
                </c:pt>
                <c:pt idx="27">
                  <c:v>2.4552881025851501</c:v>
                </c:pt>
                <c:pt idx="28">
                  <c:v>2.5963285602665098</c:v>
                </c:pt>
                <c:pt idx="29">
                  <c:v>2.8501791899821498</c:v>
                </c:pt>
                <c:pt idx="30">
                  <c:v>3.1264025350131699</c:v>
                </c:pt>
                <c:pt idx="31">
                  <c:v>3.0365005765779598</c:v>
                </c:pt>
                <c:pt idx="32">
                  <c:v>2.9729955510970698</c:v>
                </c:pt>
                <c:pt idx="33">
                  <c:v>2.9026416590342898</c:v>
                </c:pt>
                <c:pt idx="34">
                  <c:v>2.8676754200338599</c:v>
                </c:pt>
                <c:pt idx="35">
                  <c:v>2.8676754882768001</c:v>
                </c:pt>
              </c:numCache>
            </c:numRef>
          </c:yVal>
          <c:smooth val="0"/>
          <c:extLst>
            <c:ext xmlns:c16="http://schemas.microsoft.com/office/drawing/2014/chart" uri="{C3380CC4-5D6E-409C-BE32-E72D297353CC}">
              <c16:uniqueId val="{00000000-A192-4FBB-994C-421739AD816D}"/>
            </c:ext>
          </c:extLst>
        </c:ser>
        <c:ser>
          <c:idx val="1"/>
          <c:order val="1"/>
          <c:tx>
            <c:v>Class 1</c:v>
          </c:tx>
          <c:spPr>
            <a:ln w="19050" cap="rnd">
              <a:solidFill>
                <a:srgbClr val="92D050"/>
              </a:solidFill>
              <a:round/>
            </a:ln>
            <a:effectLst/>
          </c:spPr>
          <c:marker>
            <c:symbol val="none"/>
          </c:marker>
          <c:xVal>
            <c:numRef>
              <c:f>Sheet1!$N$2:$N$37</c:f>
              <c:numCache>
                <c:formatCode>General</c:formatCode>
                <c:ptCount val="36"/>
                <c:pt idx="0">
                  <c:v>2359.89</c:v>
                </c:pt>
                <c:pt idx="1">
                  <c:v>2321.59</c:v>
                </c:pt>
                <c:pt idx="2">
                  <c:v>2290.59</c:v>
                </c:pt>
                <c:pt idx="3">
                  <c:v>2260.29</c:v>
                </c:pt>
                <c:pt idx="4">
                  <c:v>2208.39</c:v>
                </c:pt>
                <c:pt idx="5">
                  <c:v>2122.89</c:v>
                </c:pt>
                <c:pt idx="6">
                  <c:v>1964.89</c:v>
                </c:pt>
                <c:pt idx="7">
                  <c:v>1831.39</c:v>
                </c:pt>
                <c:pt idx="8">
                  <c:v>1755.59</c:v>
                </c:pt>
                <c:pt idx="9">
                  <c:v>1681.59</c:v>
                </c:pt>
                <c:pt idx="10">
                  <c:v>1631.39</c:v>
                </c:pt>
                <c:pt idx="11">
                  <c:v>1564.99</c:v>
                </c:pt>
                <c:pt idx="12">
                  <c:v>1487.59</c:v>
                </c:pt>
                <c:pt idx="13">
                  <c:v>1418.59</c:v>
                </c:pt>
                <c:pt idx="14">
                  <c:v>1365.79</c:v>
                </c:pt>
                <c:pt idx="15">
                  <c:v>1179.19</c:v>
                </c:pt>
                <c:pt idx="16">
                  <c:v>1001.19</c:v>
                </c:pt>
                <c:pt idx="17">
                  <c:v>955.89</c:v>
                </c:pt>
                <c:pt idx="18">
                  <c:v>909.49</c:v>
                </c:pt>
                <c:pt idx="19">
                  <c:v>754.1</c:v>
                </c:pt>
                <c:pt idx="20">
                  <c:v>673.4</c:v>
                </c:pt>
                <c:pt idx="21">
                  <c:v>558</c:v>
                </c:pt>
                <c:pt idx="22">
                  <c:v>455.6</c:v>
                </c:pt>
                <c:pt idx="23">
                  <c:v>434.1</c:v>
                </c:pt>
                <c:pt idx="24">
                  <c:v>413.7</c:v>
                </c:pt>
                <c:pt idx="25">
                  <c:v>393</c:v>
                </c:pt>
                <c:pt idx="26">
                  <c:v>357.5</c:v>
                </c:pt>
                <c:pt idx="27">
                  <c:v>324</c:v>
                </c:pt>
                <c:pt idx="28">
                  <c:v>295.5</c:v>
                </c:pt>
                <c:pt idx="29">
                  <c:v>273.3</c:v>
                </c:pt>
                <c:pt idx="30">
                  <c:v>242</c:v>
                </c:pt>
                <c:pt idx="31">
                  <c:v>180.6</c:v>
                </c:pt>
                <c:pt idx="32">
                  <c:v>123.6</c:v>
                </c:pt>
                <c:pt idx="33">
                  <c:v>81</c:v>
                </c:pt>
                <c:pt idx="34">
                  <c:v>32.799999999999997</c:v>
                </c:pt>
                <c:pt idx="35">
                  <c:v>0</c:v>
                </c:pt>
              </c:numCache>
            </c:numRef>
          </c:xVal>
          <c:yVal>
            <c:numRef>
              <c:f>Sheet1!$O$2:$O$37</c:f>
              <c:numCache>
                <c:formatCode>General</c:formatCode>
                <c:ptCount val="36"/>
                <c:pt idx="0">
                  <c:v>6</c:v>
                </c:pt>
                <c:pt idx="1">
                  <c:v>6</c:v>
                </c:pt>
                <c:pt idx="2">
                  <c:v>6</c:v>
                </c:pt>
                <c:pt idx="3">
                  <c:v>6</c:v>
                </c:pt>
                <c:pt idx="4">
                  <c:v>6</c:v>
                </c:pt>
                <c:pt idx="5">
                  <c:v>6</c:v>
                </c:pt>
                <c:pt idx="6">
                  <c:v>6</c:v>
                </c:pt>
                <c:pt idx="7">
                  <c:v>6</c:v>
                </c:pt>
                <c:pt idx="8">
                  <c:v>6</c:v>
                </c:pt>
                <c:pt idx="9">
                  <c:v>6</c:v>
                </c:pt>
                <c:pt idx="10">
                  <c:v>6</c:v>
                </c:pt>
                <c:pt idx="11">
                  <c:v>6</c:v>
                </c:pt>
                <c:pt idx="12">
                  <c:v>6</c:v>
                </c:pt>
                <c:pt idx="13">
                  <c:v>6</c:v>
                </c:pt>
                <c:pt idx="14">
                  <c:v>6</c:v>
                </c:pt>
                <c:pt idx="15">
                  <c:v>6</c:v>
                </c:pt>
                <c:pt idx="16">
                  <c:v>6</c:v>
                </c:pt>
                <c:pt idx="17">
                  <c:v>6</c:v>
                </c:pt>
                <c:pt idx="18">
                  <c:v>6</c:v>
                </c:pt>
                <c:pt idx="19">
                  <c:v>6</c:v>
                </c:pt>
                <c:pt idx="20">
                  <c:v>6</c:v>
                </c:pt>
                <c:pt idx="21">
                  <c:v>6</c:v>
                </c:pt>
                <c:pt idx="22">
                  <c:v>6</c:v>
                </c:pt>
                <c:pt idx="23">
                  <c:v>6</c:v>
                </c:pt>
                <c:pt idx="24">
                  <c:v>6</c:v>
                </c:pt>
                <c:pt idx="25">
                  <c:v>6</c:v>
                </c:pt>
                <c:pt idx="26">
                  <c:v>6</c:v>
                </c:pt>
                <c:pt idx="27">
                  <c:v>6</c:v>
                </c:pt>
                <c:pt idx="28">
                  <c:v>6</c:v>
                </c:pt>
                <c:pt idx="29">
                  <c:v>6</c:v>
                </c:pt>
                <c:pt idx="30">
                  <c:v>6</c:v>
                </c:pt>
                <c:pt idx="31">
                  <c:v>6</c:v>
                </c:pt>
                <c:pt idx="32">
                  <c:v>6</c:v>
                </c:pt>
                <c:pt idx="33">
                  <c:v>6</c:v>
                </c:pt>
                <c:pt idx="34">
                  <c:v>6</c:v>
                </c:pt>
                <c:pt idx="35">
                  <c:v>6</c:v>
                </c:pt>
              </c:numCache>
            </c:numRef>
          </c:yVal>
          <c:smooth val="0"/>
          <c:extLst>
            <c:ext xmlns:c16="http://schemas.microsoft.com/office/drawing/2014/chart" uri="{C3380CC4-5D6E-409C-BE32-E72D297353CC}">
              <c16:uniqueId val="{00000001-A192-4FBB-994C-421739AD816D}"/>
            </c:ext>
          </c:extLst>
        </c:ser>
        <c:ser>
          <c:idx val="2"/>
          <c:order val="2"/>
          <c:tx>
            <c:v>Class 2</c:v>
          </c:tx>
          <c:spPr>
            <a:ln w="19050" cap="rnd">
              <a:solidFill>
                <a:srgbClr val="00B0F0"/>
              </a:solidFill>
              <a:round/>
            </a:ln>
            <a:effectLst/>
          </c:spPr>
          <c:marker>
            <c:symbol val="none"/>
          </c:marker>
          <c:xVal>
            <c:numRef>
              <c:f>Sheet1!$N$2:$N$37</c:f>
              <c:numCache>
                <c:formatCode>General</c:formatCode>
                <c:ptCount val="36"/>
                <c:pt idx="0">
                  <c:v>2359.89</c:v>
                </c:pt>
                <c:pt idx="1">
                  <c:v>2321.59</c:v>
                </c:pt>
                <c:pt idx="2">
                  <c:v>2290.59</c:v>
                </c:pt>
                <c:pt idx="3">
                  <c:v>2260.29</c:v>
                </c:pt>
                <c:pt idx="4">
                  <c:v>2208.39</c:v>
                </c:pt>
                <c:pt idx="5">
                  <c:v>2122.89</c:v>
                </c:pt>
                <c:pt idx="6">
                  <c:v>1964.89</c:v>
                </c:pt>
                <c:pt idx="7">
                  <c:v>1831.39</c:v>
                </c:pt>
                <c:pt idx="8">
                  <c:v>1755.59</c:v>
                </c:pt>
                <c:pt idx="9">
                  <c:v>1681.59</c:v>
                </c:pt>
                <c:pt idx="10">
                  <c:v>1631.39</c:v>
                </c:pt>
                <c:pt idx="11">
                  <c:v>1564.99</c:v>
                </c:pt>
                <c:pt idx="12">
                  <c:v>1487.59</c:v>
                </c:pt>
                <c:pt idx="13">
                  <c:v>1418.59</c:v>
                </c:pt>
                <c:pt idx="14">
                  <c:v>1365.79</c:v>
                </c:pt>
                <c:pt idx="15">
                  <c:v>1179.19</c:v>
                </c:pt>
                <c:pt idx="16">
                  <c:v>1001.19</c:v>
                </c:pt>
                <c:pt idx="17">
                  <c:v>955.89</c:v>
                </c:pt>
                <c:pt idx="18">
                  <c:v>909.49</c:v>
                </c:pt>
                <c:pt idx="19">
                  <c:v>754.1</c:v>
                </c:pt>
                <c:pt idx="20">
                  <c:v>673.4</c:v>
                </c:pt>
                <c:pt idx="21">
                  <c:v>558</c:v>
                </c:pt>
                <c:pt idx="22">
                  <c:v>455.6</c:v>
                </c:pt>
                <c:pt idx="23">
                  <c:v>434.1</c:v>
                </c:pt>
                <c:pt idx="24">
                  <c:v>413.7</c:v>
                </c:pt>
                <c:pt idx="25">
                  <c:v>393</c:v>
                </c:pt>
                <c:pt idx="26">
                  <c:v>357.5</c:v>
                </c:pt>
                <c:pt idx="27">
                  <c:v>324</c:v>
                </c:pt>
                <c:pt idx="28">
                  <c:v>295.5</c:v>
                </c:pt>
                <c:pt idx="29">
                  <c:v>273.3</c:v>
                </c:pt>
                <c:pt idx="30">
                  <c:v>242</c:v>
                </c:pt>
                <c:pt idx="31">
                  <c:v>180.6</c:v>
                </c:pt>
                <c:pt idx="32">
                  <c:v>123.6</c:v>
                </c:pt>
                <c:pt idx="33">
                  <c:v>81</c:v>
                </c:pt>
                <c:pt idx="34">
                  <c:v>32.799999999999997</c:v>
                </c:pt>
                <c:pt idx="35">
                  <c:v>0</c:v>
                </c:pt>
              </c:numCache>
            </c:numRef>
          </c:xVal>
          <c:yVal>
            <c:numRef>
              <c:f>Sheet1!$P$2:$P$37</c:f>
              <c:numCache>
                <c:formatCode>General</c:formatCode>
                <c:ptCount val="36"/>
                <c:pt idx="0">
                  <c:v>4</c:v>
                </c:pt>
                <c:pt idx="1">
                  <c:v>4</c:v>
                </c:pt>
                <c:pt idx="2">
                  <c:v>4</c:v>
                </c:pt>
                <c:pt idx="3">
                  <c:v>4</c:v>
                </c:pt>
                <c:pt idx="4">
                  <c:v>4</c:v>
                </c:pt>
                <c:pt idx="5">
                  <c:v>4</c:v>
                </c:pt>
                <c:pt idx="6">
                  <c:v>4</c:v>
                </c:pt>
                <c:pt idx="7">
                  <c:v>4</c:v>
                </c:pt>
                <c:pt idx="8">
                  <c:v>4</c:v>
                </c:pt>
                <c:pt idx="9">
                  <c:v>4</c:v>
                </c:pt>
                <c:pt idx="10">
                  <c:v>4</c:v>
                </c:pt>
                <c:pt idx="11">
                  <c:v>4</c:v>
                </c:pt>
                <c:pt idx="12">
                  <c:v>4</c:v>
                </c:pt>
                <c:pt idx="13">
                  <c:v>4</c:v>
                </c:pt>
                <c:pt idx="14">
                  <c:v>4</c:v>
                </c:pt>
                <c:pt idx="15">
                  <c:v>4</c:v>
                </c:pt>
                <c:pt idx="16">
                  <c:v>4</c:v>
                </c:pt>
                <c:pt idx="17">
                  <c:v>4</c:v>
                </c:pt>
                <c:pt idx="18">
                  <c:v>4</c:v>
                </c:pt>
                <c:pt idx="19">
                  <c:v>4</c:v>
                </c:pt>
                <c:pt idx="20">
                  <c:v>4</c:v>
                </c:pt>
                <c:pt idx="21">
                  <c:v>4</c:v>
                </c:pt>
                <c:pt idx="22">
                  <c:v>4</c:v>
                </c:pt>
                <c:pt idx="23">
                  <c:v>4</c:v>
                </c:pt>
                <c:pt idx="24">
                  <c:v>4</c:v>
                </c:pt>
                <c:pt idx="25">
                  <c:v>4</c:v>
                </c:pt>
                <c:pt idx="26">
                  <c:v>4</c:v>
                </c:pt>
                <c:pt idx="27">
                  <c:v>4</c:v>
                </c:pt>
                <c:pt idx="28">
                  <c:v>4</c:v>
                </c:pt>
                <c:pt idx="29">
                  <c:v>4</c:v>
                </c:pt>
                <c:pt idx="30">
                  <c:v>4</c:v>
                </c:pt>
                <c:pt idx="31">
                  <c:v>4</c:v>
                </c:pt>
                <c:pt idx="32">
                  <c:v>4</c:v>
                </c:pt>
                <c:pt idx="33">
                  <c:v>4</c:v>
                </c:pt>
                <c:pt idx="34">
                  <c:v>4</c:v>
                </c:pt>
                <c:pt idx="35">
                  <c:v>4</c:v>
                </c:pt>
              </c:numCache>
            </c:numRef>
          </c:yVal>
          <c:smooth val="0"/>
          <c:extLst>
            <c:ext xmlns:c16="http://schemas.microsoft.com/office/drawing/2014/chart" uri="{C3380CC4-5D6E-409C-BE32-E72D297353CC}">
              <c16:uniqueId val="{00000002-A192-4FBB-994C-421739AD816D}"/>
            </c:ext>
          </c:extLst>
        </c:ser>
        <c:ser>
          <c:idx val="3"/>
          <c:order val="3"/>
          <c:tx>
            <c:v>Class 3</c:v>
          </c:tx>
          <c:spPr>
            <a:ln w="19050" cap="rnd">
              <a:solidFill>
                <a:schemeClr val="accent2"/>
              </a:solidFill>
              <a:round/>
            </a:ln>
            <a:effectLst/>
          </c:spPr>
          <c:marker>
            <c:symbol val="none"/>
          </c:marker>
          <c:xVal>
            <c:numRef>
              <c:f>Sheet1!$N$2:$N$37</c:f>
              <c:numCache>
                <c:formatCode>General</c:formatCode>
                <c:ptCount val="36"/>
                <c:pt idx="0">
                  <c:v>2359.89</c:v>
                </c:pt>
                <c:pt idx="1">
                  <c:v>2321.59</c:v>
                </c:pt>
                <c:pt idx="2">
                  <c:v>2290.59</c:v>
                </c:pt>
                <c:pt idx="3">
                  <c:v>2260.29</c:v>
                </c:pt>
                <c:pt idx="4">
                  <c:v>2208.39</c:v>
                </c:pt>
                <c:pt idx="5">
                  <c:v>2122.89</c:v>
                </c:pt>
                <c:pt idx="6">
                  <c:v>1964.89</c:v>
                </c:pt>
                <c:pt idx="7">
                  <c:v>1831.39</c:v>
                </c:pt>
                <c:pt idx="8">
                  <c:v>1755.59</c:v>
                </c:pt>
                <c:pt idx="9">
                  <c:v>1681.59</c:v>
                </c:pt>
                <c:pt idx="10">
                  <c:v>1631.39</c:v>
                </c:pt>
                <c:pt idx="11">
                  <c:v>1564.99</c:v>
                </c:pt>
                <c:pt idx="12">
                  <c:v>1487.59</c:v>
                </c:pt>
                <c:pt idx="13">
                  <c:v>1418.59</c:v>
                </c:pt>
                <c:pt idx="14">
                  <c:v>1365.79</c:v>
                </c:pt>
                <c:pt idx="15">
                  <c:v>1179.19</c:v>
                </c:pt>
                <c:pt idx="16">
                  <c:v>1001.19</c:v>
                </c:pt>
                <c:pt idx="17">
                  <c:v>955.89</c:v>
                </c:pt>
                <c:pt idx="18">
                  <c:v>909.49</c:v>
                </c:pt>
                <c:pt idx="19">
                  <c:v>754.1</c:v>
                </c:pt>
                <c:pt idx="20">
                  <c:v>673.4</c:v>
                </c:pt>
                <c:pt idx="21">
                  <c:v>558</c:v>
                </c:pt>
                <c:pt idx="22">
                  <c:v>455.6</c:v>
                </c:pt>
                <c:pt idx="23">
                  <c:v>434.1</c:v>
                </c:pt>
                <c:pt idx="24">
                  <c:v>413.7</c:v>
                </c:pt>
                <c:pt idx="25">
                  <c:v>393</c:v>
                </c:pt>
                <c:pt idx="26">
                  <c:v>357.5</c:v>
                </c:pt>
                <c:pt idx="27">
                  <c:v>324</c:v>
                </c:pt>
                <c:pt idx="28">
                  <c:v>295.5</c:v>
                </c:pt>
                <c:pt idx="29">
                  <c:v>273.3</c:v>
                </c:pt>
                <c:pt idx="30">
                  <c:v>242</c:v>
                </c:pt>
                <c:pt idx="31">
                  <c:v>180.6</c:v>
                </c:pt>
                <c:pt idx="32">
                  <c:v>123.6</c:v>
                </c:pt>
                <c:pt idx="33">
                  <c:v>81</c:v>
                </c:pt>
                <c:pt idx="34">
                  <c:v>32.799999999999997</c:v>
                </c:pt>
                <c:pt idx="35">
                  <c:v>0</c:v>
                </c:pt>
              </c:numCache>
            </c:numRef>
          </c:xVal>
          <c:yVal>
            <c:numRef>
              <c:f>Sheet1!$Q$2:$Q$37</c:f>
              <c:numCache>
                <c:formatCode>General</c:formatCode>
                <c:ptCount val="36"/>
                <c:pt idx="0">
                  <c:v>3</c:v>
                </c:pt>
                <c:pt idx="1">
                  <c:v>3</c:v>
                </c:pt>
                <c:pt idx="2">
                  <c:v>3</c:v>
                </c:pt>
                <c:pt idx="3">
                  <c:v>3</c:v>
                </c:pt>
                <c:pt idx="4">
                  <c:v>3</c:v>
                </c:pt>
                <c:pt idx="5">
                  <c:v>3</c:v>
                </c:pt>
                <c:pt idx="6">
                  <c:v>3</c:v>
                </c:pt>
                <c:pt idx="7">
                  <c:v>3</c:v>
                </c:pt>
                <c:pt idx="8">
                  <c:v>3</c:v>
                </c:pt>
                <c:pt idx="9">
                  <c:v>3</c:v>
                </c:pt>
                <c:pt idx="10">
                  <c:v>3</c:v>
                </c:pt>
                <c:pt idx="11">
                  <c:v>3</c:v>
                </c:pt>
                <c:pt idx="12">
                  <c:v>3</c:v>
                </c:pt>
                <c:pt idx="13">
                  <c:v>3</c:v>
                </c:pt>
                <c:pt idx="14">
                  <c:v>3</c:v>
                </c:pt>
                <c:pt idx="15">
                  <c:v>3</c:v>
                </c:pt>
                <c:pt idx="16">
                  <c:v>3</c:v>
                </c:pt>
                <c:pt idx="17">
                  <c:v>3</c:v>
                </c:pt>
                <c:pt idx="18">
                  <c:v>3</c:v>
                </c:pt>
                <c:pt idx="19">
                  <c:v>3</c:v>
                </c:pt>
                <c:pt idx="20">
                  <c:v>3</c:v>
                </c:pt>
                <c:pt idx="21">
                  <c:v>3</c:v>
                </c:pt>
                <c:pt idx="22">
                  <c:v>3</c:v>
                </c:pt>
                <c:pt idx="23">
                  <c:v>3</c:v>
                </c:pt>
                <c:pt idx="24">
                  <c:v>3</c:v>
                </c:pt>
                <c:pt idx="25">
                  <c:v>3</c:v>
                </c:pt>
                <c:pt idx="26">
                  <c:v>3</c:v>
                </c:pt>
                <c:pt idx="27">
                  <c:v>3</c:v>
                </c:pt>
                <c:pt idx="28">
                  <c:v>3</c:v>
                </c:pt>
                <c:pt idx="29">
                  <c:v>3</c:v>
                </c:pt>
                <c:pt idx="30">
                  <c:v>3</c:v>
                </c:pt>
                <c:pt idx="31">
                  <c:v>3</c:v>
                </c:pt>
                <c:pt idx="32">
                  <c:v>3</c:v>
                </c:pt>
                <c:pt idx="33">
                  <c:v>3</c:v>
                </c:pt>
                <c:pt idx="34">
                  <c:v>3</c:v>
                </c:pt>
                <c:pt idx="35">
                  <c:v>3</c:v>
                </c:pt>
              </c:numCache>
            </c:numRef>
          </c:yVal>
          <c:smooth val="0"/>
          <c:extLst>
            <c:ext xmlns:c16="http://schemas.microsoft.com/office/drawing/2014/chart" uri="{C3380CC4-5D6E-409C-BE32-E72D297353CC}">
              <c16:uniqueId val="{00000003-A192-4FBB-994C-421739AD816D}"/>
            </c:ext>
          </c:extLst>
        </c:ser>
        <c:ser>
          <c:idx val="4"/>
          <c:order val="4"/>
          <c:tx>
            <c:v>Class 4</c:v>
          </c:tx>
          <c:spPr>
            <a:ln w="19050" cap="rnd">
              <a:solidFill>
                <a:srgbClr val="FF0000"/>
              </a:solidFill>
              <a:round/>
            </a:ln>
            <a:effectLst/>
          </c:spPr>
          <c:marker>
            <c:symbol val="none"/>
          </c:marker>
          <c:xVal>
            <c:numRef>
              <c:f>Sheet1!$N$2:$N$37</c:f>
              <c:numCache>
                <c:formatCode>General</c:formatCode>
                <c:ptCount val="36"/>
                <c:pt idx="0">
                  <c:v>2359.89</c:v>
                </c:pt>
                <c:pt idx="1">
                  <c:v>2321.59</c:v>
                </c:pt>
                <c:pt idx="2">
                  <c:v>2290.59</c:v>
                </c:pt>
                <c:pt idx="3">
                  <c:v>2260.29</c:v>
                </c:pt>
                <c:pt idx="4">
                  <c:v>2208.39</c:v>
                </c:pt>
                <c:pt idx="5">
                  <c:v>2122.89</c:v>
                </c:pt>
                <c:pt idx="6">
                  <c:v>1964.89</c:v>
                </c:pt>
                <c:pt idx="7">
                  <c:v>1831.39</c:v>
                </c:pt>
                <c:pt idx="8">
                  <c:v>1755.59</c:v>
                </c:pt>
                <c:pt idx="9">
                  <c:v>1681.59</c:v>
                </c:pt>
                <c:pt idx="10">
                  <c:v>1631.39</c:v>
                </c:pt>
                <c:pt idx="11">
                  <c:v>1564.99</c:v>
                </c:pt>
                <c:pt idx="12">
                  <c:v>1487.59</c:v>
                </c:pt>
                <c:pt idx="13">
                  <c:v>1418.59</c:v>
                </c:pt>
                <c:pt idx="14">
                  <c:v>1365.79</c:v>
                </c:pt>
                <c:pt idx="15">
                  <c:v>1179.19</c:v>
                </c:pt>
                <c:pt idx="16">
                  <c:v>1001.19</c:v>
                </c:pt>
                <c:pt idx="17">
                  <c:v>955.89</c:v>
                </c:pt>
                <c:pt idx="18">
                  <c:v>909.49</c:v>
                </c:pt>
                <c:pt idx="19">
                  <c:v>754.1</c:v>
                </c:pt>
                <c:pt idx="20">
                  <c:v>673.4</c:v>
                </c:pt>
                <c:pt idx="21">
                  <c:v>558</c:v>
                </c:pt>
                <c:pt idx="22">
                  <c:v>455.6</c:v>
                </c:pt>
                <c:pt idx="23">
                  <c:v>434.1</c:v>
                </c:pt>
                <c:pt idx="24">
                  <c:v>413.7</c:v>
                </c:pt>
                <c:pt idx="25">
                  <c:v>393</c:v>
                </c:pt>
                <c:pt idx="26">
                  <c:v>357.5</c:v>
                </c:pt>
                <c:pt idx="27">
                  <c:v>324</c:v>
                </c:pt>
                <c:pt idx="28">
                  <c:v>295.5</c:v>
                </c:pt>
                <c:pt idx="29">
                  <c:v>273.3</c:v>
                </c:pt>
                <c:pt idx="30">
                  <c:v>242</c:v>
                </c:pt>
                <c:pt idx="31">
                  <c:v>180.6</c:v>
                </c:pt>
                <c:pt idx="32">
                  <c:v>123.6</c:v>
                </c:pt>
                <c:pt idx="33">
                  <c:v>81</c:v>
                </c:pt>
                <c:pt idx="34">
                  <c:v>32.799999999999997</c:v>
                </c:pt>
                <c:pt idx="35">
                  <c:v>0</c:v>
                </c:pt>
              </c:numCache>
            </c:numRef>
          </c:xVal>
          <c:yVal>
            <c:numRef>
              <c:f>Sheet1!$R$2:$R$37</c:f>
              <c:numCache>
                <c:formatCode>General</c:formatCode>
                <c:ptCount val="36"/>
                <c:pt idx="0">
                  <c:v>1</c:v>
                </c:pt>
                <c:pt idx="1">
                  <c:v>1</c:v>
                </c:pt>
                <c:pt idx="2">
                  <c:v>1</c:v>
                </c:pt>
                <c:pt idx="3">
                  <c:v>1</c:v>
                </c:pt>
                <c:pt idx="4">
                  <c:v>1</c:v>
                </c:pt>
                <c:pt idx="5">
                  <c:v>1</c:v>
                </c:pt>
                <c:pt idx="6">
                  <c:v>1</c:v>
                </c:pt>
                <c:pt idx="7">
                  <c:v>1</c:v>
                </c:pt>
                <c:pt idx="8">
                  <c:v>1</c:v>
                </c:pt>
                <c:pt idx="9">
                  <c:v>1</c:v>
                </c:pt>
                <c:pt idx="10">
                  <c:v>1</c:v>
                </c:pt>
                <c:pt idx="11">
                  <c:v>1</c:v>
                </c:pt>
                <c:pt idx="12">
                  <c:v>1</c:v>
                </c:pt>
                <c:pt idx="13">
                  <c:v>1</c:v>
                </c:pt>
                <c:pt idx="14">
                  <c:v>1</c:v>
                </c:pt>
                <c:pt idx="15">
                  <c:v>1</c:v>
                </c:pt>
                <c:pt idx="16">
                  <c:v>1</c:v>
                </c:pt>
                <c:pt idx="17">
                  <c:v>1</c:v>
                </c:pt>
                <c:pt idx="18">
                  <c:v>1</c:v>
                </c:pt>
                <c:pt idx="19">
                  <c:v>1</c:v>
                </c:pt>
                <c:pt idx="20">
                  <c:v>1</c:v>
                </c:pt>
                <c:pt idx="21">
                  <c:v>1</c:v>
                </c:pt>
                <c:pt idx="22">
                  <c:v>1</c:v>
                </c:pt>
                <c:pt idx="23">
                  <c:v>1</c:v>
                </c:pt>
                <c:pt idx="24">
                  <c:v>1</c:v>
                </c:pt>
                <c:pt idx="25">
                  <c:v>1</c:v>
                </c:pt>
                <c:pt idx="26">
                  <c:v>1</c:v>
                </c:pt>
                <c:pt idx="27">
                  <c:v>1</c:v>
                </c:pt>
                <c:pt idx="28">
                  <c:v>1</c:v>
                </c:pt>
                <c:pt idx="29">
                  <c:v>1</c:v>
                </c:pt>
                <c:pt idx="30">
                  <c:v>1</c:v>
                </c:pt>
                <c:pt idx="31">
                  <c:v>1</c:v>
                </c:pt>
                <c:pt idx="32">
                  <c:v>1</c:v>
                </c:pt>
                <c:pt idx="33">
                  <c:v>1</c:v>
                </c:pt>
                <c:pt idx="34">
                  <c:v>1</c:v>
                </c:pt>
                <c:pt idx="35">
                  <c:v>1</c:v>
                </c:pt>
              </c:numCache>
            </c:numRef>
          </c:yVal>
          <c:smooth val="0"/>
          <c:extLst>
            <c:ext xmlns:c16="http://schemas.microsoft.com/office/drawing/2014/chart" uri="{C3380CC4-5D6E-409C-BE32-E72D297353CC}">
              <c16:uniqueId val="{00000004-A192-4FBB-994C-421739AD816D}"/>
            </c:ext>
          </c:extLst>
        </c:ser>
        <c:dLbls>
          <c:showLegendKey val="0"/>
          <c:showVal val="0"/>
          <c:showCatName val="0"/>
          <c:showSerName val="0"/>
          <c:showPercent val="0"/>
          <c:showBubbleSize val="0"/>
        </c:dLbls>
        <c:axId val="1118042496"/>
        <c:axId val="1558928960"/>
      </c:scatterChart>
      <c:valAx>
        <c:axId val="1118042496"/>
        <c:scaling>
          <c:orientation val="minMax"/>
          <c:max val="236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5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GB"/>
                  <a:t>Distance from Downstream (m)</a:t>
                </a:r>
              </a:p>
            </c:rich>
          </c:tx>
          <c:layout>
            <c:manualLayout>
              <c:xMode val="edge"/>
              <c:yMode val="edge"/>
              <c:x val="0.24661417322834644"/>
              <c:y val="0.68311797721671463"/>
            </c:manualLayout>
          </c:layout>
          <c:overlay val="0"/>
          <c:spPr>
            <a:noFill/>
            <a:ln>
              <a:noFill/>
            </a:ln>
            <a:effectLst/>
          </c:spPr>
          <c:txPr>
            <a:bodyPr rot="0" spcFirstLastPara="1" vertOverflow="ellipsis" vert="horz" wrap="square" anchor="ctr" anchorCtr="1"/>
            <a:lstStyle/>
            <a:p>
              <a:pPr>
                <a:defRPr sz="5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5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558928960"/>
        <c:crosses val="autoZero"/>
        <c:crossBetween val="midCat"/>
      </c:valAx>
      <c:valAx>
        <c:axId val="15589289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5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GB"/>
                  <a:t>DO (mg/L)</a:t>
                </a:r>
              </a:p>
            </c:rich>
          </c:tx>
          <c:overlay val="0"/>
          <c:spPr>
            <a:noFill/>
            <a:ln>
              <a:noFill/>
            </a:ln>
            <a:effectLst/>
          </c:spPr>
          <c:txPr>
            <a:bodyPr rot="-5400000" spcFirstLastPara="1" vertOverflow="ellipsis" vert="horz" wrap="square" anchor="ctr" anchorCtr="1"/>
            <a:lstStyle/>
            <a:p>
              <a:pPr>
                <a:defRPr sz="5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5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118042496"/>
        <c:crosses val="autoZero"/>
        <c:crossBetween val="midCat"/>
      </c:valAx>
      <c:spPr>
        <a:noFill/>
        <a:ln>
          <a:noFill/>
        </a:ln>
        <a:effectLst/>
      </c:spPr>
    </c:plotArea>
    <c:legend>
      <c:legendPos val="b"/>
      <c:layout>
        <c:manualLayout>
          <c:xMode val="edge"/>
          <c:yMode val="edge"/>
          <c:x val="6.9507912689695722E-2"/>
          <c:y val="0.77565669143539129"/>
          <c:w val="0.86098355583744568"/>
          <c:h val="0.20557277829712864"/>
        </c:manualLayout>
      </c:layout>
      <c:overlay val="0"/>
      <c:spPr>
        <a:noFill/>
        <a:ln>
          <a:noFill/>
        </a:ln>
        <a:effectLst/>
      </c:spPr>
      <c:txPr>
        <a:bodyPr rot="0" spcFirstLastPara="1" vertOverflow="ellipsis" vert="horz" wrap="square" anchor="ctr" anchorCtr="1"/>
        <a:lstStyle/>
        <a:p>
          <a:pPr>
            <a:defRPr sz="5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500">
          <a:latin typeface="Arial" panose="020B0604020202020204" pitchFamily="34" charset="0"/>
          <a:cs typeface="Arial" panose="020B0604020202020204" pitchFamily="34" charset="0"/>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613600853920766"/>
          <c:y val="3.7541060534960112E-2"/>
          <c:w val="0.73317636867100844"/>
          <c:h val="0.56555238197290092"/>
        </c:manualLayout>
      </c:layout>
      <c:scatterChart>
        <c:scatterStyle val="lineMarker"/>
        <c:varyColors val="0"/>
        <c:ser>
          <c:idx val="0"/>
          <c:order val="0"/>
          <c:tx>
            <c:v>BOD</c:v>
          </c:tx>
          <c:spPr>
            <a:ln w="12700" cap="rnd">
              <a:solidFill>
                <a:sysClr val="windowText" lastClr="000000"/>
              </a:solidFill>
              <a:round/>
            </a:ln>
            <a:effectLst/>
          </c:spPr>
          <c:marker>
            <c:symbol val="circle"/>
            <c:size val="2"/>
            <c:spPr>
              <a:solidFill>
                <a:schemeClr val="tx1"/>
              </a:solidFill>
              <a:ln w="12700">
                <a:solidFill>
                  <a:sysClr val="windowText" lastClr="000000"/>
                </a:solidFill>
              </a:ln>
              <a:effectLst/>
            </c:spPr>
          </c:marker>
          <c:xVal>
            <c:numRef>
              <c:f>'BOD_Scenario 2'!$B$2:$B$37</c:f>
              <c:numCache>
                <c:formatCode>General</c:formatCode>
                <c:ptCount val="36"/>
                <c:pt idx="0">
                  <c:v>2359.89</c:v>
                </c:pt>
                <c:pt idx="1">
                  <c:v>2321.59</c:v>
                </c:pt>
                <c:pt idx="2">
                  <c:v>2290.59</c:v>
                </c:pt>
                <c:pt idx="3">
                  <c:v>2260.29</c:v>
                </c:pt>
                <c:pt idx="4">
                  <c:v>2208.39</c:v>
                </c:pt>
                <c:pt idx="5">
                  <c:v>2122.89</c:v>
                </c:pt>
                <c:pt idx="6">
                  <c:v>1964.89</c:v>
                </c:pt>
                <c:pt idx="7">
                  <c:v>1831.39</c:v>
                </c:pt>
                <c:pt idx="8">
                  <c:v>1755.59</c:v>
                </c:pt>
                <c:pt idx="9">
                  <c:v>1681.59</c:v>
                </c:pt>
                <c:pt idx="10">
                  <c:v>1631.39</c:v>
                </c:pt>
                <c:pt idx="11">
                  <c:v>1564.99</c:v>
                </c:pt>
                <c:pt idx="12">
                  <c:v>1487.59</c:v>
                </c:pt>
                <c:pt idx="13">
                  <c:v>1418.59</c:v>
                </c:pt>
                <c:pt idx="14">
                  <c:v>1365.79</c:v>
                </c:pt>
                <c:pt idx="15">
                  <c:v>1179.19</c:v>
                </c:pt>
                <c:pt idx="16">
                  <c:v>1001.19</c:v>
                </c:pt>
                <c:pt idx="17">
                  <c:v>955.89</c:v>
                </c:pt>
                <c:pt idx="18">
                  <c:v>909.49</c:v>
                </c:pt>
                <c:pt idx="19">
                  <c:v>754.1</c:v>
                </c:pt>
                <c:pt idx="20">
                  <c:v>673.4</c:v>
                </c:pt>
                <c:pt idx="21">
                  <c:v>558</c:v>
                </c:pt>
                <c:pt idx="22">
                  <c:v>455.6</c:v>
                </c:pt>
                <c:pt idx="23">
                  <c:v>434.1</c:v>
                </c:pt>
                <c:pt idx="24">
                  <c:v>413.7</c:v>
                </c:pt>
                <c:pt idx="25">
                  <c:v>393</c:v>
                </c:pt>
                <c:pt idx="26">
                  <c:v>357.5</c:v>
                </c:pt>
                <c:pt idx="27">
                  <c:v>324</c:v>
                </c:pt>
                <c:pt idx="28">
                  <c:v>295.5</c:v>
                </c:pt>
                <c:pt idx="29">
                  <c:v>273.3</c:v>
                </c:pt>
                <c:pt idx="30">
                  <c:v>242</c:v>
                </c:pt>
                <c:pt idx="31">
                  <c:v>180.6</c:v>
                </c:pt>
                <c:pt idx="32">
                  <c:v>123.6</c:v>
                </c:pt>
                <c:pt idx="33">
                  <c:v>81</c:v>
                </c:pt>
                <c:pt idx="34">
                  <c:v>32.799999999999997</c:v>
                </c:pt>
                <c:pt idx="35">
                  <c:v>0</c:v>
                </c:pt>
              </c:numCache>
            </c:numRef>
          </c:xVal>
          <c:yVal>
            <c:numRef>
              <c:f>'BOD_Scenario 2'!$DD$2:$DD$37</c:f>
              <c:numCache>
                <c:formatCode>General</c:formatCode>
                <c:ptCount val="36"/>
                <c:pt idx="0">
                  <c:v>6</c:v>
                </c:pt>
                <c:pt idx="1">
                  <c:v>5.8634295273592096</c:v>
                </c:pt>
                <c:pt idx="2">
                  <c:v>5.8456999215176602</c:v>
                </c:pt>
                <c:pt idx="3">
                  <c:v>5.92377381596354</c:v>
                </c:pt>
                <c:pt idx="4">
                  <c:v>9.2001563716942307</c:v>
                </c:pt>
                <c:pt idx="5">
                  <c:v>11.947240762444499</c:v>
                </c:pt>
                <c:pt idx="6">
                  <c:v>10.7560942491878</c:v>
                </c:pt>
                <c:pt idx="7">
                  <c:v>10.3832846547317</c:v>
                </c:pt>
                <c:pt idx="8">
                  <c:v>10.072378904911499</c:v>
                </c:pt>
                <c:pt idx="9">
                  <c:v>9.8416386052885994</c:v>
                </c:pt>
                <c:pt idx="10">
                  <c:v>9.6142052049451596</c:v>
                </c:pt>
                <c:pt idx="11">
                  <c:v>10.7523201980518</c:v>
                </c:pt>
                <c:pt idx="12">
                  <c:v>11.922423151223001</c:v>
                </c:pt>
                <c:pt idx="13">
                  <c:v>11.6710101192122</c:v>
                </c:pt>
                <c:pt idx="14">
                  <c:v>10.0455291238914</c:v>
                </c:pt>
                <c:pt idx="15">
                  <c:v>11.7596508290976</c:v>
                </c:pt>
                <c:pt idx="16">
                  <c:v>11.9330084423248</c:v>
                </c:pt>
                <c:pt idx="17">
                  <c:v>11.664802389171401</c:v>
                </c:pt>
                <c:pt idx="18">
                  <c:v>11.542846899322001</c:v>
                </c:pt>
                <c:pt idx="19">
                  <c:v>11.751167959898</c:v>
                </c:pt>
                <c:pt idx="20">
                  <c:v>11.943091180627601</c:v>
                </c:pt>
                <c:pt idx="21">
                  <c:v>11.963202854627401</c:v>
                </c:pt>
                <c:pt idx="22">
                  <c:v>11.983103835168899</c:v>
                </c:pt>
                <c:pt idx="23">
                  <c:v>11.9587368361613</c:v>
                </c:pt>
                <c:pt idx="24">
                  <c:v>11.8948933514035</c:v>
                </c:pt>
                <c:pt idx="25">
                  <c:v>11.6957450118891</c:v>
                </c:pt>
                <c:pt idx="26">
                  <c:v>11.659950127552801</c:v>
                </c:pt>
                <c:pt idx="27">
                  <c:v>11.486157740520399</c:v>
                </c:pt>
                <c:pt idx="28">
                  <c:v>11.1565274535293</c:v>
                </c:pt>
                <c:pt idx="29">
                  <c:v>10.5513898727724</c:v>
                </c:pt>
                <c:pt idx="30">
                  <c:v>9.8491442156668505</c:v>
                </c:pt>
                <c:pt idx="31">
                  <c:v>9.8006622062411903</c:v>
                </c:pt>
                <c:pt idx="32">
                  <c:v>9.7670917302858005</c:v>
                </c:pt>
                <c:pt idx="33">
                  <c:v>9.7273557778744895</c:v>
                </c:pt>
                <c:pt idx="34">
                  <c:v>9.7047535969358805</c:v>
                </c:pt>
                <c:pt idx="35">
                  <c:v>9.7047540731725608</c:v>
                </c:pt>
              </c:numCache>
            </c:numRef>
          </c:yVal>
          <c:smooth val="0"/>
          <c:extLst>
            <c:ext xmlns:c16="http://schemas.microsoft.com/office/drawing/2014/chart" uri="{C3380CC4-5D6E-409C-BE32-E72D297353CC}">
              <c16:uniqueId val="{00000000-29BB-48D6-BCEA-7C22761F9C14}"/>
            </c:ext>
          </c:extLst>
        </c:ser>
        <c:ser>
          <c:idx val="1"/>
          <c:order val="1"/>
          <c:tx>
            <c:v>Class 1</c:v>
          </c:tx>
          <c:spPr>
            <a:ln w="19050" cap="rnd">
              <a:solidFill>
                <a:srgbClr val="92D050"/>
              </a:solidFill>
              <a:round/>
            </a:ln>
            <a:effectLst/>
          </c:spPr>
          <c:marker>
            <c:symbol val="none"/>
          </c:marker>
          <c:xVal>
            <c:numRef>
              <c:f>'BOD_Scenario 2'!$B$2:$B$37</c:f>
              <c:numCache>
                <c:formatCode>General</c:formatCode>
                <c:ptCount val="36"/>
                <c:pt idx="0">
                  <c:v>2359.89</c:v>
                </c:pt>
                <c:pt idx="1">
                  <c:v>2321.59</c:v>
                </c:pt>
                <c:pt idx="2">
                  <c:v>2290.59</c:v>
                </c:pt>
                <c:pt idx="3">
                  <c:v>2260.29</c:v>
                </c:pt>
                <c:pt idx="4">
                  <c:v>2208.39</c:v>
                </c:pt>
                <c:pt idx="5">
                  <c:v>2122.89</c:v>
                </c:pt>
                <c:pt idx="6">
                  <c:v>1964.89</c:v>
                </c:pt>
                <c:pt idx="7">
                  <c:v>1831.39</c:v>
                </c:pt>
                <c:pt idx="8">
                  <c:v>1755.59</c:v>
                </c:pt>
                <c:pt idx="9">
                  <c:v>1681.59</c:v>
                </c:pt>
                <c:pt idx="10">
                  <c:v>1631.39</c:v>
                </c:pt>
                <c:pt idx="11">
                  <c:v>1564.99</c:v>
                </c:pt>
                <c:pt idx="12">
                  <c:v>1487.59</c:v>
                </c:pt>
                <c:pt idx="13">
                  <c:v>1418.59</c:v>
                </c:pt>
                <c:pt idx="14">
                  <c:v>1365.79</c:v>
                </c:pt>
                <c:pt idx="15">
                  <c:v>1179.19</c:v>
                </c:pt>
                <c:pt idx="16">
                  <c:v>1001.19</c:v>
                </c:pt>
                <c:pt idx="17">
                  <c:v>955.89</c:v>
                </c:pt>
                <c:pt idx="18">
                  <c:v>909.49</c:v>
                </c:pt>
                <c:pt idx="19">
                  <c:v>754.1</c:v>
                </c:pt>
                <c:pt idx="20">
                  <c:v>673.4</c:v>
                </c:pt>
                <c:pt idx="21">
                  <c:v>558</c:v>
                </c:pt>
                <c:pt idx="22">
                  <c:v>455.6</c:v>
                </c:pt>
                <c:pt idx="23">
                  <c:v>434.1</c:v>
                </c:pt>
                <c:pt idx="24">
                  <c:v>413.7</c:v>
                </c:pt>
                <c:pt idx="25">
                  <c:v>393</c:v>
                </c:pt>
                <c:pt idx="26">
                  <c:v>357.5</c:v>
                </c:pt>
                <c:pt idx="27">
                  <c:v>324</c:v>
                </c:pt>
                <c:pt idx="28">
                  <c:v>295.5</c:v>
                </c:pt>
                <c:pt idx="29">
                  <c:v>273.3</c:v>
                </c:pt>
                <c:pt idx="30">
                  <c:v>242</c:v>
                </c:pt>
                <c:pt idx="31">
                  <c:v>180.6</c:v>
                </c:pt>
                <c:pt idx="32">
                  <c:v>123.6</c:v>
                </c:pt>
                <c:pt idx="33">
                  <c:v>81</c:v>
                </c:pt>
                <c:pt idx="34">
                  <c:v>32.799999999999997</c:v>
                </c:pt>
                <c:pt idx="35">
                  <c:v>0</c:v>
                </c:pt>
              </c:numCache>
            </c:numRef>
          </c:xVal>
          <c:yVal>
            <c:numRef>
              <c:f>WQR!$F$2:$F$37</c:f>
              <c:numCache>
                <c:formatCode>General</c:formatCode>
                <c:ptCount val="36"/>
                <c:pt idx="0">
                  <c:v>2</c:v>
                </c:pt>
                <c:pt idx="1">
                  <c:v>2</c:v>
                </c:pt>
                <c:pt idx="2">
                  <c:v>2</c:v>
                </c:pt>
                <c:pt idx="3">
                  <c:v>2</c:v>
                </c:pt>
                <c:pt idx="4">
                  <c:v>2</c:v>
                </c:pt>
                <c:pt idx="5">
                  <c:v>2</c:v>
                </c:pt>
                <c:pt idx="6">
                  <c:v>2</c:v>
                </c:pt>
                <c:pt idx="7">
                  <c:v>2</c:v>
                </c:pt>
                <c:pt idx="8">
                  <c:v>2</c:v>
                </c:pt>
                <c:pt idx="9">
                  <c:v>2</c:v>
                </c:pt>
                <c:pt idx="10">
                  <c:v>2</c:v>
                </c:pt>
                <c:pt idx="11">
                  <c:v>2</c:v>
                </c:pt>
                <c:pt idx="12">
                  <c:v>2</c:v>
                </c:pt>
                <c:pt idx="13">
                  <c:v>2</c:v>
                </c:pt>
                <c:pt idx="14">
                  <c:v>2</c:v>
                </c:pt>
                <c:pt idx="15">
                  <c:v>2</c:v>
                </c:pt>
                <c:pt idx="16">
                  <c:v>2</c:v>
                </c:pt>
                <c:pt idx="17">
                  <c:v>2</c:v>
                </c:pt>
                <c:pt idx="18">
                  <c:v>2</c:v>
                </c:pt>
                <c:pt idx="19">
                  <c:v>2</c:v>
                </c:pt>
                <c:pt idx="20">
                  <c:v>2</c:v>
                </c:pt>
                <c:pt idx="21">
                  <c:v>2</c:v>
                </c:pt>
                <c:pt idx="22">
                  <c:v>2</c:v>
                </c:pt>
                <c:pt idx="23">
                  <c:v>2</c:v>
                </c:pt>
                <c:pt idx="24">
                  <c:v>2</c:v>
                </c:pt>
                <c:pt idx="25">
                  <c:v>2</c:v>
                </c:pt>
                <c:pt idx="26">
                  <c:v>2</c:v>
                </c:pt>
                <c:pt idx="27">
                  <c:v>2</c:v>
                </c:pt>
                <c:pt idx="28">
                  <c:v>2</c:v>
                </c:pt>
                <c:pt idx="29">
                  <c:v>2</c:v>
                </c:pt>
                <c:pt idx="30">
                  <c:v>2</c:v>
                </c:pt>
                <c:pt idx="31">
                  <c:v>2</c:v>
                </c:pt>
                <c:pt idx="32">
                  <c:v>2</c:v>
                </c:pt>
                <c:pt idx="33">
                  <c:v>2</c:v>
                </c:pt>
                <c:pt idx="34">
                  <c:v>2</c:v>
                </c:pt>
                <c:pt idx="35">
                  <c:v>2</c:v>
                </c:pt>
              </c:numCache>
            </c:numRef>
          </c:yVal>
          <c:smooth val="0"/>
          <c:extLst>
            <c:ext xmlns:c16="http://schemas.microsoft.com/office/drawing/2014/chart" uri="{C3380CC4-5D6E-409C-BE32-E72D297353CC}">
              <c16:uniqueId val="{00000001-29BB-48D6-BCEA-7C22761F9C14}"/>
            </c:ext>
          </c:extLst>
        </c:ser>
        <c:ser>
          <c:idx val="2"/>
          <c:order val="2"/>
          <c:tx>
            <c:v>Class 2</c:v>
          </c:tx>
          <c:spPr>
            <a:ln w="19050" cap="rnd">
              <a:solidFill>
                <a:srgbClr val="00B0F0"/>
              </a:solidFill>
              <a:round/>
            </a:ln>
            <a:effectLst/>
          </c:spPr>
          <c:marker>
            <c:symbol val="none"/>
          </c:marker>
          <c:xVal>
            <c:numRef>
              <c:f>'BOD_Scenario 2'!$B$2:$B$37</c:f>
              <c:numCache>
                <c:formatCode>General</c:formatCode>
                <c:ptCount val="36"/>
                <c:pt idx="0">
                  <c:v>2359.89</c:v>
                </c:pt>
                <c:pt idx="1">
                  <c:v>2321.59</c:v>
                </c:pt>
                <c:pt idx="2">
                  <c:v>2290.59</c:v>
                </c:pt>
                <c:pt idx="3">
                  <c:v>2260.29</c:v>
                </c:pt>
                <c:pt idx="4">
                  <c:v>2208.39</c:v>
                </c:pt>
                <c:pt idx="5">
                  <c:v>2122.89</c:v>
                </c:pt>
                <c:pt idx="6">
                  <c:v>1964.89</c:v>
                </c:pt>
                <c:pt idx="7">
                  <c:v>1831.39</c:v>
                </c:pt>
                <c:pt idx="8">
                  <c:v>1755.59</c:v>
                </c:pt>
                <c:pt idx="9">
                  <c:v>1681.59</c:v>
                </c:pt>
                <c:pt idx="10">
                  <c:v>1631.39</c:v>
                </c:pt>
                <c:pt idx="11">
                  <c:v>1564.99</c:v>
                </c:pt>
                <c:pt idx="12">
                  <c:v>1487.59</c:v>
                </c:pt>
                <c:pt idx="13">
                  <c:v>1418.59</c:v>
                </c:pt>
                <c:pt idx="14">
                  <c:v>1365.79</c:v>
                </c:pt>
                <c:pt idx="15">
                  <c:v>1179.19</c:v>
                </c:pt>
                <c:pt idx="16">
                  <c:v>1001.19</c:v>
                </c:pt>
                <c:pt idx="17">
                  <c:v>955.89</c:v>
                </c:pt>
                <c:pt idx="18">
                  <c:v>909.49</c:v>
                </c:pt>
                <c:pt idx="19">
                  <c:v>754.1</c:v>
                </c:pt>
                <c:pt idx="20">
                  <c:v>673.4</c:v>
                </c:pt>
                <c:pt idx="21">
                  <c:v>558</c:v>
                </c:pt>
                <c:pt idx="22">
                  <c:v>455.6</c:v>
                </c:pt>
                <c:pt idx="23">
                  <c:v>434.1</c:v>
                </c:pt>
                <c:pt idx="24">
                  <c:v>413.7</c:v>
                </c:pt>
                <c:pt idx="25">
                  <c:v>393</c:v>
                </c:pt>
                <c:pt idx="26">
                  <c:v>357.5</c:v>
                </c:pt>
                <c:pt idx="27">
                  <c:v>324</c:v>
                </c:pt>
                <c:pt idx="28">
                  <c:v>295.5</c:v>
                </c:pt>
                <c:pt idx="29">
                  <c:v>273.3</c:v>
                </c:pt>
                <c:pt idx="30">
                  <c:v>242</c:v>
                </c:pt>
                <c:pt idx="31">
                  <c:v>180.6</c:v>
                </c:pt>
                <c:pt idx="32">
                  <c:v>123.6</c:v>
                </c:pt>
                <c:pt idx="33">
                  <c:v>81</c:v>
                </c:pt>
                <c:pt idx="34">
                  <c:v>32.799999999999997</c:v>
                </c:pt>
                <c:pt idx="35">
                  <c:v>0</c:v>
                </c:pt>
              </c:numCache>
            </c:numRef>
          </c:xVal>
          <c:yVal>
            <c:numRef>
              <c:f>WQR!$G$2:$G$37</c:f>
              <c:numCache>
                <c:formatCode>General</c:formatCode>
                <c:ptCount val="36"/>
                <c:pt idx="0">
                  <c:v>3</c:v>
                </c:pt>
                <c:pt idx="1">
                  <c:v>3</c:v>
                </c:pt>
                <c:pt idx="2">
                  <c:v>3</c:v>
                </c:pt>
                <c:pt idx="3">
                  <c:v>3</c:v>
                </c:pt>
                <c:pt idx="4">
                  <c:v>3</c:v>
                </c:pt>
                <c:pt idx="5">
                  <c:v>3</c:v>
                </c:pt>
                <c:pt idx="6">
                  <c:v>3</c:v>
                </c:pt>
                <c:pt idx="7">
                  <c:v>3</c:v>
                </c:pt>
                <c:pt idx="8">
                  <c:v>3</c:v>
                </c:pt>
                <c:pt idx="9">
                  <c:v>3</c:v>
                </c:pt>
                <c:pt idx="10">
                  <c:v>3</c:v>
                </c:pt>
                <c:pt idx="11">
                  <c:v>3</c:v>
                </c:pt>
                <c:pt idx="12">
                  <c:v>3</c:v>
                </c:pt>
                <c:pt idx="13">
                  <c:v>3</c:v>
                </c:pt>
                <c:pt idx="14">
                  <c:v>3</c:v>
                </c:pt>
                <c:pt idx="15">
                  <c:v>3</c:v>
                </c:pt>
                <c:pt idx="16">
                  <c:v>3</c:v>
                </c:pt>
                <c:pt idx="17">
                  <c:v>3</c:v>
                </c:pt>
                <c:pt idx="18">
                  <c:v>3</c:v>
                </c:pt>
                <c:pt idx="19">
                  <c:v>3</c:v>
                </c:pt>
                <c:pt idx="20">
                  <c:v>3</c:v>
                </c:pt>
                <c:pt idx="21">
                  <c:v>3</c:v>
                </c:pt>
                <c:pt idx="22">
                  <c:v>3</c:v>
                </c:pt>
                <c:pt idx="23">
                  <c:v>3</c:v>
                </c:pt>
                <c:pt idx="24">
                  <c:v>3</c:v>
                </c:pt>
                <c:pt idx="25">
                  <c:v>3</c:v>
                </c:pt>
                <c:pt idx="26">
                  <c:v>3</c:v>
                </c:pt>
                <c:pt idx="27">
                  <c:v>3</c:v>
                </c:pt>
                <c:pt idx="28">
                  <c:v>3</c:v>
                </c:pt>
                <c:pt idx="29">
                  <c:v>3</c:v>
                </c:pt>
                <c:pt idx="30">
                  <c:v>3</c:v>
                </c:pt>
                <c:pt idx="31">
                  <c:v>3</c:v>
                </c:pt>
                <c:pt idx="32">
                  <c:v>3</c:v>
                </c:pt>
                <c:pt idx="33">
                  <c:v>3</c:v>
                </c:pt>
                <c:pt idx="34">
                  <c:v>3</c:v>
                </c:pt>
                <c:pt idx="35">
                  <c:v>3</c:v>
                </c:pt>
              </c:numCache>
            </c:numRef>
          </c:yVal>
          <c:smooth val="0"/>
          <c:extLst>
            <c:ext xmlns:c16="http://schemas.microsoft.com/office/drawing/2014/chart" uri="{C3380CC4-5D6E-409C-BE32-E72D297353CC}">
              <c16:uniqueId val="{00000002-29BB-48D6-BCEA-7C22761F9C14}"/>
            </c:ext>
          </c:extLst>
        </c:ser>
        <c:ser>
          <c:idx val="3"/>
          <c:order val="3"/>
          <c:tx>
            <c:v>Class 3</c:v>
          </c:tx>
          <c:spPr>
            <a:ln w="19050" cap="rnd">
              <a:solidFill>
                <a:schemeClr val="accent2"/>
              </a:solidFill>
              <a:round/>
            </a:ln>
            <a:effectLst/>
          </c:spPr>
          <c:marker>
            <c:symbol val="none"/>
          </c:marker>
          <c:xVal>
            <c:numRef>
              <c:f>'BOD_Scenario 2'!$B$2:$B$37</c:f>
              <c:numCache>
                <c:formatCode>General</c:formatCode>
                <c:ptCount val="36"/>
                <c:pt idx="0">
                  <c:v>2359.89</c:v>
                </c:pt>
                <c:pt idx="1">
                  <c:v>2321.59</c:v>
                </c:pt>
                <c:pt idx="2">
                  <c:v>2290.59</c:v>
                </c:pt>
                <c:pt idx="3">
                  <c:v>2260.29</c:v>
                </c:pt>
                <c:pt idx="4">
                  <c:v>2208.39</c:v>
                </c:pt>
                <c:pt idx="5">
                  <c:v>2122.89</c:v>
                </c:pt>
                <c:pt idx="6">
                  <c:v>1964.89</c:v>
                </c:pt>
                <c:pt idx="7">
                  <c:v>1831.39</c:v>
                </c:pt>
                <c:pt idx="8">
                  <c:v>1755.59</c:v>
                </c:pt>
                <c:pt idx="9">
                  <c:v>1681.59</c:v>
                </c:pt>
                <c:pt idx="10">
                  <c:v>1631.39</c:v>
                </c:pt>
                <c:pt idx="11">
                  <c:v>1564.99</c:v>
                </c:pt>
                <c:pt idx="12">
                  <c:v>1487.59</c:v>
                </c:pt>
                <c:pt idx="13">
                  <c:v>1418.59</c:v>
                </c:pt>
                <c:pt idx="14">
                  <c:v>1365.79</c:v>
                </c:pt>
                <c:pt idx="15">
                  <c:v>1179.19</c:v>
                </c:pt>
                <c:pt idx="16">
                  <c:v>1001.19</c:v>
                </c:pt>
                <c:pt idx="17">
                  <c:v>955.89</c:v>
                </c:pt>
                <c:pt idx="18">
                  <c:v>909.49</c:v>
                </c:pt>
                <c:pt idx="19">
                  <c:v>754.1</c:v>
                </c:pt>
                <c:pt idx="20">
                  <c:v>673.4</c:v>
                </c:pt>
                <c:pt idx="21">
                  <c:v>558</c:v>
                </c:pt>
                <c:pt idx="22">
                  <c:v>455.6</c:v>
                </c:pt>
                <c:pt idx="23">
                  <c:v>434.1</c:v>
                </c:pt>
                <c:pt idx="24">
                  <c:v>413.7</c:v>
                </c:pt>
                <c:pt idx="25">
                  <c:v>393</c:v>
                </c:pt>
                <c:pt idx="26">
                  <c:v>357.5</c:v>
                </c:pt>
                <c:pt idx="27">
                  <c:v>324</c:v>
                </c:pt>
                <c:pt idx="28">
                  <c:v>295.5</c:v>
                </c:pt>
                <c:pt idx="29">
                  <c:v>273.3</c:v>
                </c:pt>
                <c:pt idx="30">
                  <c:v>242</c:v>
                </c:pt>
                <c:pt idx="31">
                  <c:v>180.6</c:v>
                </c:pt>
                <c:pt idx="32">
                  <c:v>123.6</c:v>
                </c:pt>
                <c:pt idx="33">
                  <c:v>81</c:v>
                </c:pt>
                <c:pt idx="34">
                  <c:v>32.799999999999997</c:v>
                </c:pt>
                <c:pt idx="35">
                  <c:v>0</c:v>
                </c:pt>
              </c:numCache>
            </c:numRef>
          </c:xVal>
          <c:yVal>
            <c:numRef>
              <c:f>WQR!$H$2:$H$37</c:f>
              <c:numCache>
                <c:formatCode>General</c:formatCode>
                <c:ptCount val="36"/>
                <c:pt idx="0">
                  <c:v>6</c:v>
                </c:pt>
                <c:pt idx="1">
                  <c:v>6</c:v>
                </c:pt>
                <c:pt idx="2">
                  <c:v>6</c:v>
                </c:pt>
                <c:pt idx="3">
                  <c:v>6</c:v>
                </c:pt>
                <c:pt idx="4">
                  <c:v>6</c:v>
                </c:pt>
                <c:pt idx="5">
                  <c:v>6</c:v>
                </c:pt>
                <c:pt idx="6">
                  <c:v>6</c:v>
                </c:pt>
                <c:pt idx="7">
                  <c:v>6</c:v>
                </c:pt>
                <c:pt idx="8">
                  <c:v>6</c:v>
                </c:pt>
                <c:pt idx="9">
                  <c:v>6</c:v>
                </c:pt>
                <c:pt idx="10">
                  <c:v>6</c:v>
                </c:pt>
                <c:pt idx="11">
                  <c:v>6</c:v>
                </c:pt>
                <c:pt idx="12">
                  <c:v>6</c:v>
                </c:pt>
                <c:pt idx="13">
                  <c:v>6</c:v>
                </c:pt>
                <c:pt idx="14">
                  <c:v>6</c:v>
                </c:pt>
                <c:pt idx="15">
                  <c:v>6</c:v>
                </c:pt>
                <c:pt idx="16">
                  <c:v>6</c:v>
                </c:pt>
                <c:pt idx="17">
                  <c:v>6</c:v>
                </c:pt>
                <c:pt idx="18">
                  <c:v>6</c:v>
                </c:pt>
                <c:pt idx="19">
                  <c:v>6</c:v>
                </c:pt>
                <c:pt idx="20">
                  <c:v>6</c:v>
                </c:pt>
                <c:pt idx="21">
                  <c:v>6</c:v>
                </c:pt>
                <c:pt idx="22">
                  <c:v>6</c:v>
                </c:pt>
                <c:pt idx="23">
                  <c:v>6</c:v>
                </c:pt>
                <c:pt idx="24">
                  <c:v>6</c:v>
                </c:pt>
                <c:pt idx="25">
                  <c:v>6</c:v>
                </c:pt>
                <c:pt idx="26">
                  <c:v>6</c:v>
                </c:pt>
                <c:pt idx="27">
                  <c:v>6</c:v>
                </c:pt>
                <c:pt idx="28">
                  <c:v>6</c:v>
                </c:pt>
                <c:pt idx="29">
                  <c:v>6</c:v>
                </c:pt>
                <c:pt idx="30">
                  <c:v>6</c:v>
                </c:pt>
                <c:pt idx="31">
                  <c:v>6</c:v>
                </c:pt>
                <c:pt idx="32">
                  <c:v>6</c:v>
                </c:pt>
                <c:pt idx="33">
                  <c:v>6</c:v>
                </c:pt>
                <c:pt idx="34">
                  <c:v>6</c:v>
                </c:pt>
                <c:pt idx="35">
                  <c:v>6</c:v>
                </c:pt>
              </c:numCache>
            </c:numRef>
          </c:yVal>
          <c:smooth val="0"/>
          <c:extLst>
            <c:ext xmlns:c16="http://schemas.microsoft.com/office/drawing/2014/chart" uri="{C3380CC4-5D6E-409C-BE32-E72D297353CC}">
              <c16:uniqueId val="{00000003-29BB-48D6-BCEA-7C22761F9C14}"/>
            </c:ext>
          </c:extLst>
        </c:ser>
        <c:ser>
          <c:idx val="4"/>
          <c:order val="4"/>
          <c:tx>
            <c:v>Class 4</c:v>
          </c:tx>
          <c:spPr>
            <a:ln w="19050" cap="rnd">
              <a:solidFill>
                <a:srgbClr val="FF0000"/>
              </a:solidFill>
              <a:round/>
            </a:ln>
            <a:effectLst/>
          </c:spPr>
          <c:marker>
            <c:symbol val="none"/>
          </c:marker>
          <c:xVal>
            <c:numRef>
              <c:f>'BOD_Scenario 2'!$B$2:$B$37</c:f>
              <c:numCache>
                <c:formatCode>General</c:formatCode>
                <c:ptCount val="36"/>
                <c:pt idx="0">
                  <c:v>2359.89</c:v>
                </c:pt>
                <c:pt idx="1">
                  <c:v>2321.59</c:v>
                </c:pt>
                <c:pt idx="2">
                  <c:v>2290.59</c:v>
                </c:pt>
                <c:pt idx="3">
                  <c:v>2260.29</c:v>
                </c:pt>
                <c:pt idx="4">
                  <c:v>2208.39</c:v>
                </c:pt>
                <c:pt idx="5">
                  <c:v>2122.89</c:v>
                </c:pt>
                <c:pt idx="6">
                  <c:v>1964.89</c:v>
                </c:pt>
                <c:pt idx="7">
                  <c:v>1831.39</c:v>
                </c:pt>
                <c:pt idx="8">
                  <c:v>1755.59</c:v>
                </c:pt>
                <c:pt idx="9">
                  <c:v>1681.59</c:v>
                </c:pt>
                <c:pt idx="10">
                  <c:v>1631.39</c:v>
                </c:pt>
                <c:pt idx="11">
                  <c:v>1564.99</c:v>
                </c:pt>
                <c:pt idx="12">
                  <c:v>1487.59</c:v>
                </c:pt>
                <c:pt idx="13">
                  <c:v>1418.59</c:v>
                </c:pt>
                <c:pt idx="14">
                  <c:v>1365.79</c:v>
                </c:pt>
                <c:pt idx="15">
                  <c:v>1179.19</c:v>
                </c:pt>
                <c:pt idx="16">
                  <c:v>1001.19</c:v>
                </c:pt>
                <c:pt idx="17">
                  <c:v>955.89</c:v>
                </c:pt>
                <c:pt idx="18">
                  <c:v>909.49</c:v>
                </c:pt>
                <c:pt idx="19">
                  <c:v>754.1</c:v>
                </c:pt>
                <c:pt idx="20">
                  <c:v>673.4</c:v>
                </c:pt>
                <c:pt idx="21">
                  <c:v>558</c:v>
                </c:pt>
                <c:pt idx="22">
                  <c:v>455.6</c:v>
                </c:pt>
                <c:pt idx="23">
                  <c:v>434.1</c:v>
                </c:pt>
                <c:pt idx="24">
                  <c:v>413.7</c:v>
                </c:pt>
                <c:pt idx="25">
                  <c:v>393</c:v>
                </c:pt>
                <c:pt idx="26">
                  <c:v>357.5</c:v>
                </c:pt>
                <c:pt idx="27">
                  <c:v>324</c:v>
                </c:pt>
                <c:pt idx="28">
                  <c:v>295.5</c:v>
                </c:pt>
                <c:pt idx="29">
                  <c:v>273.3</c:v>
                </c:pt>
                <c:pt idx="30">
                  <c:v>242</c:v>
                </c:pt>
                <c:pt idx="31">
                  <c:v>180.6</c:v>
                </c:pt>
                <c:pt idx="32">
                  <c:v>123.6</c:v>
                </c:pt>
                <c:pt idx="33">
                  <c:v>81</c:v>
                </c:pt>
                <c:pt idx="34">
                  <c:v>32.799999999999997</c:v>
                </c:pt>
                <c:pt idx="35">
                  <c:v>0</c:v>
                </c:pt>
              </c:numCache>
            </c:numRef>
          </c:xVal>
          <c:yVal>
            <c:numRef>
              <c:f>WQR!$I$2:$I$37</c:f>
              <c:numCache>
                <c:formatCode>General</c:formatCode>
                <c:ptCount val="36"/>
                <c:pt idx="0">
                  <c:v>12</c:v>
                </c:pt>
                <c:pt idx="1">
                  <c:v>12</c:v>
                </c:pt>
                <c:pt idx="2">
                  <c:v>12</c:v>
                </c:pt>
                <c:pt idx="3">
                  <c:v>12</c:v>
                </c:pt>
                <c:pt idx="4">
                  <c:v>12</c:v>
                </c:pt>
                <c:pt idx="5">
                  <c:v>12</c:v>
                </c:pt>
                <c:pt idx="6">
                  <c:v>12</c:v>
                </c:pt>
                <c:pt idx="7">
                  <c:v>12</c:v>
                </c:pt>
                <c:pt idx="8">
                  <c:v>12</c:v>
                </c:pt>
                <c:pt idx="9">
                  <c:v>12</c:v>
                </c:pt>
                <c:pt idx="10">
                  <c:v>12</c:v>
                </c:pt>
                <c:pt idx="11">
                  <c:v>12</c:v>
                </c:pt>
                <c:pt idx="12">
                  <c:v>12</c:v>
                </c:pt>
                <c:pt idx="13">
                  <c:v>12</c:v>
                </c:pt>
                <c:pt idx="14">
                  <c:v>12</c:v>
                </c:pt>
                <c:pt idx="15">
                  <c:v>12</c:v>
                </c:pt>
                <c:pt idx="16">
                  <c:v>12</c:v>
                </c:pt>
                <c:pt idx="17">
                  <c:v>12</c:v>
                </c:pt>
                <c:pt idx="18">
                  <c:v>12</c:v>
                </c:pt>
                <c:pt idx="19">
                  <c:v>12</c:v>
                </c:pt>
                <c:pt idx="20">
                  <c:v>12</c:v>
                </c:pt>
                <c:pt idx="21">
                  <c:v>12</c:v>
                </c:pt>
                <c:pt idx="22">
                  <c:v>12</c:v>
                </c:pt>
                <c:pt idx="23">
                  <c:v>12</c:v>
                </c:pt>
                <c:pt idx="24">
                  <c:v>12</c:v>
                </c:pt>
                <c:pt idx="25">
                  <c:v>12</c:v>
                </c:pt>
                <c:pt idx="26">
                  <c:v>12</c:v>
                </c:pt>
                <c:pt idx="27">
                  <c:v>12</c:v>
                </c:pt>
                <c:pt idx="28">
                  <c:v>12</c:v>
                </c:pt>
                <c:pt idx="29">
                  <c:v>12</c:v>
                </c:pt>
                <c:pt idx="30">
                  <c:v>12</c:v>
                </c:pt>
                <c:pt idx="31">
                  <c:v>12</c:v>
                </c:pt>
                <c:pt idx="32">
                  <c:v>12</c:v>
                </c:pt>
                <c:pt idx="33">
                  <c:v>12</c:v>
                </c:pt>
                <c:pt idx="34">
                  <c:v>12</c:v>
                </c:pt>
                <c:pt idx="35">
                  <c:v>12</c:v>
                </c:pt>
              </c:numCache>
            </c:numRef>
          </c:yVal>
          <c:smooth val="0"/>
          <c:extLst>
            <c:ext xmlns:c16="http://schemas.microsoft.com/office/drawing/2014/chart" uri="{C3380CC4-5D6E-409C-BE32-E72D297353CC}">
              <c16:uniqueId val="{00000004-29BB-48D6-BCEA-7C22761F9C14}"/>
            </c:ext>
          </c:extLst>
        </c:ser>
        <c:dLbls>
          <c:showLegendKey val="0"/>
          <c:showVal val="0"/>
          <c:showCatName val="0"/>
          <c:showSerName val="0"/>
          <c:showPercent val="0"/>
          <c:showBubbleSize val="0"/>
        </c:dLbls>
        <c:axId val="804832655"/>
        <c:axId val="962749119"/>
      </c:scatterChart>
      <c:valAx>
        <c:axId val="804832655"/>
        <c:scaling>
          <c:orientation val="minMax"/>
          <c:max val="236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5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GB"/>
                  <a:t>Distance from Downstream (m)</a:t>
                </a:r>
              </a:p>
            </c:rich>
          </c:tx>
          <c:layout>
            <c:manualLayout>
              <c:xMode val="edge"/>
              <c:yMode val="edge"/>
              <c:x val="0.27714431570316972"/>
              <c:y val="0.67373271208297458"/>
            </c:manualLayout>
          </c:layout>
          <c:overlay val="0"/>
          <c:spPr>
            <a:noFill/>
            <a:ln>
              <a:noFill/>
            </a:ln>
            <a:effectLst/>
          </c:spPr>
          <c:txPr>
            <a:bodyPr rot="0" spcFirstLastPara="1" vertOverflow="ellipsis" vert="horz" wrap="square" anchor="ctr" anchorCtr="1"/>
            <a:lstStyle/>
            <a:p>
              <a:pPr>
                <a:defRPr sz="5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5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962749119"/>
        <c:crosses val="autoZero"/>
        <c:crossBetween val="midCat"/>
      </c:valAx>
      <c:valAx>
        <c:axId val="96274911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5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GB"/>
                  <a:t>BOD (mg/L)</a:t>
                </a:r>
              </a:p>
            </c:rich>
          </c:tx>
          <c:overlay val="0"/>
          <c:spPr>
            <a:noFill/>
            <a:ln>
              <a:noFill/>
            </a:ln>
            <a:effectLst/>
          </c:spPr>
          <c:txPr>
            <a:bodyPr rot="-5400000" spcFirstLastPara="1" vertOverflow="ellipsis" vert="horz" wrap="square" anchor="ctr" anchorCtr="1"/>
            <a:lstStyle/>
            <a:p>
              <a:pPr>
                <a:defRPr sz="5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5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804832655"/>
        <c:crosses val="autoZero"/>
        <c:crossBetween val="midCat"/>
      </c:valAx>
      <c:spPr>
        <a:noFill/>
        <a:ln>
          <a:noFill/>
        </a:ln>
        <a:effectLst/>
      </c:spPr>
    </c:plotArea>
    <c:legend>
      <c:legendPos val="b"/>
      <c:layout>
        <c:manualLayout>
          <c:xMode val="edge"/>
          <c:yMode val="edge"/>
          <c:x val="0.11665918970344817"/>
          <c:y val="0.76627142630165124"/>
          <c:w val="0.7666810018099407"/>
          <c:h val="0.19618751316338859"/>
        </c:manualLayout>
      </c:layout>
      <c:overlay val="0"/>
      <c:spPr>
        <a:noFill/>
        <a:ln>
          <a:noFill/>
        </a:ln>
        <a:effectLst/>
      </c:spPr>
      <c:txPr>
        <a:bodyPr rot="0" spcFirstLastPara="1" vertOverflow="ellipsis" vert="horz" wrap="square" anchor="ctr" anchorCtr="1"/>
        <a:lstStyle/>
        <a:p>
          <a:pPr>
            <a:defRPr sz="5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500">
          <a:latin typeface="Arial" panose="020B0604020202020204" pitchFamily="34" charset="0"/>
          <a:cs typeface="Arial" panose="020B0604020202020204" pitchFamily="34" charset="0"/>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757019321504263"/>
          <c:y val="3.7541060534960112E-2"/>
          <c:w val="0.74174218399517344"/>
          <c:h val="0.55616711683916098"/>
        </c:manualLayout>
      </c:layout>
      <c:scatterChart>
        <c:scatterStyle val="lineMarker"/>
        <c:varyColors val="0"/>
        <c:ser>
          <c:idx val="0"/>
          <c:order val="0"/>
          <c:tx>
            <c:v>COD</c:v>
          </c:tx>
          <c:spPr>
            <a:ln w="12700" cap="rnd">
              <a:solidFill>
                <a:sysClr val="windowText" lastClr="000000"/>
              </a:solidFill>
              <a:round/>
            </a:ln>
            <a:effectLst/>
          </c:spPr>
          <c:marker>
            <c:symbol val="circle"/>
            <c:size val="2"/>
            <c:spPr>
              <a:solidFill>
                <a:schemeClr val="tx1"/>
              </a:solidFill>
              <a:ln w="12700">
                <a:solidFill>
                  <a:sysClr val="windowText" lastClr="000000"/>
                </a:solidFill>
              </a:ln>
              <a:effectLst/>
            </c:spPr>
          </c:marker>
          <c:xVal>
            <c:numRef>
              <c:f>'COD_Scenario 2'!$B$2:$B$37</c:f>
              <c:numCache>
                <c:formatCode>General</c:formatCode>
                <c:ptCount val="36"/>
                <c:pt idx="0">
                  <c:v>2359.89</c:v>
                </c:pt>
                <c:pt idx="1">
                  <c:v>2321.59</c:v>
                </c:pt>
                <c:pt idx="2">
                  <c:v>2290.59</c:v>
                </c:pt>
                <c:pt idx="3">
                  <c:v>2260.29</c:v>
                </c:pt>
                <c:pt idx="4">
                  <c:v>2208.39</c:v>
                </c:pt>
                <c:pt idx="5">
                  <c:v>2122.89</c:v>
                </c:pt>
                <c:pt idx="6">
                  <c:v>1964.89</c:v>
                </c:pt>
                <c:pt idx="7">
                  <c:v>1831.39</c:v>
                </c:pt>
                <c:pt idx="8">
                  <c:v>1755.59</c:v>
                </c:pt>
                <c:pt idx="9">
                  <c:v>1681.59</c:v>
                </c:pt>
                <c:pt idx="10">
                  <c:v>1631.39</c:v>
                </c:pt>
                <c:pt idx="11">
                  <c:v>1564.99</c:v>
                </c:pt>
                <c:pt idx="12">
                  <c:v>1487.59</c:v>
                </c:pt>
                <c:pt idx="13">
                  <c:v>1418.59</c:v>
                </c:pt>
                <c:pt idx="14">
                  <c:v>1365.79</c:v>
                </c:pt>
                <c:pt idx="15">
                  <c:v>1179.19</c:v>
                </c:pt>
                <c:pt idx="16">
                  <c:v>1001.19</c:v>
                </c:pt>
                <c:pt idx="17">
                  <c:v>955.89</c:v>
                </c:pt>
                <c:pt idx="18">
                  <c:v>909.49</c:v>
                </c:pt>
                <c:pt idx="19">
                  <c:v>754.1</c:v>
                </c:pt>
                <c:pt idx="20">
                  <c:v>673.4</c:v>
                </c:pt>
                <c:pt idx="21">
                  <c:v>558</c:v>
                </c:pt>
                <c:pt idx="22">
                  <c:v>455.6</c:v>
                </c:pt>
                <c:pt idx="23">
                  <c:v>434.1</c:v>
                </c:pt>
                <c:pt idx="24">
                  <c:v>413.7</c:v>
                </c:pt>
                <c:pt idx="25">
                  <c:v>393</c:v>
                </c:pt>
                <c:pt idx="26">
                  <c:v>357.5</c:v>
                </c:pt>
                <c:pt idx="27">
                  <c:v>324</c:v>
                </c:pt>
                <c:pt idx="28">
                  <c:v>295.5</c:v>
                </c:pt>
                <c:pt idx="29">
                  <c:v>273.3</c:v>
                </c:pt>
                <c:pt idx="30">
                  <c:v>242</c:v>
                </c:pt>
                <c:pt idx="31">
                  <c:v>180.6</c:v>
                </c:pt>
                <c:pt idx="32">
                  <c:v>123.6</c:v>
                </c:pt>
                <c:pt idx="33">
                  <c:v>81</c:v>
                </c:pt>
                <c:pt idx="34">
                  <c:v>32.799999999999997</c:v>
                </c:pt>
                <c:pt idx="35">
                  <c:v>0</c:v>
                </c:pt>
              </c:numCache>
            </c:numRef>
          </c:xVal>
          <c:yVal>
            <c:numRef>
              <c:f>'COD_Scenario 2'!$DD$2:$DD$37</c:f>
              <c:numCache>
                <c:formatCode>General</c:formatCode>
                <c:ptCount val="36"/>
                <c:pt idx="0">
                  <c:v>40</c:v>
                </c:pt>
                <c:pt idx="1">
                  <c:v>39.826645221152397</c:v>
                </c:pt>
                <c:pt idx="2">
                  <c:v>39.830713609102197</c:v>
                </c:pt>
                <c:pt idx="3">
                  <c:v>40.531938852820097</c:v>
                </c:pt>
                <c:pt idx="4">
                  <c:v>62.7190093161365</c:v>
                </c:pt>
                <c:pt idx="5">
                  <c:v>79.668489092184103</c:v>
                </c:pt>
                <c:pt idx="6">
                  <c:v>78.051163394921204</c:v>
                </c:pt>
                <c:pt idx="7">
                  <c:v>77.437426193131003</c:v>
                </c:pt>
                <c:pt idx="8">
                  <c:v>76.902500460912407</c:v>
                </c:pt>
                <c:pt idx="9">
                  <c:v>76.571159295453796</c:v>
                </c:pt>
                <c:pt idx="10">
                  <c:v>76.263506516596493</c:v>
                </c:pt>
                <c:pt idx="11">
                  <c:v>78.267489924058296</c:v>
                </c:pt>
                <c:pt idx="12">
                  <c:v>79.980371360058797</c:v>
                </c:pt>
                <c:pt idx="13">
                  <c:v>79.536082136299797</c:v>
                </c:pt>
                <c:pt idx="14">
                  <c:v>77.546263078935198</c:v>
                </c:pt>
                <c:pt idx="15">
                  <c:v>79.641401217738803</c:v>
                </c:pt>
                <c:pt idx="16">
                  <c:v>79.797533196968601</c:v>
                </c:pt>
                <c:pt idx="17">
                  <c:v>79.374041670929998</c:v>
                </c:pt>
                <c:pt idx="18">
                  <c:v>78.970054931185601</c:v>
                </c:pt>
                <c:pt idx="19">
                  <c:v>79.147536972608407</c:v>
                </c:pt>
                <c:pt idx="20">
                  <c:v>79.296068249580003</c:v>
                </c:pt>
                <c:pt idx="21">
                  <c:v>79.609091343955498</c:v>
                </c:pt>
                <c:pt idx="22">
                  <c:v>79.7495454415007</c:v>
                </c:pt>
                <c:pt idx="23">
                  <c:v>79.762521016293903</c:v>
                </c:pt>
                <c:pt idx="24">
                  <c:v>79.720018088656801</c:v>
                </c:pt>
                <c:pt idx="25">
                  <c:v>79.4767724343411</c:v>
                </c:pt>
                <c:pt idx="26">
                  <c:v>79.394867632441802</c:v>
                </c:pt>
                <c:pt idx="27">
                  <c:v>79.171356648916799</c:v>
                </c:pt>
                <c:pt idx="28">
                  <c:v>78.783194147787597</c:v>
                </c:pt>
                <c:pt idx="29">
                  <c:v>78.079507030566702</c:v>
                </c:pt>
                <c:pt idx="30">
                  <c:v>77.254012430983195</c:v>
                </c:pt>
                <c:pt idx="31">
                  <c:v>77.089660268278095</c:v>
                </c:pt>
                <c:pt idx="32">
                  <c:v>76.973846044340107</c:v>
                </c:pt>
                <c:pt idx="33">
                  <c:v>76.841758560083605</c:v>
                </c:pt>
                <c:pt idx="34">
                  <c:v>76.771321543085705</c:v>
                </c:pt>
                <c:pt idx="35">
                  <c:v>76.771319219534405</c:v>
                </c:pt>
              </c:numCache>
            </c:numRef>
          </c:yVal>
          <c:smooth val="0"/>
          <c:extLst>
            <c:ext xmlns:c16="http://schemas.microsoft.com/office/drawing/2014/chart" uri="{C3380CC4-5D6E-409C-BE32-E72D297353CC}">
              <c16:uniqueId val="{00000000-9EE7-4FDA-9441-8216F1A70BD6}"/>
            </c:ext>
          </c:extLst>
        </c:ser>
        <c:ser>
          <c:idx val="1"/>
          <c:order val="1"/>
          <c:tx>
            <c:v>Class 1</c:v>
          </c:tx>
          <c:spPr>
            <a:ln w="19050" cap="rnd">
              <a:solidFill>
                <a:srgbClr val="92D050"/>
              </a:solidFill>
              <a:round/>
            </a:ln>
            <a:effectLst/>
          </c:spPr>
          <c:marker>
            <c:symbol val="none"/>
          </c:marker>
          <c:xVal>
            <c:numRef>
              <c:f>'COD_Scenario 2'!$B$2:$B$37</c:f>
              <c:numCache>
                <c:formatCode>General</c:formatCode>
                <c:ptCount val="36"/>
                <c:pt idx="0">
                  <c:v>2359.89</c:v>
                </c:pt>
                <c:pt idx="1">
                  <c:v>2321.59</c:v>
                </c:pt>
                <c:pt idx="2">
                  <c:v>2290.59</c:v>
                </c:pt>
                <c:pt idx="3">
                  <c:v>2260.29</c:v>
                </c:pt>
                <c:pt idx="4">
                  <c:v>2208.39</c:v>
                </c:pt>
                <c:pt idx="5">
                  <c:v>2122.89</c:v>
                </c:pt>
                <c:pt idx="6">
                  <c:v>1964.89</c:v>
                </c:pt>
                <c:pt idx="7">
                  <c:v>1831.39</c:v>
                </c:pt>
                <c:pt idx="8">
                  <c:v>1755.59</c:v>
                </c:pt>
                <c:pt idx="9">
                  <c:v>1681.59</c:v>
                </c:pt>
                <c:pt idx="10">
                  <c:v>1631.39</c:v>
                </c:pt>
                <c:pt idx="11">
                  <c:v>1564.99</c:v>
                </c:pt>
                <c:pt idx="12">
                  <c:v>1487.59</c:v>
                </c:pt>
                <c:pt idx="13">
                  <c:v>1418.59</c:v>
                </c:pt>
                <c:pt idx="14">
                  <c:v>1365.79</c:v>
                </c:pt>
                <c:pt idx="15">
                  <c:v>1179.19</c:v>
                </c:pt>
                <c:pt idx="16">
                  <c:v>1001.19</c:v>
                </c:pt>
                <c:pt idx="17">
                  <c:v>955.89</c:v>
                </c:pt>
                <c:pt idx="18">
                  <c:v>909.49</c:v>
                </c:pt>
                <c:pt idx="19">
                  <c:v>754.1</c:v>
                </c:pt>
                <c:pt idx="20">
                  <c:v>673.4</c:v>
                </c:pt>
                <c:pt idx="21">
                  <c:v>558</c:v>
                </c:pt>
                <c:pt idx="22">
                  <c:v>455.6</c:v>
                </c:pt>
                <c:pt idx="23">
                  <c:v>434.1</c:v>
                </c:pt>
                <c:pt idx="24">
                  <c:v>413.7</c:v>
                </c:pt>
                <c:pt idx="25">
                  <c:v>393</c:v>
                </c:pt>
                <c:pt idx="26">
                  <c:v>357.5</c:v>
                </c:pt>
                <c:pt idx="27">
                  <c:v>324</c:v>
                </c:pt>
                <c:pt idx="28">
                  <c:v>295.5</c:v>
                </c:pt>
                <c:pt idx="29">
                  <c:v>273.3</c:v>
                </c:pt>
                <c:pt idx="30">
                  <c:v>242</c:v>
                </c:pt>
                <c:pt idx="31">
                  <c:v>180.6</c:v>
                </c:pt>
                <c:pt idx="32">
                  <c:v>123.6</c:v>
                </c:pt>
                <c:pt idx="33">
                  <c:v>81</c:v>
                </c:pt>
                <c:pt idx="34">
                  <c:v>32.799999999999997</c:v>
                </c:pt>
                <c:pt idx="35">
                  <c:v>0</c:v>
                </c:pt>
              </c:numCache>
            </c:numRef>
          </c:xVal>
          <c:yVal>
            <c:numRef>
              <c:f>WQR!$J$2:$J$37</c:f>
              <c:numCache>
                <c:formatCode>General</c:formatCode>
                <c:ptCount val="36"/>
                <c:pt idx="0">
                  <c:v>10</c:v>
                </c:pt>
                <c:pt idx="1">
                  <c:v>10</c:v>
                </c:pt>
                <c:pt idx="2">
                  <c:v>10</c:v>
                </c:pt>
                <c:pt idx="3">
                  <c:v>10</c:v>
                </c:pt>
                <c:pt idx="4">
                  <c:v>10</c:v>
                </c:pt>
                <c:pt idx="5">
                  <c:v>10</c:v>
                </c:pt>
                <c:pt idx="6">
                  <c:v>10</c:v>
                </c:pt>
                <c:pt idx="7">
                  <c:v>10</c:v>
                </c:pt>
                <c:pt idx="8">
                  <c:v>10</c:v>
                </c:pt>
                <c:pt idx="9">
                  <c:v>10</c:v>
                </c:pt>
                <c:pt idx="10">
                  <c:v>10</c:v>
                </c:pt>
                <c:pt idx="11">
                  <c:v>10</c:v>
                </c:pt>
                <c:pt idx="12">
                  <c:v>10</c:v>
                </c:pt>
                <c:pt idx="13">
                  <c:v>10</c:v>
                </c:pt>
                <c:pt idx="14">
                  <c:v>10</c:v>
                </c:pt>
                <c:pt idx="15">
                  <c:v>10</c:v>
                </c:pt>
                <c:pt idx="16">
                  <c:v>10</c:v>
                </c:pt>
                <c:pt idx="17">
                  <c:v>10</c:v>
                </c:pt>
                <c:pt idx="18">
                  <c:v>10</c:v>
                </c:pt>
                <c:pt idx="19">
                  <c:v>10</c:v>
                </c:pt>
                <c:pt idx="20">
                  <c:v>10</c:v>
                </c:pt>
                <c:pt idx="21">
                  <c:v>10</c:v>
                </c:pt>
                <c:pt idx="22">
                  <c:v>10</c:v>
                </c:pt>
                <c:pt idx="23">
                  <c:v>10</c:v>
                </c:pt>
                <c:pt idx="24">
                  <c:v>10</c:v>
                </c:pt>
                <c:pt idx="25">
                  <c:v>10</c:v>
                </c:pt>
                <c:pt idx="26">
                  <c:v>10</c:v>
                </c:pt>
                <c:pt idx="27">
                  <c:v>10</c:v>
                </c:pt>
                <c:pt idx="28">
                  <c:v>10</c:v>
                </c:pt>
                <c:pt idx="29">
                  <c:v>10</c:v>
                </c:pt>
                <c:pt idx="30">
                  <c:v>10</c:v>
                </c:pt>
                <c:pt idx="31">
                  <c:v>10</c:v>
                </c:pt>
                <c:pt idx="32">
                  <c:v>10</c:v>
                </c:pt>
                <c:pt idx="33">
                  <c:v>10</c:v>
                </c:pt>
                <c:pt idx="34">
                  <c:v>10</c:v>
                </c:pt>
                <c:pt idx="35">
                  <c:v>10</c:v>
                </c:pt>
              </c:numCache>
            </c:numRef>
          </c:yVal>
          <c:smooth val="0"/>
          <c:extLst>
            <c:ext xmlns:c16="http://schemas.microsoft.com/office/drawing/2014/chart" uri="{C3380CC4-5D6E-409C-BE32-E72D297353CC}">
              <c16:uniqueId val="{00000001-9EE7-4FDA-9441-8216F1A70BD6}"/>
            </c:ext>
          </c:extLst>
        </c:ser>
        <c:ser>
          <c:idx val="2"/>
          <c:order val="2"/>
          <c:tx>
            <c:v>Class 2</c:v>
          </c:tx>
          <c:spPr>
            <a:ln w="19050" cap="rnd">
              <a:solidFill>
                <a:srgbClr val="00B0F0"/>
              </a:solidFill>
              <a:round/>
            </a:ln>
            <a:effectLst/>
          </c:spPr>
          <c:marker>
            <c:symbol val="none"/>
          </c:marker>
          <c:xVal>
            <c:numRef>
              <c:f>'COD_Scenario 2'!$B$2:$B$37</c:f>
              <c:numCache>
                <c:formatCode>General</c:formatCode>
                <c:ptCount val="36"/>
                <c:pt idx="0">
                  <c:v>2359.89</c:v>
                </c:pt>
                <c:pt idx="1">
                  <c:v>2321.59</c:v>
                </c:pt>
                <c:pt idx="2">
                  <c:v>2290.59</c:v>
                </c:pt>
                <c:pt idx="3">
                  <c:v>2260.29</c:v>
                </c:pt>
                <c:pt idx="4">
                  <c:v>2208.39</c:v>
                </c:pt>
                <c:pt idx="5">
                  <c:v>2122.89</c:v>
                </c:pt>
                <c:pt idx="6">
                  <c:v>1964.89</c:v>
                </c:pt>
                <c:pt idx="7">
                  <c:v>1831.39</c:v>
                </c:pt>
                <c:pt idx="8">
                  <c:v>1755.59</c:v>
                </c:pt>
                <c:pt idx="9">
                  <c:v>1681.59</c:v>
                </c:pt>
                <c:pt idx="10">
                  <c:v>1631.39</c:v>
                </c:pt>
                <c:pt idx="11">
                  <c:v>1564.99</c:v>
                </c:pt>
                <c:pt idx="12">
                  <c:v>1487.59</c:v>
                </c:pt>
                <c:pt idx="13">
                  <c:v>1418.59</c:v>
                </c:pt>
                <c:pt idx="14">
                  <c:v>1365.79</c:v>
                </c:pt>
                <c:pt idx="15">
                  <c:v>1179.19</c:v>
                </c:pt>
                <c:pt idx="16">
                  <c:v>1001.19</c:v>
                </c:pt>
                <c:pt idx="17">
                  <c:v>955.89</c:v>
                </c:pt>
                <c:pt idx="18">
                  <c:v>909.49</c:v>
                </c:pt>
                <c:pt idx="19">
                  <c:v>754.1</c:v>
                </c:pt>
                <c:pt idx="20">
                  <c:v>673.4</c:v>
                </c:pt>
                <c:pt idx="21">
                  <c:v>558</c:v>
                </c:pt>
                <c:pt idx="22">
                  <c:v>455.6</c:v>
                </c:pt>
                <c:pt idx="23">
                  <c:v>434.1</c:v>
                </c:pt>
                <c:pt idx="24">
                  <c:v>413.7</c:v>
                </c:pt>
                <c:pt idx="25">
                  <c:v>393</c:v>
                </c:pt>
                <c:pt idx="26">
                  <c:v>357.5</c:v>
                </c:pt>
                <c:pt idx="27">
                  <c:v>324</c:v>
                </c:pt>
                <c:pt idx="28">
                  <c:v>295.5</c:v>
                </c:pt>
                <c:pt idx="29">
                  <c:v>273.3</c:v>
                </c:pt>
                <c:pt idx="30">
                  <c:v>242</c:v>
                </c:pt>
                <c:pt idx="31">
                  <c:v>180.6</c:v>
                </c:pt>
                <c:pt idx="32">
                  <c:v>123.6</c:v>
                </c:pt>
                <c:pt idx="33">
                  <c:v>81</c:v>
                </c:pt>
                <c:pt idx="34">
                  <c:v>32.799999999999997</c:v>
                </c:pt>
                <c:pt idx="35">
                  <c:v>0</c:v>
                </c:pt>
              </c:numCache>
            </c:numRef>
          </c:xVal>
          <c:yVal>
            <c:numRef>
              <c:f>WQR!$K$2:$K$37</c:f>
              <c:numCache>
                <c:formatCode>General</c:formatCode>
                <c:ptCount val="36"/>
                <c:pt idx="0">
                  <c:v>25</c:v>
                </c:pt>
                <c:pt idx="1">
                  <c:v>25</c:v>
                </c:pt>
                <c:pt idx="2">
                  <c:v>25</c:v>
                </c:pt>
                <c:pt idx="3">
                  <c:v>25</c:v>
                </c:pt>
                <c:pt idx="4">
                  <c:v>25</c:v>
                </c:pt>
                <c:pt idx="5">
                  <c:v>25</c:v>
                </c:pt>
                <c:pt idx="6">
                  <c:v>25</c:v>
                </c:pt>
                <c:pt idx="7">
                  <c:v>25</c:v>
                </c:pt>
                <c:pt idx="8">
                  <c:v>25</c:v>
                </c:pt>
                <c:pt idx="9">
                  <c:v>25</c:v>
                </c:pt>
                <c:pt idx="10">
                  <c:v>25</c:v>
                </c:pt>
                <c:pt idx="11">
                  <c:v>25</c:v>
                </c:pt>
                <c:pt idx="12">
                  <c:v>25</c:v>
                </c:pt>
                <c:pt idx="13">
                  <c:v>25</c:v>
                </c:pt>
                <c:pt idx="14">
                  <c:v>25</c:v>
                </c:pt>
                <c:pt idx="15">
                  <c:v>25</c:v>
                </c:pt>
                <c:pt idx="16">
                  <c:v>25</c:v>
                </c:pt>
                <c:pt idx="17">
                  <c:v>25</c:v>
                </c:pt>
                <c:pt idx="18">
                  <c:v>25</c:v>
                </c:pt>
                <c:pt idx="19">
                  <c:v>25</c:v>
                </c:pt>
                <c:pt idx="20">
                  <c:v>25</c:v>
                </c:pt>
                <c:pt idx="21">
                  <c:v>25</c:v>
                </c:pt>
                <c:pt idx="22">
                  <c:v>25</c:v>
                </c:pt>
                <c:pt idx="23">
                  <c:v>25</c:v>
                </c:pt>
                <c:pt idx="24">
                  <c:v>25</c:v>
                </c:pt>
                <c:pt idx="25">
                  <c:v>25</c:v>
                </c:pt>
                <c:pt idx="26">
                  <c:v>25</c:v>
                </c:pt>
                <c:pt idx="27">
                  <c:v>25</c:v>
                </c:pt>
                <c:pt idx="28">
                  <c:v>25</c:v>
                </c:pt>
                <c:pt idx="29">
                  <c:v>25</c:v>
                </c:pt>
                <c:pt idx="30">
                  <c:v>25</c:v>
                </c:pt>
                <c:pt idx="31">
                  <c:v>25</c:v>
                </c:pt>
                <c:pt idx="32">
                  <c:v>25</c:v>
                </c:pt>
                <c:pt idx="33">
                  <c:v>25</c:v>
                </c:pt>
                <c:pt idx="34">
                  <c:v>25</c:v>
                </c:pt>
                <c:pt idx="35">
                  <c:v>25</c:v>
                </c:pt>
              </c:numCache>
            </c:numRef>
          </c:yVal>
          <c:smooth val="0"/>
          <c:extLst>
            <c:ext xmlns:c16="http://schemas.microsoft.com/office/drawing/2014/chart" uri="{C3380CC4-5D6E-409C-BE32-E72D297353CC}">
              <c16:uniqueId val="{00000002-9EE7-4FDA-9441-8216F1A70BD6}"/>
            </c:ext>
          </c:extLst>
        </c:ser>
        <c:ser>
          <c:idx val="3"/>
          <c:order val="3"/>
          <c:tx>
            <c:v>Class 3</c:v>
          </c:tx>
          <c:spPr>
            <a:ln w="19050" cap="rnd">
              <a:solidFill>
                <a:schemeClr val="accent2"/>
              </a:solidFill>
              <a:round/>
            </a:ln>
            <a:effectLst/>
          </c:spPr>
          <c:marker>
            <c:symbol val="none"/>
          </c:marker>
          <c:xVal>
            <c:numRef>
              <c:f>'COD_Scenario 2'!$B$2:$B$37</c:f>
              <c:numCache>
                <c:formatCode>General</c:formatCode>
                <c:ptCount val="36"/>
                <c:pt idx="0">
                  <c:v>2359.89</c:v>
                </c:pt>
                <c:pt idx="1">
                  <c:v>2321.59</c:v>
                </c:pt>
                <c:pt idx="2">
                  <c:v>2290.59</c:v>
                </c:pt>
                <c:pt idx="3">
                  <c:v>2260.29</c:v>
                </c:pt>
                <c:pt idx="4">
                  <c:v>2208.39</c:v>
                </c:pt>
                <c:pt idx="5">
                  <c:v>2122.89</c:v>
                </c:pt>
                <c:pt idx="6">
                  <c:v>1964.89</c:v>
                </c:pt>
                <c:pt idx="7">
                  <c:v>1831.39</c:v>
                </c:pt>
                <c:pt idx="8">
                  <c:v>1755.59</c:v>
                </c:pt>
                <c:pt idx="9">
                  <c:v>1681.59</c:v>
                </c:pt>
                <c:pt idx="10">
                  <c:v>1631.39</c:v>
                </c:pt>
                <c:pt idx="11">
                  <c:v>1564.99</c:v>
                </c:pt>
                <c:pt idx="12">
                  <c:v>1487.59</c:v>
                </c:pt>
                <c:pt idx="13">
                  <c:v>1418.59</c:v>
                </c:pt>
                <c:pt idx="14">
                  <c:v>1365.79</c:v>
                </c:pt>
                <c:pt idx="15">
                  <c:v>1179.19</c:v>
                </c:pt>
                <c:pt idx="16">
                  <c:v>1001.19</c:v>
                </c:pt>
                <c:pt idx="17">
                  <c:v>955.89</c:v>
                </c:pt>
                <c:pt idx="18">
                  <c:v>909.49</c:v>
                </c:pt>
                <c:pt idx="19">
                  <c:v>754.1</c:v>
                </c:pt>
                <c:pt idx="20">
                  <c:v>673.4</c:v>
                </c:pt>
                <c:pt idx="21">
                  <c:v>558</c:v>
                </c:pt>
                <c:pt idx="22">
                  <c:v>455.6</c:v>
                </c:pt>
                <c:pt idx="23">
                  <c:v>434.1</c:v>
                </c:pt>
                <c:pt idx="24">
                  <c:v>413.7</c:v>
                </c:pt>
                <c:pt idx="25">
                  <c:v>393</c:v>
                </c:pt>
                <c:pt idx="26">
                  <c:v>357.5</c:v>
                </c:pt>
                <c:pt idx="27">
                  <c:v>324</c:v>
                </c:pt>
                <c:pt idx="28">
                  <c:v>295.5</c:v>
                </c:pt>
                <c:pt idx="29">
                  <c:v>273.3</c:v>
                </c:pt>
                <c:pt idx="30">
                  <c:v>242</c:v>
                </c:pt>
                <c:pt idx="31">
                  <c:v>180.6</c:v>
                </c:pt>
                <c:pt idx="32">
                  <c:v>123.6</c:v>
                </c:pt>
                <c:pt idx="33">
                  <c:v>81</c:v>
                </c:pt>
                <c:pt idx="34">
                  <c:v>32.799999999999997</c:v>
                </c:pt>
                <c:pt idx="35">
                  <c:v>0</c:v>
                </c:pt>
              </c:numCache>
            </c:numRef>
          </c:xVal>
          <c:yVal>
            <c:numRef>
              <c:f>WQR!$L$2:$L$37</c:f>
              <c:numCache>
                <c:formatCode>General</c:formatCode>
                <c:ptCount val="36"/>
                <c:pt idx="0">
                  <c:v>40</c:v>
                </c:pt>
                <c:pt idx="1">
                  <c:v>40</c:v>
                </c:pt>
                <c:pt idx="2">
                  <c:v>40</c:v>
                </c:pt>
                <c:pt idx="3">
                  <c:v>40</c:v>
                </c:pt>
                <c:pt idx="4">
                  <c:v>40</c:v>
                </c:pt>
                <c:pt idx="5">
                  <c:v>40</c:v>
                </c:pt>
                <c:pt idx="6">
                  <c:v>40</c:v>
                </c:pt>
                <c:pt idx="7">
                  <c:v>40</c:v>
                </c:pt>
                <c:pt idx="8">
                  <c:v>40</c:v>
                </c:pt>
                <c:pt idx="9">
                  <c:v>40</c:v>
                </c:pt>
                <c:pt idx="10">
                  <c:v>40</c:v>
                </c:pt>
                <c:pt idx="11">
                  <c:v>40</c:v>
                </c:pt>
                <c:pt idx="12">
                  <c:v>40</c:v>
                </c:pt>
                <c:pt idx="13">
                  <c:v>40</c:v>
                </c:pt>
                <c:pt idx="14">
                  <c:v>40</c:v>
                </c:pt>
                <c:pt idx="15">
                  <c:v>40</c:v>
                </c:pt>
                <c:pt idx="16">
                  <c:v>40</c:v>
                </c:pt>
                <c:pt idx="17">
                  <c:v>40</c:v>
                </c:pt>
                <c:pt idx="18">
                  <c:v>40</c:v>
                </c:pt>
                <c:pt idx="19">
                  <c:v>40</c:v>
                </c:pt>
                <c:pt idx="20">
                  <c:v>40</c:v>
                </c:pt>
                <c:pt idx="21">
                  <c:v>40</c:v>
                </c:pt>
                <c:pt idx="22">
                  <c:v>40</c:v>
                </c:pt>
                <c:pt idx="23">
                  <c:v>40</c:v>
                </c:pt>
                <c:pt idx="24">
                  <c:v>40</c:v>
                </c:pt>
                <c:pt idx="25">
                  <c:v>40</c:v>
                </c:pt>
                <c:pt idx="26">
                  <c:v>40</c:v>
                </c:pt>
                <c:pt idx="27">
                  <c:v>40</c:v>
                </c:pt>
                <c:pt idx="28">
                  <c:v>40</c:v>
                </c:pt>
                <c:pt idx="29">
                  <c:v>40</c:v>
                </c:pt>
                <c:pt idx="30">
                  <c:v>40</c:v>
                </c:pt>
                <c:pt idx="31">
                  <c:v>40</c:v>
                </c:pt>
                <c:pt idx="32">
                  <c:v>40</c:v>
                </c:pt>
                <c:pt idx="33">
                  <c:v>40</c:v>
                </c:pt>
                <c:pt idx="34">
                  <c:v>40</c:v>
                </c:pt>
                <c:pt idx="35">
                  <c:v>40</c:v>
                </c:pt>
              </c:numCache>
            </c:numRef>
          </c:yVal>
          <c:smooth val="0"/>
          <c:extLst>
            <c:ext xmlns:c16="http://schemas.microsoft.com/office/drawing/2014/chart" uri="{C3380CC4-5D6E-409C-BE32-E72D297353CC}">
              <c16:uniqueId val="{00000003-9EE7-4FDA-9441-8216F1A70BD6}"/>
            </c:ext>
          </c:extLst>
        </c:ser>
        <c:ser>
          <c:idx val="4"/>
          <c:order val="4"/>
          <c:tx>
            <c:v>Class 4</c:v>
          </c:tx>
          <c:spPr>
            <a:ln w="19050" cap="rnd">
              <a:solidFill>
                <a:srgbClr val="FF0000"/>
              </a:solidFill>
              <a:round/>
            </a:ln>
            <a:effectLst/>
          </c:spPr>
          <c:marker>
            <c:symbol val="none"/>
          </c:marker>
          <c:xVal>
            <c:numRef>
              <c:f>'COD_Scenario 2'!$B$2:$B$37</c:f>
              <c:numCache>
                <c:formatCode>General</c:formatCode>
                <c:ptCount val="36"/>
                <c:pt idx="0">
                  <c:v>2359.89</c:v>
                </c:pt>
                <c:pt idx="1">
                  <c:v>2321.59</c:v>
                </c:pt>
                <c:pt idx="2">
                  <c:v>2290.59</c:v>
                </c:pt>
                <c:pt idx="3">
                  <c:v>2260.29</c:v>
                </c:pt>
                <c:pt idx="4">
                  <c:v>2208.39</c:v>
                </c:pt>
                <c:pt idx="5">
                  <c:v>2122.89</c:v>
                </c:pt>
                <c:pt idx="6">
                  <c:v>1964.89</c:v>
                </c:pt>
                <c:pt idx="7">
                  <c:v>1831.39</c:v>
                </c:pt>
                <c:pt idx="8">
                  <c:v>1755.59</c:v>
                </c:pt>
                <c:pt idx="9">
                  <c:v>1681.59</c:v>
                </c:pt>
                <c:pt idx="10">
                  <c:v>1631.39</c:v>
                </c:pt>
                <c:pt idx="11">
                  <c:v>1564.99</c:v>
                </c:pt>
                <c:pt idx="12">
                  <c:v>1487.59</c:v>
                </c:pt>
                <c:pt idx="13">
                  <c:v>1418.59</c:v>
                </c:pt>
                <c:pt idx="14">
                  <c:v>1365.79</c:v>
                </c:pt>
                <c:pt idx="15">
                  <c:v>1179.19</c:v>
                </c:pt>
                <c:pt idx="16">
                  <c:v>1001.19</c:v>
                </c:pt>
                <c:pt idx="17">
                  <c:v>955.89</c:v>
                </c:pt>
                <c:pt idx="18">
                  <c:v>909.49</c:v>
                </c:pt>
                <c:pt idx="19">
                  <c:v>754.1</c:v>
                </c:pt>
                <c:pt idx="20">
                  <c:v>673.4</c:v>
                </c:pt>
                <c:pt idx="21">
                  <c:v>558</c:v>
                </c:pt>
                <c:pt idx="22">
                  <c:v>455.6</c:v>
                </c:pt>
                <c:pt idx="23">
                  <c:v>434.1</c:v>
                </c:pt>
                <c:pt idx="24">
                  <c:v>413.7</c:v>
                </c:pt>
                <c:pt idx="25">
                  <c:v>393</c:v>
                </c:pt>
                <c:pt idx="26">
                  <c:v>357.5</c:v>
                </c:pt>
                <c:pt idx="27">
                  <c:v>324</c:v>
                </c:pt>
                <c:pt idx="28">
                  <c:v>295.5</c:v>
                </c:pt>
                <c:pt idx="29">
                  <c:v>273.3</c:v>
                </c:pt>
                <c:pt idx="30">
                  <c:v>242</c:v>
                </c:pt>
                <c:pt idx="31">
                  <c:v>180.6</c:v>
                </c:pt>
                <c:pt idx="32">
                  <c:v>123.6</c:v>
                </c:pt>
                <c:pt idx="33">
                  <c:v>81</c:v>
                </c:pt>
                <c:pt idx="34">
                  <c:v>32.799999999999997</c:v>
                </c:pt>
                <c:pt idx="35">
                  <c:v>0</c:v>
                </c:pt>
              </c:numCache>
            </c:numRef>
          </c:xVal>
          <c:yVal>
            <c:numRef>
              <c:f>WQR!$M$2:$M$37</c:f>
              <c:numCache>
                <c:formatCode>General</c:formatCode>
                <c:ptCount val="36"/>
                <c:pt idx="0">
                  <c:v>80</c:v>
                </c:pt>
                <c:pt idx="1">
                  <c:v>80</c:v>
                </c:pt>
                <c:pt idx="2">
                  <c:v>80</c:v>
                </c:pt>
                <c:pt idx="3">
                  <c:v>80</c:v>
                </c:pt>
                <c:pt idx="4">
                  <c:v>80</c:v>
                </c:pt>
                <c:pt idx="5">
                  <c:v>80</c:v>
                </c:pt>
                <c:pt idx="6">
                  <c:v>80</c:v>
                </c:pt>
                <c:pt idx="7">
                  <c:v>80</c:v>
                </c:pt>
                <c:pt idx="8">
                  <c:v>80</c:v>
                </c:pt>
                <c:pt idx="9">
                  <c:v>80</c:v>
                </c:pt>
                <c:pt idx="10">
                  <c:v>80</c:v>
                </c:pt>
                <c:pt idx="11">
                  <c:v>80</c:v>
                </c:pt>
                <c:pt idx="12">
                  <c:v>80</c:v>
                </c:pt>
                <c:pt idx="13">
                  <c:v>80</c:v>
                </c:pt>
                <c:pt idx="14">
                  <c:v>80</c:v>
                </c:pt>
                <c:pt idx="15">
                  <c:v>80</c:v>
                </c:pt>
                <c:pt idx="16">
                  <c:v>80</c:v>
                </c:pt>
                <c:pt idx="17">
                  <c:v>80</c:v>
                </c:pt>
                <c:pt idx="18">
                  <c:v>80</c:v>
                </c:pt>
                <c:pt idx="19">
                  <c:v>80</c:v>
                </c:pt>
                <c:pt idx="20">
                  <c:v>80</c:v>
                </c:pt>
                <c:pt idx="21">
                  <c:v>80</c:v>
                </c:pt>
                <c:pt idx="22">
                  <c:v>80</c:v>
                </c:pt>
                <c:pt idx="23">
                  <c:v>80</c:v>
                </c:pt>
                <c:pt idx="24">
                  <c:v>80</c:v>
                </c:pt>
                <c:pt idx="25">
                  <c:v>80</c:v>
                </c:pt>
                <c:pt idx="26">
                  <c:v>80</c:v>
                </c:pt>
                <c:pt idx="27">
                  <c:v>80</c:v>
                </c:pt>
                <c:pt idx="28">
                  <c:v>80</c:v>
                </c:pt>
                <c:pt idx="29">
                  <c:v>80</c:v>
                </c:pt>
                <c:pt idx="30">
                  <c:v>80</c:v>
                </c:pt>
                <c:pt idx="31">
                  <c:v>80</c:v>
                </c:pt>
                <c:pt idx="32">
                  <c:v>80</c:v>
                </c:pt>
                <c:pt idx="33">
                  <c:v>80</c:v>
                </c:pt>
                <c:pt idx="34">
                  <c:v>80</c:v>
                </c:pt>
                <c:pt idx="35">
                  <c:v>80</c:v>
                </c:pt>
              </c:numCache>
            </c:numRef>
          </c:yVal>
          <c:smooth val="0"/>
          <c:extLst>
            <c:ext xmlns:c16="http://schemas.microsoft.com/office/drawing/2014/chart" uri="{C3380CC4-5D6E-409C-BE32-E72D297353CC}">
              <c16:uniqueId val="{00000004-9EE7-4FDA-9441-8216F1A70BD6}"/>
            </c:ext>
          </c:extLst>
        </c:ser>
        <c:dLbls>
          <c:showLegendKey val="0"/>
          <c:showVal val="0"/>
          <c:showCatName val="0"/>
          <c:showSerName val="0"/>
          <c:showPercent val="0"/>
          <c:showBubbleSize val="0"/>
        </c:dLbls>
        <c:axId val="804832655"/>
        <c:axId val="962749119"/>
      </c:scatterChart>
      <c:valAx>
        <c:axId val="804832655"/>
        <c:scaling>
          <c:orientation val="minMax"/>
          <c:max val="236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5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GB"/>
                  <a:t>Distance from Downstream (m)</a:t>
                </a:r>
              </a:p>
            </c:rich>
          </c:tx>
          <c:layout>
            <c:manualLayout>
              <c:xMode val="edge"/>
              <c:yMode val="edge"/>
              <c:x val="0.27286171743266868"/>
              <c:y val="0.66434744694923453"/>
            </c:manualLayout>
          </c:layout>
          <c:overlay val="0"/>
          <c:spPr>
            <a:noFill/>
            <a:ln>
              <a:noFill/>
            </a:ln>
            <a:effectLst/>
          </c:spPr>
          <c:txPr>
            <a:bodyPr rot="0" spcFirstLastPara="1" vertOverflow="ellipsis" vert="horz" wrap="square" anchor="ctr" anchorCtr="1"/>
            <a:lstStyle/>
            <a:p>
              <a:pPr>
                <a:defRPr sz="5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5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962749119"/>
        <c:crosses val="autoZero"/>
        <c:crossBetween val="midCat"/>
      </c:valAx>
      <c:valAx>
        <c:axId val="96274911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5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GB"/>
                  <a:t>COD (mg/L)</a:t>
                </a:r>
              </a:p>
            </c:rich>
          </c:tx>
          <c:overlay val="0"/>
          <c:spPr>
            <a:noFill/>
            <a:ln>
              <a:noFill/>
            </a:ln>
            <a:effectLst/>
          </c:spPr>
          <c:txPr>
            <a:bodyPr rot="-5400000" spcFirstLastPara="1" vertOverflow="ellipsis" vert="horz" wrap="square" anchor="ctr" anchorCtr="1"/>
            <a:lstStyle/>
            <a:p>
              <a:pPr>
                <a:defRPr sz="5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5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804832655"/>
        <c:crosses val="autoZero"/>
        <c:crossBetween val="midCat"/>
      </c:valAx>
      <c:spPr>
        <a:noFill/>
        <a:ln>
          <a:noFill/>
        </a:ln>
        <a:effectLst/>
      </c:spPr>
    </c:plotArea>
    <c:legend>
      <c:legendPos val="b"/>
      <c:layout>
        <c:manualLayout>
          <c:xMode val="edge"/>
          <c:yMode val="edge"/>
          <c:x val="0.11665918970344817"/>
          <c:y val="0.7568861611679113"/>
          <c:w val="0.79025664031681697"/>
          <c:h val="0.19618751316338859"/>
        </c:manualLayout>
      </c:layout>
      <c:overlay val="0"/>
      <c:spPr>
        <a:noFill/>
        <a:ln>
          <a:noFill/>
        </a:ln>
        <a:effectLst/>
      </c:spPr>
      <c:txPr>
        <a:bodyPr rot="0" spcFirstLastPara="1" vertOverflow="ellipsis" vert="horz" wrap="square" anchor="ctr" anchorCtr="1"/>
        <a:lstStyle/>
        <a:p>
          <a:pPr>
            <a:defRPr sz="5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500">
          <a:latin typeface="Arial" panose="020B0604020202020204" pitchFamily="34" charset="0"/>
          <a:cs typeface="Arial" panose="020B0604020202020204" pitchFamily="34" charset="0"/>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348405859876551"/>
          <c:y val="2.8155795401220086E-2"/>
          <c:w val="0.72582831861145058"/>
          <c:h val="0.56651455639842296"/>
        </c:manualLayout>
      </c:layout>
      <c:scatterChart>
        <c:scatterStyle val="lineMarker"/>
        <c:varyColors val="0"/>
        <c:ser>
          <c:idx val="0"/>
          <c:order val="0"/>
          <c:tx>
            <c:v>Cu</c:v>
          </c:tx>
          <c:spPr>
            <a:ln w="12700" cap="rnd">
              <a:solidFill>
                <a:sysClr val="windowText" lastClr="000000"/>
              </a:solidFill>
              <a:round/>
            </a:ln>
            <a:effectLst/>
          </c:spPr>
          <c:marker>
            <c:symbol val="circle"/>
            <c:size val="2"/>
            <c:spPr>
              <a:solidFill>
                <a:schemeClr val="tx1"/>
              </a:solidFill>
              <a:ln w="12700">
                <a:solidFill>
                  <a:sysClr val="windowText" lastClr="000000"/>
                </a:solidFill>
              </a:ln>
              <a:effectLst/>
            </c:spPr>
          </c:marker>
          <c:xVal>
            <c:numRef>
              <c:f>'Cu_Scenario 2'!$B$2:$B$37</c:f>
              <c:numCache>
                <c:formatCode>General</c:formatCode>
                <c:ptCount val="36"/>
                <c:pt idx="0">
                  <c:v>2359.89</c:v>
                </c:pt>
                <c:pt idx="1">
                  <c:v>2321.59</c:v>
                </c:pt>
                <c:pt idx="2">
                  <c:v>2290.59</c:v>
                </c:pt>
                <c:pt idx="3">
                  <c:v>2260.29</c:v>
                </c:pt>
                <c:pt idx="4">
                  <c:v>2208.39</c:v>
                </c:pt>
                <c:pt idx="5">
                  <c:v>2122.89</c:v>
                </c:pt>
                <c:pt idx="6">
                  <c:v>1964.89</c:v>
                </c:pt>
                <c:pt idx="7">
                  <c:v>1831.39</c:v>
                </c:pt>
                <c:pt idx="8">
                  <c:v>1755.59</c:v>
                </c:pt>
                <c:pt idx="9">
                  <c:v>1681.59</c:v>
                </c:pt>
                <c:pt idx="10">
                  <c:v>1631.39</c:v>
                </c:pt>
                <c:pt idx="11">
                  <c:v>1564.99</c:v>
                </c:pt>
                <c:pt idx="12">
                  <c:v>1487.59</c:v>
                </c:pt>
                <c:pt idx="13">
                  <c:v>1418.59</c:v>
                </c:pt>
                <c:pt idx="14">
                  <c:v>1365.79</c:v>
                </c:pt>
                <c:pt idx="15">
                  <c:v>1179.19</c:v>
                </c:pt>
                <c:pt idx="16">
                  <c:v>1001.19</c:v>
                </c:pt>
                <c:pt idx="17">
                  <c:v>955.89</c:v>
                </c:pt>
                <c:pt idx="18">
                  <c:v>909.49</c:v>
                </c:pt>
                <c:pt idx="19">
                  <c:v>754.1</c:v>
                </c:pt>
                <c:pt idx="20">
                  <c:v>673.4</c:v>
                </c:pt>
                <c:pt idx="21">
                  <c:v>558</c:v>
                </c:pt>
                <c:pt idx="22">
                  <c:v>455.6</c:v>
                </c:pt>
                <c:pt idx="23">
                  <c:v>434.1</c:v>
                </c:pt>
                <c:pt idx="24">
                  <c:v>413.7</c:v>
                </c:pt>
                <c:pt idx="25">
                  <c:v>393</c:v>
                </c:pt>
                <c:pt idx="26">
                  <c:v>357.5</c:v>
                </c:pt>
                <c:pt idx="27">
                  <c:v>324</c:v>
                </c:pt>
                <c:pt idx="28">
                  <c:v>295.5</c:v>
                </c:pt>
                <c:pt idx="29">
                  <c:v>273.3</c:v>
                </c:pt>
                <c:pt idx="30">
                  <c:v>242</c:v>
                </c:pt>
                <c:pt idx="31">
                  <c:v>180.6</c:v>
                </c:pt>
                <c:pt idx="32">
                  <c:v>123.6</c:v>
                </c:pt>
                <c:pt idx="33">
                  <c:v>81</c:v>
                </c:pt>
                <c:pt idx="34">
                  <c:v>32.799999999999997</c:v>
                </c:pt>
                <c:pt idx="35">
                  <c:v>0</c:v>
                </c:pt>
              </c:numCache>
            </c:numRef>
          </c:xVal>
          <c:yVal>
            <c:numRef>
              <c:f>'Cu_Scenario 2'!$DD$2:$DD$37</c:f>
              <c:numCache>
                <c:formatCode>General</c:formatCode>
                <c:ptCount val="36"/>
                <c:pt idx="0">
                  <c:v>0.02</c:v>
                </c:pt>
                <c:pt idx="1">
                  <c:v>1.9686431807489201E-2</c:v>
                </c:pt>
                <c:pt idx="2">
                  <c:v>1.9745825778169301E-2</c:v>
                </c:pt>
                <c:pt idx="3">
                  <c:v>2.3155993458780999E-2</c:v>
                </c:pt>
                <c:pt idx="4">
                  <c:v>0.12766307066205701</c:v>
                </c:pt>
                <c:pt idx="5">
                  <c:v>0.200168181491889</c:v>
                </c:pt>
                <c:pt idx="6">
                  <c:v>0.169432797234776</c:v>
                </c:pt>
                <c:pt idx="7">
                  <c:v>0.16213658947685</c:v>
                </c:pt>
                <c:pt idx="8">
                  <c:v>0.156537512700516</c:v>
                </c:pt>
                <c:pt idx="9">
                  <c:v>0.15276071256541601</c:v>
                </c:pt>
                <c:pt idx="10">
                  <c:v>0.14955534748030999</c:v>
                </c:pt>
                <c:pt idx="11">
                  <c:v>0.176280960535311</c:v>
                </c:pt>
                <c:pt idx="12">
                  <c:v>0.19959452603705199</c:v>
                </c:pt>
                <c:pt idx="13">
                  <c:v>0.19079522891186601</c:v>
                </c:pt>
                <c:pt idx="14">
                  <c:v>0.15475209035888099</c:v>
                </c:pt>
                <c:pt idx="15">
                  <c:v>0.19586529122460999</c:v>
                </c:pt>
                <c:pt idx="16">
                  <c:v>0.19990253114575199</c:v>
                </c:pt>
                <c:pt idx="17">
                  <c:v>0.19166271201504101</c:v>
                </c:pt>
                <c:pt idx="18">
                  <c:v>0.18061052041297301</c:v>
                </c:pt>
                <c:pt idx="19">
                  <c:v>0.187324962929306</c:v>
                </c:pt>
                <c:pt idx="20">
                  <c:v>0.19368246023576599</c:v>
                </c:pt>
                <c:pt idx="21">
                  <c:v>0.19823290943046401</c:v>
                </c:pt>
                <c:pt idx="22">
                  <c:v>0.199347671232257</c:v>
                </c:pt>
                <c:pt idx="23">
                  <c:v>0.19927264800314101</c:v>
                </c:pt>
                <c:pt idx="24">
                  <c:v>0.19812762752044599</c:v>
                </c:pt>
                <c:pt idx="25">
                  <c:v>0.19384212868643599</c:v>
                </c:pt>
                <c:pt idx="26">
                  <c:v>0.191371426833223</c:v>
                </c:pt>
                <c:pt idx="27">
                  <c:v>0.18762784063224699</c:v>
                </c:pt>
                <c:pt idx="28">
                  <c:v>0.179353976762166</c:v>
                </c:pt>
                <c:pt idx="29">
                  <c:v>0.163329183570044</c:v>
                </c:pt>
                <c:pt idx="30">
                  <c:v>0.14484214641089899</c:v>
                </c:pt>
                <c:pt idx="31">
                  <c:v>0.14148392601485599</c:v>
                </c:pt>
                <c:pt idx="32">
                  <c:v>0.139640990270956</c:v>
                </c:pt>
                <c:pt idx="33">
                  <c:v>0.13700887901327699</c:v>
                </c:pt>
                <c:pt idx="34">
                  <c:v>0.135764128412596</c:v>
                </c:pt>
                <c:pt idx="35">
                  <c:v>0.13576412834957999</c:v>
                </c:pt>
              </c:numCache>
            </c:numRef>
          </c:yVal>
          <c:smooth val="0"/>
          <c:extLst>
            <c:ext xmlns:c16="http://schemas.microsoft.com/office/drawing/2014/chart" uri="{C3380CC4-5D6E-409C-BE32-E72D297353CC}">
              <c16:uniqueId val="{00000000-9996-48E7-9295-F9276D53781D}"/>
            </c:ext>
          </c:extLst>
        </c:ser>
        <c:ser>
          <c:idx val="1"/>
          <c:order val="1"/>
          <c:tx>
            <c:v>Class 1</c:v>
          </c:tx>
          <c:spPr>
            <a:ln w="19050" cap="rnd">
              <a:solidFill>
                <a:srgbClr val="92D050"/>
              </a:solidFill>
              <a:round/>
            </a:ln>
            <a:effectLst/>
          </c:spPr>
          <c:marker>
            <c:symbol val="none"/>
          </c:marker>
          <c:xVal>
            <c:numRef>
              <c:f>'Cu_Scenario 2'!$B$2:$B$37</c:f>
              <c:numCache>
                <c:formatCode>General</c:formatCode>
                <c:ptCount val="36"/>
                <c:pt idx="0">
                  <c:v>2359.89</c:v>
                </c:pt>
                <c:pt idx="1">
                  <c:v>2321.59</c:v>
                </c:pt>
                <c:pt idx="2">
                  <c:v>2290.59</c:v>
                </c:pt>
                <c:pt idx="3">
                  <c:v>2260.29</c:v>
                </c:pt>
                <c:pt idx="4">
                  <c:v>2208.39</c:v>
                </c:pt>
                <c:pt idx="5">
                  <c:v>2122.89</c:v>
                </c:pt>
                <c:pt idx="6">
                  <c:v>1964.89</c:v>
                </c:pt>
                <c:pt idx="7">
                  <c:v>1831.39</c:v>
                </c:pt>
                <c:pt idx="8">
                  <c:v>1755.59</c:v>
                </c:pt>
                <c:pt idx="9">
                  <c:v>1681.59</c:v>
                </c:pt>
                <c:pt idx="10">
                  <c:v>1631.39</c:v>
                </c:pt>
                <c:pt idx="11">
                  <c:v>1564.99</c:v>
                </c:pt>
                <c:pt idx="12">
                  <c:v>1487.59</c:v>
                </c:pt>
                <c:pt idx="13">
                  <c:v>1418.59</c:v>
                </c:pt>
                <c:pt idx="14">
                  <c:v>1365.79</c:v>
                </c:pt>
                <c:pt idx="15">
                  <c:v>1179.19</c:v>
                </c:pt>
                <c:pt idx="16">
                  <c:v>1001.19</c:v>
                </c:pt>
                <c:pt idx="17">
                  <c:v>955.89</c:v>
                </c:pt>
                <c:pt idx="18">
                  <c:v>909.49</c:v>
                </c:pt>
                <c:pt idx="19">
                  <c:v>754.1</c:v>
                </c:pt>
                <c:pt idx="20">
                  <c:v>673.4</c:v>
                </c:pt>
                <c:pt idx="21">
                  <c:v>558</c:v>
                </c:pt>
                <c:pt idx="22">
                  <c:v>455.6</c:v>
                </c:pt>
                <c:pt idx="23">
                  <c:v>434.1</c:v>
                </c:pt>
                <c:pt idx="24">
                  <c:v>413.7</c:v>
                </c:pt>
                <c:pt idx="25">
                  <c:v>393</c:v>
                </c:pt>
                <c:pt idx="26">
                  <c:v>357.5</c:v>
                </c:pt>
                <c:pt idx="27">
                  <c:v>324</c:v>
                </c:pt>
                <c:pt idx="28">
                  <c:v>295.5</c:v>
                </c:pt>
                <c:pt idx="29">
                  <c:v>273.3</c:v>
                </c:pt>
                <c:pt idx="30">
                  <c:v>242</c:v>
                </c:pt>
                <c:pt idx="31">
                  <c:v>180.6</c:v>
                </c:pt>
                <c:pt idx="32">
                  <c:v>123.6</c:v>
                </c:pt>
                <c:pt idx="33">
                  <c:v>81</c:v>
                </c:pt>
                <c:pt idx="34">
                  <c:v>32.799999999999997</c:v>
                </c:pt>
                <c:pt idx="35">
                  <c:v>0</c:v>
                </c:pt>
              </c:numCache>
            </c:numRef>
          </c:xVal>
          <c:yVal>
            <c:numRef>
              <c:f>WQR!$N$2:$N$37</c:f>
              <c:numCache>
                <c:formatCode>General</c:formatCode>
                <c:ptCount val="36"/>
                <c:pt idx="0">
                  <c:v>0.02</c:v>
                </c:pt>
                <c:pt idx="1">
                  <c:v>0.02</c:v>
                </c:pt>
                <c:pt idx="2">
                  <c:v>0.02</c:v>
                </c:pt>
                <c:pt idx="3">
                  <c:v>0.02</c:v>
                </c:pt>
                <c:pt idx="4">
                  <c:v>0.02</c:v>
                </c:pt>
                <c:pt idx="5">
                  <c:v>0.02</c:v>
                </c:pt>
                <c:pt idx="6">
                  <c:v>0.02</c:v>
                </c:pt>
                <c:pt idx="7">
                  <c:v>0.02</c:v>
                </c:pt>
                <c:pt idx="8">
                  <c:v>0.02</c:v>
                </c:pt>
                <c:pt idx="9">
                  <c:v>0.02</c:v>
                </c:pt>
                <c:pt idx="10">
                  <c:v>0.02</c:v>
                </c:pt>
                <c:pt idx="11">
                  <c:v>0.02</c:v>
                </c:pt>
                <c:pt idx="12">
                  <c:v>0.02</c:v>
                </c:pt>
                <c:pt idx="13">
                  <c:v>0.02</c:v>
                </c:pt>
                <c:pt idx="14">
                  <c:v>0.02</c:v>
                </c:pt>
                <c:pt idx="15">
                  <c:v>0.02</c:v>
                </c:pt>
                <c:pt idx="16">
                  <c:v>0.02</c:v>
                </c:pt>
                <c:pt idx="17">
                  <c:v>0.02</c:v>
                </c:pt>
                <c:pt idx="18">
                  <c:v>0.02</c:v>
                </c:pt>
                <c:pt idx="19">
                  <c:v>0.02</c:v>
                </c:pt>
                <c:pt idx="20">
                  <c:v>0.02</c:v>
                </c:pt>
                <c:pt idx="21">
                  <c:v>0.02</c:v>
                </c:pt>
                <c:pt idx="22">
                  <c:v>0.02</c:v>
                </c:pt>
                <c:pt idx="23">
                  <c:v>0.02</c:v>
                </c:pt>
                <c:pt idx="24">
                  <c:v>0.02</c:v>
                </c:pt>
                <c:pt idx="25">
                  <c:v>0.02</c:v>
                </c:pt>
                <c:pt idx="26">
                  <c:v>0.02</c:v>
                </c:pt>
                <c:pt idx="27">
                  <c:v>0.02</c:v>
                </c:pt>
                <c:pt idx="28">
                  <c:v>0.02</c:v>
                </c:pt>
                <c:pt idx="29">
                  <c:v>0.02</c:v>
                </c:pt>
                <c:pt idx="30">
                  <c:v>0.02</c:v>
                </c:pt>
                <c:pt idx="31">
                  <c:v>0.02</c:v>
                </c:pt>
                <c:pt idx="32">
                  <c:v>0.02</c:v>
                </c:pt>
                <c:pt idx="33">
                  <c:v>0.02</c:v>
                </c:pt>
                <c:pt idx="34">
                  <c:v>0.02</c:v>
                </c:pt>
                <c:pt idx="35">
                  <c:v>0.02</c:v>
                </c:pt>
              </c:numCache>
            </c:numRef>
          </c:yVal>
          <c:smooth val="0"/>
          <c:extLst>
            <c:ext xmlns:c16="http://schemas.microsoft.com/office/drawing/2014/chart" uri="{C3380CC4-5D6E-409C-BE32-E72D297353CC}">
              <c16:uniqueId val="{00000001-9996-48E7-9295-F9276D53781D}"/>
            </c:ext>
          </c:extLst>
        </c:ser>
        <c:ser>
          <c:idx val="4"/>
          <c:order val="2"/>
          <c:tx>
            <c:v>Class 4</c:v>
          </c:tx>
          <c:spPr>
            <a:ln w="19050" cap="rnd">
              <a:solidFill>
                <a:srgbClr val="FF0000"/>
              </a:solidFill>
              <a:round/>
            </a:ln>
            <a:effectLst/>
          </c:spPr>
          <c:marker>
            <c:symbol val="none"/>
          </c:marker>
          <c:xVal>
            <c:numRef>
              <c:f>'Cu_Scenario 2'!$B$2:$B$37</c:f>
              <c:numCache>
                <c:formatCode>General</c:formatCode>
                <c:ptCount val="36"/>
                <c:pt idx="0">
                  <c:v>2359.89</c:v>
                </c:pt>
                <c:pt idx="1">
                  <c:v>2321.59</c:v>
                </c:pt>
                <c:pt idx="2">
                  <c:v>2290.59</c:v>
                </c:pt>
                <c:pt idx="3">
                  <c:v>2260.29</c:v>
                </c:pt>
                <c:pt idx="4">
                  <c:v>2208.39</c:v>
                </c:pt>
                <c:pt idx="5">
                  <c:v>2122.89</c:v>
                </c:pt>
                <c:pt idx="6">
                  <c:v>1964.89</c:v>
                </c:pt>
                <c:pt idx="7">
                  <c:v>1831.39</c:v>
                </c:pt>
                <c:pt idx="8">
                  <c:v>1755.59</c:v>
                </c:pt>
                <c:pt idx="9">
                  <c:v>1681.59</c:v>
                </c:pt>
                <c:pt idx="10">
                  <c:v>1631.39</c:v>
                </c:pt>
                <c:pt idx="11">
                  <c:v>1564.99</c:v>
                </c:pt>
                <c:pt idx="12">
                  <c:v>1487.59</c:v>
                </c:pt>
                <c:pt idx="13">
                  <c:v>1418.59</c:v>
                </c:pt>
                <c:pt idx="14">
                  <c:v>1365.79</c:v>
                </c:pt>
                <c:pt idx="15">
                  <c:v>1179.19</c:v>
                </c:pt>
                <c:pt idx="16">
                  <c:v>1001.19</c:v>
                </c:pt>
                <c:pt idx="17">
                  <c:v>955.89</c:v>
                </c:pt>
                <c:pt idx="18">
                  <c:v>909.49</c:v>
                </c:pt>
                <c:pt idx="19">
                  <c:v>754.1</c:v>
                </c:pt>
                <c:pt idx="20">
                  <c:v>673.4</c:v>
                </c:pt>
                <c:pt idx="21">
                  <c:v>558</c:v>
                </c:pt>
                <c:pt idx="22">
                  <c:v>455.6</c:v>
                </c:pt>
                <c:pt idx="23">
                  <c:v>434.1</c:v>
                </c:pt>
                <c:pt idx="24">
                  <c:v>413.7</c:v>
                </c:pt>
                <c:pt idx="25">
                  <c:v>393</c:v>
                </c:pt>
                <c:pt idx="26">
                  <c:v>357.5</c:v>
                </c:pt>
                <c:pt idx="27">
                  <c:v>324</c:v>
                </c:pt>
                <c:pt idx="28">
                  <c:v>295.5</c:v>
                </c:pt>
                <c:pt idx="29">
                  <c:v>273.3</c:v>
                </c:pt>
                <c:pt idx="30">
                  <c:v>242</c:v>
                </c:pt>
                <c:pt idx="31">
                  <c:v>180.6</c:v>
                </c:pt>
                <c:pt idx="32">
                  <c:v>123.6</c:v>
                </c:pt>
                <c:pt idx="33">
                  <c:v>81</c:v>
                </c:pt>
                <c:pt idx="34">
                  <c:v>32.799999999999997</c:v>
                </c:pt>
                <c:pt idx="35">
                  <c:v>0</c:v>
                </c:pt>
              </c:numCache>
            </c:numRef>
          </c:xVal>
          <c:yVal>
            <c:numRef>
              <c:f>WQR!$O$2:$O$37</c:f>
              <c:numCache>
                <c:formatCode>General</c:formatCode>
                <c:ptCount val="36"/>
                <c:pt idx="0">
                  <c:v>0.2</c:v>
                </c:pt>
                <c:pt idx="1">
                  <c:v>0.2</c:v>
                </c:pt>
                <c:pt idx="2">
                  <c:v>0.2</c:v>
                </c:pt>
                <c:pt idx="3">
                  <c:v>0.2</c:v>
                </c:pt>
                <c:pt idx="4">
                  <c:v>0.2</c:v>
                </c:pt>
                <c:pt idx="5">
                  <c:v>0.2</c:v>
                </c:pt>
                <c:pt idx="6">
                  <c:v>0.2</c:v>
                </c:pt>
                <c:pt idx="7">
                  <c:v>0.2</c:v>
                </c:pt>
                <c:pt idx="8">
                  <c:v>0.2</c:v>
                </c:pt>
                <c:pt idx="9">
                  <c:v>0.2</c:v>
                </c:pt>
                <c:pt idx="10">
                  <c:v>0.2</c:v>
                </c:pt>
                <c:pt idx="11">
                  <c:v>0.2</c:v>
                </c:pt>
                <c:pt idx="12">
                  <c:v>0.2</c:v>
                </c:pt>
                <c:pt idx="13">
                  <c:v>0.2</c:v>
                </c:pt>
                <c:pt idx="14">
                  <c:v>0.2</c:v>
                </c:pt>
                <c:pt idx="15">
                  <c:v>0.2</c:v>
                </c:pt>
                <c:pt idx="16">
                  <c:v>0.2</c:v>
                </c:pt>
                <c:pt idx="17">
                  <c:v>0.2</c:v>
                </c:pt>
                <c:pt idx="18">
                  <c:v>0.2</c:v>
                </c:pt>
                <c:pt idx="19">
                  <c:v>0.2</c:v>
                </c:pt>
                <c:pt idx="20">
                  <c:v>0.2</c:v>
                </c:pt>
                <c:pt idx="21">
                  <c:v>0.2</c:v>
                </c:pt>
                <c:pt idx="22">
                  <c:v>0.2</c:v>
                </c:pt>
                <c:pt idx="23">
                  <c:v>0.2</c:v>
                </c:pt>
                <c:pt idx="24">
                  <c:v>0.2</c:v>
                </c:pt>
                <c:pt idx="25">
                  <c:v>0.2</c:v>
                </c:pt>
                <c:pt idx="26">
                  <c:v>0.2</c:v>
                </c:pt>
                <c:pt idx="27">
                  <c:v>0.2</c:v>
                </c:pt>
                <c:pt idx="28">
                  <c:v>0.2</c:v>
                </c:pt>
                <c:pt idx="29">
                  <c:v>0.2</c:v>
                </c:pt>
                <c:pt idx="30">
                  <c:v>0.2</c:v>
                </c:pt>
                <c:pt idx="31">
                  <c:v>0.2</c:v>
                </c:pt>
                <c:pt idx="32">
                  <c:v>0.2</c:v>
                </c:pt>
                <c:pt idx="33">
                  <c:v>0.2</c:v>
                </c:pt>
                <c:pt idx="34">
                  <c:v>0.2</c:v>
                </c:pt>
                <c:pt idx="35">
                  <c:v>0.2</c:v>
                </c:pt>
              </c:numCache>
            </c:numRef>
          </c:yVal>
          <c:smooth val="0"/>
          <c:extLst>
            <c:ext xmlns:c16="http://schemas.microsoft.com/office/drawing/2014/chart" uri="{C3380CC4-5D6E-409C-BE32-E72D297353CC}">
              <c16:uniqueId val="{00000002-9996-48E7-9295-F9276D53781D}"/>
            </c:ext>
          </c:extLst>
        </c:ser>
        <c:dLbls>
          <c:showLegendKey val="0"/>
          <c:showVal val="0"/>
          <c:showCatName val="0"/>
          <c:showSerName val="0"/>
          <c:showPercent val="0"/>
          <c:showBubbleSize val="0"/>
        </c:dLbls>
        <c:axId val="804832655"/>
        <c:axId val="962749119"/>
      </c:scatterChart>
      <c:valAx>
        <c:axId val="804832655"/>
        <c:scaling>
          <c:orientation val="minMax"/>
          <c:max val="236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5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GB"/>
                  <a:t>Distance from Downstream (m)</a:t>
                </a:r>
              </a:p>
            </c:rich>
          </c:tx>
          <c:layout>
            <c:manualLayout>
              <c:xMode val="edge"/>
              <c:yMode val="edge"/>
              <c:x val="0.28836285444673049"/>
              <c:y val="0.66530962137475658"/>
            </c:manualLayout>
          </c:layout>
          <c:overlay val="0"/>
          <c:spPr>
            <a:noFill/>
            <a:ln>
              <a:noFill/>
            </a:ln>
            <a:effectLst/>
          </c:spPr>
          <c:txPr>
            <a:bodyPr rot="0" spcFirstLastPara="1" vertOverflow="ellipsis" vert="horz" wrap="square" anchor="ctr" anchorCtr="1"/>
            <a:lstStyle/>
            <a:p>
              <a:pPr>
                <a:defRPr sz="5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5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962749119"/>
        <c:crosses val="autoZero"/>
        <c:crossBetween val="midCat"/>
      </c:valAx>
      <c:valAx>
        <c:axId val="96274911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5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GB"/>
                  <a:t>Cu (mg/L)</a:t>
                </a:r>
              </a:p>
            </c:rich>
          </c:tx>
          <c:overlay val="0"/>
          <c:spPr>
            <a:noFill/>
            <a:ln>
              <a:noFill/>
            </a:ln>
            <a:effectLst/>
          </c:spPr>
          <c:txPr>
            <a:bodyPr rot="-5400000" spcFirstLastPara="1" vertOverflow="ellipsis" vert="horz" wrap="square" anchor="ctr" anchorCtr="1"/>
            <a:lstStyle/>
            <a:p>
              <a:pPr>
                <a:defRPr sz="5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5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804832655"/>
        <c:crosses val="autoZero"/>
        <c:crossBetween val="midCat"/>
      </c:valAx>
      <c:spPr>
        <a:noFill/>
        <a:ln>
          <a:noFill/>
        </a:ln>
        <a:effectLst/>
      </c:spPr>
    </c:plotArea>
    <c:legend>
      <c:legendPos val="b"/>
      <c:layout>
        <c:manualLayout>
          <c:xMode val="edge"/>
          <c:yMode val="edge"/>
          <c:x val="0.16001980106121311"/>
          <c:y val="0.75784833559343323"/>
          <c:w val="0.73497022106028498"/>
          <c:h val="0.13891374793542641"/>
        </c:manualLayout>
      </c:layout>
      <c:overlay val="0"/>
      <c:spPr>
        <a:noFill/>
        <a:ln>
          <a:noFill/>
        </a:ln>
        <a:effectLst/>
      </c:spPr>
      <c:txPr>
        <a:bodyPr rot="0" spcFirstLastPara="1" vertOverflow="ellipsis" vert="horz" wrap="square" anchor="ctr" anchorCtr="1"/>
        <a:lstStyle/>
        <a:p>
          <a:pPr>
            <a:defRPr sz="5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500">
          <a:latin typeface="Arial" panose="020B0604020202020204" pitchFamily="34" charset="0"/>
          <a:cs typeface="Arial" panose="020B0604020202020204" pitchFamily="34" charset="0"/>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07921971443157"/>
          <c:y val="7.5082121069920224E-2"/>
          <c:w val="0.77066163389694164"/>
          <c:h val="0.58432291224038102"/>
        </c:manualLayout>
      </c:layout>
      <c:scatterChart>
        <c:scatterStyle val="lineMarker"/>
        <c:varyColors val="0"/>
        <c:ser>
          <c:idx val="0"/>
          <c:order val="0"/>
          <c:tx>
            <c:v>DO</c:v>
          </c:tx>
          <c:spPr>
            <a:ln w="12700" cap="rnd">
              <a:solidFill>
                <a:schemeClr val="tx1"/>
              </a:solidFill>
              <a:round/>
            </a:ln>
            <a:effectLst/>
          </c:spPr>
          <c:marker>
            <c:symbol val="circle"/>
            <c:size val="2"/>
            <c:spPr>
              <a:solidFill>
                <a:schemeClr val="tx1"/>
              </a:solidFill>
              <a:ln w="12700">
                <a:solidFill>
                  <a:schemeClr val="tx1"/>
                </a:solidFill>
              </a:ln>
              <a:effectLst/>
            </c:spPr>
          </c:marker>
          <c:xVal>
            <c:numRef>
              <c:f>'DO_Scenario 2 Rainy'!$B$3:$B$38</c:f>
              <c:numCache>
                <c:formatCode>General</c:formatCode>
                <c:ptCount val="36"/>
                <c:pt idx="0">
                  <c:v>2359.89</c:v>
                </c:pt>
                <c:pt idx="1">
                  <c:v>2321.59</c:v>
                </c:pt>
                <c:pt idx="2">
                  <c:v>2290.59</c:v>
                </c:pt>
                <c:pt idx="3">
                  <c:v>2260.29</c:v>
                </c:pt>
                <c:pt idx="4">
                  <c:v>2208.39</c:v>
                </c:pt>
                <c:pt idx="5">
                  <c:v>2122.89</c:v>
                </c:pt>
                <c:pt idx="6">
                  <c:v>1964.89</c:v>
                </c:pt>
                <c:pt idx="7">
                  <c:v>1831.39</c:v>
                </c:pt>
                <c:pt idx="8">
                  <c:v>1755.59</c:v>
                </c:pt>
                <c:pt idx="9">
                  <c:v>1681.59</c:v>
                </c:pt>
                <c:pt idx="10">
                  <c:v>1631.39</c:v>
                </c:pt>
                <c:pt idx="11">
                  <c:v>1564.99</c:v>
                </c:pt>
                <c:pt idx="12">
                  <c:v>1487.59</c:v>
                </c:pt>
                <c:pt idx="13">
                  <c:v>1418.59</c:v>
                </c:pt>
                <c:pt idx="14">
                  <c:v>1365.79</c:v>
                </c:pt>
                <c:pt idx="15">
                  <c:v>1179.19</c:v>
                </c:pt>
                <c:pt idx="16">
                  <c:v>1001.19</c:v>
                </c:pt>
                <c:pt idx="17">
                  <c:v>955.89</c:v>
                </c:pt>
                <c:pt idx="18">
                  <c:v>909.49</c:v>
                </c:pt>
                <c:pt idx="19">
                  <c:v>754.1</c:v>
                </c:pt>
                <c:pt idx="20">
                  <c:v>673.4</c:v>
                </c:pt>
                <c:pt idx="21">
                  <c:v>558</c:v>
                </c:pt>
                <c:pt idx="22">
                  <c:v>455.6</c:v>
                </c:pt>
                <c:pt idx="23">
                  <c:v>434.1</c:v>
                </c:pt>
                <c:pt idx="24">
                  <c:v>413.7</c:v>
                </c:pt>
                <c:pt idx="25">
                  <c:v>393</c:v>
                </c:pt>
                <c:pt idx="26">
                  <c:v>357.5</c:v>
                </c:pt>
                <c:pt idx="27">
                  <c:v>324</c:v>
                </c:pt>
                <c:pt idx="28">
                  <c:v>295.5</c:v>
                </c:pt>
                <c:pt idx="29">
                  <c:v>273.3</c:v>
                </c:pt>
                <c:pt idx="30">
                  <c:v>242</c:v>
                </c:pt>
                <c:pt idx="31">
                  <c:v>180.6</c:v>
                </c:pt>
                <c:pt idx="32">
                  <c:v>123.6</c:v>
                </c:pt>
                <c:pt idx="33">
                  <c:v>81</c:v>
                </c:pt>
                <c:pt idx="34">
                  <c:v>32.799999999999997</c:v>
                </c:pt>
                <c:pt idx="35">
                  <c:v>0</c:v>
                </c:pt>
              </c:numCache>
            </c:numRef>
          </c:xVal>
          <c:yVal>
            <c:numRef>
              <c:f>'DO_Scenario 2 Dry'!$DD$3:$DD$38</c:f>
              <c:numCache>
                <c:formatCode>General</c:formatCode>
                <c:ptCount val="36"/>
                <c:pt idx="0">
                  <c:v>3</c:v>
                </c:pt>
                <c:pt idx="1">
                  <c:v>3.01902194722825</c:v>
                </c:pt>
                <c:pt idx="2">
                  <c:v>2.9847283205242299</c:v>
                </c:pt>
                <c:pt idx="3">
                  <c:v>2.92032398175298</c:v>
                </c:pt>
                <c:pt idx="4">
                  <c:v>2.4028397883463599</c:v>
                </c:pt>
                <c:pt idx="5">
                  <c:v>1.67360049044792</c:v>
                </c:pt>
                <c:pt idx="6">
                  <c:v>1.9991062817761101</c:v>
                </c:pt>
                <c:pt idx="7">
                  <c:v>1.95299203570738</c:v>
                </c:pt>
                <c:pt idx="8">
                  <c:v>1.9036088575213901</c:v>
                </c:pt>
                <c:pt idx="9">
                  <c:v>1.94527553570221</c:v>
                </c:pt>
                <c:pt idx="10">
                  <c:v>2.0027152426820898</c:v>
                </c:pt>
                <c:pt idx="11">
                  <c:v>1.88604231089691</c:v>
                </c:pt>
                <c:pt idx="12">
                  <c:v>1.7864265608909</c:v>
                </c:pt>
                <c:pt idx="13">
                  <c:v>1.7289377074662</c:v>
                </c:pt>
                <c:pt idx="14">
                  <c:v>2.4071780235723099</c:v>
                </c:pt>
                <c:pt idx="15">
                  <c:v>2.1787246709046499</c:v>
                </c:pt>
                <c:pt idx="16">
                  <c:v>2.1078718177892699</c:v>
                </c:pt>
                <c:pt idx="17">
                  <c:v>2.10286626275479</c:v>
                </c:pt>
                <c:pt idx="18">
                  <c:v>1.8342074545754401</c:v>
                </c:pt>
                <c:pt idx="19">
                  <c:v>1.6233418349752899</c:v>
                </c:pt>
                <c:pt idx="20">
                  <c:v>1.43389393205103</c:v>
                </c:pt>
                <c:pt idx="21">
                  <c:v>1.7258973293217199</c:v>
                </c:pt>
                <c:pt idx="22">
                  <c:v>1.8157828268117</c:v>
                </c:pt>
                <c:pt idx="23">
                  <c:v>1.86143901756187</c:v>
                </c:pt>
                <c:pt idx="24">
                  <c:v>1.9183676680950801</c:v>
                </c:pt>
                <c:pt idx="25">
                  <c:v>2.0091972814683898</c:v>
                </c:pt>
                <c:pt idx="26">
                  <c:v>1.9788077530280199</c:v>
                </c:pt>
                <c:pt idx="27">
                  <c:v>2.0431020571813701</c:v>
                </c:pt>
                <c:pt idx="28">
                  <c:v>2.19955752738736</c:v>
                </c:pt>
                <c:pt idx="29">
                  <c:v>2.46944181348894</c:v>
                </c:pt>
                <c:pt idx="30">
                  <c:v>2.75264657207136</c:v>
                </c:pt>
                <c:pt idx="31">
                  <c:v>2.6373402593361299</c:v>
                </c:pt>
                <c:pt idx="32">
                  <c:v>2.5591832960958301</c:v>
                </c:pt>
                <c:pt idx="33">
                  <c:v>2.4777672277846601</c:v>
                </c:pt>
                <c:pt idx="34">
                  <c:v>2.4360975532550402</c:v>
                </c:pt>
                <c:pt idx="35">
                  <c:v>2.4360977500238699</c:v>
                </c:pt>
              </c:numCache>
            </c:numRef>
          </c:yVal>
          <c:smooth val="0"/>
          <c:extLst>
            <c:ext xmlns:c16="http://schemas.microsoft.com/office/drawing/2014/chart" uri="{C3380CC4-5D6E-409C-BE32-E72D297353CC}">
              <c16:uniqueId val="{00000000-C0B6-4274-A300-DFD0B9F88D8A}"/>
            </c:ext>
          </c:extLst>
        </c:ser>
        <c:ser>
          <c:idx val="1"/>
          <c:order val="1"/>
          <c:tx>
            <c:strRef>
              <c:f>Dry!$O$1</c:f>
              <c:strCache>
                <c:ptCount val="1"/>
                <c:pt idx="0">
                  <c:v>Class 1</c:v>
                </c:pt>
              </c:strCache>
            </c:strRef>
          </c:tx>
          <c:spPr>
            <a:ln w="19050" cap="rnd">
              <a:solidFill>
                <a:srgbClr val="92D050"/>
              </a:solidFill>
              <a:round/>
            </a:ln>
            <a:effectLst/>
          </c:spPr>
          <c:marker>
            <c:symbol val="none"/>
          </c:marker>
          <c:xVal>
            <c:numRef>
              <c:f>Sheet1!$N$2:$N$37</c:f>
              <c:numCache>
                <c:formatCode>General</c:formatCode>
                <c:ptCount val="36"/>
                <c:pt idx="0">
                  <c:v>2359.89</c:v>
                </c:pt>
                <c:pt idx="1">
                  <c:v>2321.59</c:v>
                </c:pt>
                <c:pt idx="2">
                  <c:v>2290.59</c:v>
                </c:pt>
                <c:pt idx="3">
                  <c:v>2260.29</c:v>
                </c:pt>
                <c:pt idx="4">
                  <c:v>2208.39</c:v>
                </c:pt>
                <c:pt idx="5">
                  <c:v>2122.89</c:v>
                </c:pt>
                <c:pt idx="6">
                  <c:v>1964.89</c:v>
                </c:pt>
                <c:pt idx="7">
                  <c:v>1831.39</c:v>
                </c:pt>
                <c:pt idx="8">
                  <c:v>1755.59</c:v>
                </c:pt>
                <c:pt idx="9">
                  <c:v>1681.59</c:v>
                </c:pt>
                <c:pt idx="10">
                  <c:v>1631.39</c:v>
                </c:pt>
                <c:pt idx="11">
                  <c:v>1564.99</c:v>
                </c:pt>
                <c:pt idx="12">
                  <c:v>1487.59</c:v>
                </c:pt>
                <c:pt idx="13">
                  <c:v>1418.59</c:v>
                </c:pt>
                <c:pt idx="14">
                  <c:v>1365.79</c:v>
                </c:pt>
                <c:pt idx="15">
                  <c:v>1179.19</c:v>
                </c:pt>
                <c:pt idx="16">
                  <c:v>1001.19</c:v>
                </c:pt>
                <c:pt idx="17">
                  <c:v>955.89</c:v>
                </c:pt>
                <c:pt idx="18">
                  <c:v>909.49</c:v>
                </c:pt>
                <c:pt idx="19">
                  <c:v>754.1</c:v>
                </c:pt>
                <c:pt idx="20">
                  <c:v>673.4</c:v>
                </c:pt>
                <c:pt idx="21">
                  <c:v>558</c:v>
                </c:pt>
                <c:pt idx="22">
                  <c:v>455.6</c:v>
                </c:pt>
                <c:pt idx="23">
                  <c:v>434.1</c:v>
                </c:pt>
                <c:pt idx="24">
                  <c:v>413.7</c:v>
                </c:pt>
                <c:pt idx="25">
                  <c:v>393</c:v>
                </c:pt>
                <c:pt idx="26">
                  <c:v>357.5</c:v>
                </c:pt>
                <c:pt idx="27">
                  <c:v>324</c:v>
                </c:pt>
                <c:pt idx="28">
                  <c:v>295.5</c:v>
                </c:pt>
                <c:pt idx="29">
                  <c:v>273.3</c:v>
                </c:pt>
                <c:pt idx="30">
                  <c:v>242</c:v>
                </c:pt>
                <c:pt idx="31">
                  <c:v>180.6</c:v>
                </c:pt>
                <c:pt idx="32">
                  <c:v>123.6</c:v>
                </c:pt>
                <c:pt idx="33">
                  <c:v>81</c:v>
                </c:pt>
                <c:pt idx="34">
                  <c:v>32.799999999999997</c:v>
                </c:pt>
                <c:pt idx="35">
                  <c:v>0</c:v>
                </c:pt>
              </c:numCache>
            </c:numRef>
          </c:xVal>
          <c:yVal>
            <c:numRef>
              <c:f>Sheet1!$O$2:$O$37</c:f>
              <c:numCache>
                <c:formatCode>General</c:formatCode>
                <c:ptCount val="36"/>
                <c:pt idx="0">
                  <c:v>6</c:v>
                </c:pt>
                <c:pt idx="1">
                  <c:v>6</c:v>
                </c:pt>
                <c:pt idx="2">
                  <c:v>6</c:v>
                </c:pt>
                <c:pt idx="3">
                  <c:v>6</c:v>
                </c:pt>
                <c:pt idx="4">
                  <c:v>6</c:v>
                </c:pt>
                <c:pt idx="5">
                  <c:v>6</c:v>
                </c:pt>
                <c:pt idx="6">
                  <c:v>6</c:v>
                </c:pt>
                <c:pt idx="7">
                  <c:v>6</c:v>
                </c:pt>
                <c:pt idx="8">
                  <c:v>6</c:v>
                </c:pt>
                <c:pt idx="9">
                  <c:v>6</c:v>
                </c:pt>
                <c:pt idx="10">
                  <c:v>6</c:v>
                </c:pt>
                <c:pt idx="11">
                  <c:v>6</c:v>
                </c:pt>
                <c:pt idx="12">
                  <c:v>6</c:v>
                </c:pt>
                <c:pt idx="13">
                  <c:v>6</c:v>
                </c:pt>
                <c:pt idx="14">
                  <c:v>6</c:v>
                </c:pt>
                <c:pt idx="15">
                  <c:v>6</c:v>
                </c:pt>
                <c:pt idx="16">
                  <c:v>6</c:v>
                </c:pt>
                <c:pt idx="17">
                  <c:v>6</c:v>
                </c:pt>
                <c:pt idx="18">
                  <c:v>6</c:v>
                </c:pt>
                <c:pt idx="19">
                  <c:v>6</c:v>
                </c:pt>
                <c:pt idx="20">
                  <c:v>6</c:v>
                </c:pt>
                <c:pt idx="21">
                  <c:v>6</c:v>
                </c:pt>
                <c:pt idx="22">
                  <c:v>6</c:v>
                </c:pt>
                <c:pt idx="23">
                  <c:v>6</c:v>
                </c:pt>
                <c:pt idx="24">
                  <c:v>6</c:v>
                </c:pt>
                <c:pt idx="25">
                  <c:v>6</c:v>
                </c:pt>
                <c:pt idx="26">
                  <c:v>6</c:v>
                </c:pt>
                <c:pt idx="27">
                  <c:v>6</c:v>
                </c:pt>
                <c:pt idx="28">
                  <c:v>6</c:v>
                </c:pt>
                <c:pt idx="29">
                  <c:v>6</c:v>
                </c:pt>
                <c:pt idx="30">
                  <c:v>6</c:v>
                </c:pt>
                <c:pt idx="31">
                  <c:v>6</c:v>
                </c:pt>
                <c:pt idx="32">
                  <c:v>6</c:v>
                </c:pt>
                <c:pt idx="33">
                  <c:v>6</c:v>
                </c:pt>
                <c:pt idx="34">
                  <c:v>6</c:v>
                </c:pt>
                <c:pt idx="35">
                  <c:v>6</c:v>
                </c:pt>
              </c:numCache>
            </c:numRef>
          </c:yVal>
          <c:smooth val="0"/>
          <c:extLst>
            <c:ext xmlns:c16="http://schemas.microsoft.com/office/drawing/2014/chart" uri="{C3380CC4-5D6E-409C-BE32-E72D297353CC}">
              <c16:uniqueId val="{00000001-C0B6-4274-A300-DFD0B9F88D8A}"/>
            </c:ext>
          </c:extLst>
        </c:ser>
        <c:ser>
          <c:idx val="2"/>
          <c:order val="2"/>
          <c:tx>
            <c:strRef>
              <c:f>Dry!$P$1</c:f>
              <c:strCache>
                <c:ptCount val="1"/>
                <c:pt idx="0">
                  <c:v>Class 2</c:v>
                </c:pt>
              </c:strCache>
            </c:strRef>
          </c:tx>
          <c:spPr>
            <a:ln w="19050" cap="rnd">
              <a:solidFill>
                <a:srgbClr val="00B0F0"/>
              </a:solidFill>
              <a:round/>
            </a:ln>
            <a:effectLst/>
          </c:spPr>
          <c:marker>
            <c:symbol val="none"/>
          </c:marker>
          <c:xVal>
            <c:numRef>
              <c:f>Sheet1!$N$2:$N$37</c:f>
              <c:numCache>
                <c:formatCode>General</c:formatCode>
                <c:ptCount val="36"/>
                <c:pt idx="0">
                  <c:v>2359.89</c:v>
                </c:pt>
                <c:pt idx="1">
                  <c:v>2321.59</c:v>
                </c:pt>
                <c:pt idx="2">
                  <c:v>2290.59</c:v>
                </c:pt>
                <c:pt idx="3">
                  <c:v>2260.29</c:v>
                </c:pt>
                <c:pt idx="4">
                  <c:v>2208.39</c:v>
                </c:pt>
                <c:pt idx="5">
                  <c:v>2122.89</c:v>
                </c:pt>
                <c:pt idx="6">
                  <c:v>1964.89</c:v>
                </c:pt>
                <c:pt idx="7">
                  <c:v>1831.39</c:v>
                </c:pt>
                <c:pt idx="8">
                  <c:v>1755.59</c:v>
                </c:pt>
                <c:pt idx="9">
                  <c:v>1681.59</c:v>
                </c:pt>
                <c:pt idx="10">
                  <c:v>1631.39</c:v>
                </c:pt>
                <c:pt idx="11">
                  <c:v>1564.99</c:v>
                </c:pt>
                <c:pt idx="12">
                  <c:v>1487.59</c:v>
                </c:pt>
                <c:pt idx="13">
                  <c:v>1418.59</c:v>
                </c:pt>
                <c:pt idx="14">
                  <c:v>1365.79</c:v>
                </c:pt>
                <c:pt idx="15">
                  <c:v>1179.19</c:v>
                </c:pt>
                <c:pt idx="16">
                  <c:v>1001.19</c:v>
                </c:pt>
                <c:pt idx="17">
                  <c:v>955.89</c:v>
                </c:pt>
                <c:pt idx="18">
                  <c:v>909.49</c:v>
                </c:pt>
                <c:pt idx="19">
                  <c:v>754.1</c:v>
                </c:pt>
                <c:pt idx="20">
                  <c:v>673.4</c:v>
                </c:pt>
                <c:pt idx="21">
                  <c:v>558</c:v>
                </c:pt>
                <c:pt idx="22">
                  <c:v>455.6</c:v>
                </c:pt>
                <c:pt idx="23">
                  <c:v>434.1</c:v>
                </c:pt>
                <c:pt idx="24">
                  <c:v>413.7</c:v>
                </c:pt>
                <c:pt idx="25">
                  <c:v>393</c:v>
                </c:pt>
                <c:pt idx="26">
                  <c:v>357.5</c:v>
                </c:pt>
                <c:pt idx="27">
                  <c:v>324</c:v>
                </c:pt>
                <c:pt idx="28">
                  <c:v>295.5</c:v>
                </c:pt>
                <c:pt idx="29">
                  <c:v>273.3</c:v>
                </c:pt>
                <c:pt idx="30">
                  <c:v>242</c:v>
                </c:pt>
                <c:pt idx="31">
                  <c:v>180.6</c:v>
                </c:pt>
                <c:pt idx="32">
                  <c:v>123.6</c:v>
                </c:pt>
                <c:pt idx="33">
                  <c:v>81</c:v>
                </c:pt>
                <c:pt idx="34">
                  <c:v>32.799999999999997</c:v>
                </c:pt>
                <c:pt idx="35">
                  <c:v>0</c:v>
                </c:pt>
              </c:numCache>
            </c:numRef>
          </c:xVal>
          <c:yVal>
            <c:numRef>
              <c:f>Sheet1!$P$2:$P$37</c:f>
              <c:numCache>
                <c:formatCode>General</c:formatCode>
                <c:ptCount val="36"/>
                <c:pt idx="0">
                  <c:v>4</c:v>
                </c:pt>
                <c:pt idx="1">
                  <c:v>4</c:v>
                </c:pt>
                <c:pt idx="2">
                  <c:v>4</c:v>
                </c:pt>
                <c:pt idx="3">
                  <c:v>4</c:v>
                </c:pt>
                <c:pt idx="4">
                  <c:v>4</c:v>
                </c:pt>
                <c:pt idx="5">
                  <c:v>4</c:v>
                </c:pt>
                <c:pt idx="6">
                  <c:v>4</c:v>
                </c:pt>
                <c:pt idx="7">
                  <c:v>4</c:v>
                </c:pt>
                <c:pt idx="8">
                  <c:v>4</c:v>
                </c:pt>
                <c:pt idx="9">
                  <c:v>4</c:v>
                </c:pt>
                <c:pt idx="10">
                  <c:v>4</c:v>
                </c:pt>
                <c:pt idx="11">
                  <c:v>4</c:v>
                </c:pt>
                <c:pt idx="12">
                  <c:v>4</c:v>
                </c:pt>
                <c:pt idx="13">
                  <c:v>4</c:v>
                </c:pt>
                <c:pt idx="14">
                  <c:v>4</c:v>
                </c:pt>
                <c:pt idx="15">
                  <c:v>4</c:v>
                </c:pt>
                <c:pt idx="16">
                  <c:v>4</c:v>
                </c:pt>
                <c:pt idx="17">
                  <c:v>4</c:v>
                </c:pt>
                <c:pt idx="18">
                  <c:v>4</c:v>
                </c:pt>
                <c:pt idx="19">
                  <c:v>4</c:v>
                </c:pt>
                <c:pt idx="20">
                  <c:v>4</c:v>
                </c:pt>
                <c:pt idx="21">
                  <c:v>4</c:v>
                </c:pt>
                <c:pt idx="22">
                  <c:v>4</c:v>
                </c:pt>
                <c:pt idx="23">
                  <c:v>4</c:v>
                </c:pt>
                <c:pt idx="24">
                  <c:v>4</c:v>
                </c:pt>
                <c:pt idx="25">
                  <c:v>4</c:v>
                </c:pt>
                <c:pt idx="26">
                  <c:v>4</c:v>
                </c:pt>
                <c:pt idx="27">
                  <c:v>4</c:v>
                </c:pt>
                <c:pt idx="28">
                  <c:v>4</c:v>
                </c:pt>
                <c:pt idx="29">
                  <c:v>4</c:v>
                </c:pt>
                <c:pt idx="30">
                  <c:v>4</c:v>
                </c:pt>
                <c:pt idx="31">
                  <c:v>4</c:v>
                </c:pt>
                <c:pt idx="32">
                  <c:v>4</c:v>
                </c:pt>
                <c:pt idx="33">
                  <c:v>4</c:v>
                </c:pt>
                <c:pt idx="34">
                  <c:v>4</c:v>
                </c:pt>
                <c:pt idx="35">
                  <c:v>4</c:v>
                </c:pt>
              </c:numCache>
            </c:numRef>
          </c:yVal>
          <c:smooth val="0"/>
          <c:extLst>
            <c:ext xmlns:c16="http://schemas.microsoft.com/office/drawing/2014/chart" uri="{C3380CC4-5D6E-409C-BE32-E72D297353CC}">
              <c16:uniqueId val="{00000002-C0B6-4274-A300-DFD0B9F88D8A}"/>
            </c:ext>
          </c:extLst>
        </c:ser>
        <c:ser>
          <c:idx val="3"/>
          <c:order val="3"/>
          <c:tx>
            <c:strRef>
              <c:f>Dry!$Q$1</c:f>
              <c:strCache>
                <c:ptCount val="1"/>
                <c:pt idx="0">
                  <c:v>Class 3</c:v>
                </c:pt>
              </c:strCache>
            </c:strRef>
          </c:tx>
          <c:spPr>
            <a:ln w="19050" cap="rnd">
              <a:solidFill>
                <a:schemeClr val="accent2"/>
              </a:solidFill>
              <a:round/>
            </a:ln>
            <a:effectLst/>
          </c:spPr>
          <c:marker>
            <c:symbol val="none"/>
          </c:marker>
          <c:xVal>
            <c:numRef>
              <c:f>Sheet1!$N$2:$N$37</c:f>
              <c:numCache>
                <c:formatCode>General</c:formatCode>
                <c:ptCount val="36"/>
                <c:pt idx="0">
                  <c:v>2359.89</c:v>
                </c:pt>
                <c:pt idx="1">
                  <c:v>2321.59</c:v>
                </c:pt>
                <c:pt idx="2">
                  <c:v>2290.59</c:v>
                </c:pt>
                <c:pt idx="3">
                  <c:v>2260.29</c:v>
                </c:pt>
                <c:pt idx="4">
                  <c:v>2208.39</c:v>
                </c:pt>
                <c:pt idx="5">
                  <c:v>2122.89</c:v>
                </c:pt>
                <c:pt idx="6">
                  <c:v>1964.89</c:v>
                </c:pt>
                <c:pt idx="7">
                  <c:v>1831.39</c:v>
                </c:pt>
                <c:pt idx="8">
                  <c:v>1755.59</c:v>
                </c:pt>
                <c:pt idx="9">
                  <c:v>1681.59</c:v>
                </c:pt>
                <c:pt idx="10">
                  <c:v>1631.39</c:v>
                </c:pt>
                <c:pt idx="11">
                  <c:v>1564.99</c:v>
                </c:pt>
                <c:pt idx="12">
                  <c:v>1487.59</c:v>
                </c:pt>
                <c:pt idx="13">
                  <c:v>1418.59</c:v>
                </c:pt>
                <c:pt idx="14">
                  <c:v>1365.79</c:v>
                </c:pt>
                <c:pt idx="15">
                  <c:v>1179.19</c:v>
                </c:pt>
                <c:pt idx="16">
                  <c:v>1001.19</c:v>
                </c:pt>
                <c:pt idx="17">
                  <c:v>955.89</c:v>
                </c:pt>
                <c:pt idx="18">
                  <c:v>909.49</c:v>
                </c:pt>
                <c:pt idx="19">
                  <c:v>754.1</c:v>
                </c:pt>
                <c:pt idx="20">
                  <c:v>673.4</c:v>
                </c:pt>
                <c:pt idx="21">
                  <c:v>558</c:v>
                </c:pt>
                <c:pt idx="22">
                  <c:v>455.6</c:v>
                </c:pt>
                <c:pt idx="23">
                  <c:v>434.1</c:v>
                </c:pt>
                <c:pt idx="24">
                  <c:v>413.7</c:v>
                </c:pt>
                <c:pt idx="25">
                  <c:v>393</c:v>
                </c:pt>
                <c:pt idx="26">
                  <c:v>357.5</c:v>
                </c:pt>
                <c:pt idx="27">
                  <c:v>324</c:v>
                </c:pt>
                <c:pt idx="28">
                  <c:v>295.5</c:v>
                </c:pt>
                <c:pt idx="29">
                  <c:v>273.3</c:v>
                </c:pt>
                <c:pt idx="30">
                  <c:v>242</c:v>
                </c:pt>
                <c:pt idx="31">
                  <c:v>180.6</c:v>
                </c:pt>
                <c:pt idx="32">
                  <c:v>123.6</c:v>
                </c:pt>
                <c:pt idx="33">
                  <c:v>81</c:v>
                </c:pt>
                <c:pt idx="34">
                  <c:v>32.799999999999997</c:v>
                </c:pt>
                <c:pt idx="35">
                  <c:v>0</c:v>
                </c:pt>
              </c:numCache>
            </c:numRef>
          </c:xVal>
          <c:yVal>
            <c:numRef>
              <c:f>Sheet1!$Q$2:$Q$37</c:f>
              <c:numCache>
                <c:formatCode>General</c:formatCode>
                <c:ptCount val="36"/>
                <c:pt idx="0">
                  <c:v>3</c:v>
                </c:pt>
                <c:pt idx="1">
                  <c:v>3</c:v>
                </c:pt>
                <c:pt idx="2">
                  <c:v>3</c:v>
                </c:pt>
                <c:pt idx="3">
                  <c:v>3</c:v>
                </c:pt>
                <c:pt idx="4">
                  <c:v>3</c:v>
                </c:pt>
                <c:pt idx="5">
                  <c:v>3</c:v>
                </c:pt>
                <c:pt idx="6">
                  <c:v>3</c:v>
                </c:pt>
                <c:pt idx="7">
                  <c:v>3</c:v>
                </c:pt>
                <c:pt idx="8">
                  <c:v>3</c:v>
                </c:pt>
                <c:pt idx="9">
                  <c:v>3</c:v>
                </c:pt>
                <c:pt idx="10">
                  <c:v>3</c:v>
                </c:pt>
                <c:pt idx="11">
                  <c:v>3</c:v>
                </c:pt>
                <c:pt idx="12">
                  <c:v>3</c:v>
                </c:pt>
                <c:pt idx="13">
                  <c:v>3</c:v>
                </c:pt>
                <c:pt idx="14">
                  <c:v>3</c:v>
                </c:pt>
                <c:pt idx="15">
                  <c:v>3</c:v>
                </c:pt>
                <c:pt idx="16">
                  <c:v>3</c:v>
                </c:pt>
                <c:pt idx="17">
                  <c:v>3</c:v>
                </c:pt>
                <c:pt idx="18">
                  <c:v>3</c:v>
                </c:pt>
                <c:pt idx="19">
                  <c:v>3</c:v>
                </c:pt>
                <c:pt idx="20">
                  <c:v>3</c:v>
                </c:pt>
                <c:pt idx="21">
                  <c:v>3</c:v>
                </c:pt>
                <c:pt idx="22">
                  <c:v>3</c:v>
                </c:pt>
                <c:pt idx="23">
                  <c:v>3</c:v>
                </c:pt>
                <c:pt idx="24">
                  <c:v>3</c:v>
                </c:pt>
                <c:pt idx="25">
                  <c:v>3</c:v>
                </c:pt>
                <c:pt idx="26">
                  <c:v>3</c:v>
                </c:pt>
                <c:pt idx="27">
                  <c:v>3</c:v>
                </c:pt>
                <c:pt idx="28">
                  <c:v>3</c:v>
                </c:pt>
                <c:pt idx="29">
                  <c:v>3</c:v>
                </c:pt>
                <c:pt idx="30">
                  <c:v>3</c:v>
                </c:pt>
                <c:pt idx="31">
                  <c:v>3</c:v>
                </c:pt>
                <c:pt idx="32">
                  <c:v>3</c:v>
                </c:pt>
                <c:pt idx="33">
                  <c:v>3</c:v>
                </c:pt>
                <c:pt idx="34">
                  <c:v>3</c:v>
                </c:pt>
                <c:pt idx="35">
                  <c:v>3</c:v>
                </c:pt>
              </c:numCache>
            </c:numRef>
          </c:yVal>
          <c:smooth val="0"/>
          <c:extLst>
            <c:ext xmlns:c16="http://schemas.microsoft.com/office/drawing/2014/chart" uri="{C3380CC4-5D6E-409C-BE32-E72D297353CC}">
              <c16:uniqueId val="{00000003-C0B6-4274-A300-DFD0B9F88D8A}"/>
            </c:ext>
          </c:extLst>
        </c:ser>
        <c:ser>
          <c:idx val="4"/>
          <c:order val="4"/>
          <c:tx>
            <c:strRef>
              <c:f>Dry!$R$1</c:f>
              <c:strCache>
                <c:ptCount val="1"/>
                <c:pt idx="0">
                  <c:v>Class 4</c:v>
                </c:pt>
              </c:strCache>
            </c:strRef>
          </c:tx>
          <c:spPr>
            <a:ln w="19050" cap="rnd">
              <a:solidFill>
                <a:srgbClr val="FF0000"/>
              </a:solidFill>
              <a:round/>
            </a:ln>
            <a:effectLst/>
          </c:spPr>
          <c:marker>
            <c:symbol val="none"/>
          </c:marker>
          <c:xVal>
            <c:numRef>
              <c:f>Sheet1!$N$2:$N$37</c:f>
              <c:numCache>
                <c:formatCode>General</c:formatCode>
                <c:ptCount val="36"/>
                <c:pt idx="0">
                  <c:v>2359.89</c:v>
                </c:pt>
                <c:pt idx="1">
                  <c:v>2321.59</c:v>
                </c:pt>
                <c:pt idx="2">
                  <c:v>2290.59</c:v>
                </c:pt>
                <c:pt idx="3">
                  <c:v>2260.29</c:v>
                </c:pt>
                <c:pt idx="4">
                  <c:v>2208.39</c:v>
                </c:pt>
                <c:pt idx="5">
                  <c:v>2122.89</c:v>
                </c:pt>
                <c:pt idx="6">
                  <c:v>1964.89</c:v>
                </c:pt>
                <c:pt idx="7">
                  <c:v>1831.39</c:v>
                </c:pt>
                <c:pt idx="8">
                  <c:v>1755.59</c:v>
                </c:pt>
                <c:pt idx="9">
                  <c:v>1681.59</c:v>
                </c:pt>
                <c:pt idx="10">
                  <c:v>1631.39</c:v>
                </c:pt>
                <c:pt idx="11">
                  <c:v>1564.99</c:v>
                </c:pt>
                <c:pt idx="12">
                  <c:v>1487.59</c:v>
                </c:pt>
                <c:pt idx="13">
                  <c:v>1418.59</c:v>
                </c:pt>
                <c:pt idx="14">
                  <c:v>1365.79</c:v>
                </c:pt>
                <c:pt idx="15">
                  <c:v>1179.19</c:v>
                </c:pt>
                <c:pt idx="16">
                  <c:v>1001.19</c:v>
                </c:pt>
                <c:pt idx="17">
                  <c:v>955.89</c:v>
                </c:pt>
                <c:pt idx="18">
                  <c:v>909.49</c:v>
                </c:pt>
                <c:pt idx="19">
                  <c:v>754.1</c:v>
                </c:pt>
                <c:pt idx="20">
                  <c:v>673.4</c:v>
                </c:pt>
                <c:pt idx="21">
                  <c:v>558</c:v>
                </c:pt>
                <c:pt idx="22">
                  <c:v>455.6</c:v>
                </c:pt>
                <c:pt idx="23">
                  <c:v>434.1</c:v>
                </c:pt>
                <c:pt idx="24">
                  <c:v>413.7</c:v>
                </c:pt>
                <c:pt idx="25">
                  <c:v>393</c:v>
                </c:pt>
                <c:pt idx="26">
                  <c:v>357.5</c:v>
                </c:pt>
                <c:pt idx="27">
                  <c:v>324</c:v>
                </c:pt>
                <c:pt idx="28">
                  <c:v>295.5</c:v>
                </c:pt>
                <c:pt idx="29">
                  <c:v>273.3</c:v>
                </c:pt>
                <c:pt idx="30">
                  <c:v>242</c:v>
                </c:pt>
                <c:pt idx="31">
                  <c:v>180.6</c:v>
                </c:pt>
                <c:pt idx="32">
                  <c:v>123.6</c:v>
                </c:pt>
                <c:pt idx="33">
                  <c:v>81</c:v>
                </c:pt>
                <c:pt idx="34">
                  <c:v>32.799999999999997</c:v>
                </c:pt>
                <c:pt idx="35">
                  <c:v>0</c:v>
                </c:pt>
              </c:numCache>
            </c:numRef>
          </c:xVal>
          <c:yVal>
            <c:numRef>
              <c:f>Sheet1!$R$2:$R$37</c:f>
              <c:numCache>
                <c:formatCode>General</c:formatCode>
                <c:ptCount val="36"/>
                <c:pt idx="0">
                  <c:v>1</c:v>
                </c:pt>
                <c:pt idx="1">
                  <c:v>1</c:v>
                </c:pt>
                <c:pt idx="2">
                  <c:v>1</c:v>
                </c:pt>
                <c:pt idx="3">
                  <c:v>1</c:v>
                </c:pt>
                <c:pt idx="4">
                  <c:v>1</c:v>
                </c:pt>
                <c:pt idx="5">
                  <c:v>1</c:v>
                </c:pt>
                <c:pt idx="6">
                  <c:v>1</c:v>
                </c:pt>
                <c:pt idx="7">
                  <c:v>1</c:v>
                </c:pt>
                <c:pt idx="8">
                  <c:v>1</c:v>
                </c:pt>
                <c:pt idx="9">
                  <c:v>1</c:v>
                </c:pt>
                <c:pt idx="10">
                  <c:v>1</c:v>
                </c:pt>
                <c:pt idx="11">
                  <c:v>1</c:v>
                </c:pt>
                <c:pt idx="12">
                  <c:v>1</c:v>
                </c:pt>
                <c:pt idx="13">
                  <c:v>1</c:v>
                </c:pt>
                <c:pt idx="14">
                  <c:v>1</c:v>
                </c:pt>
                <c:pt idx="15">
                  <c:v>1</c:v>
                </c:pt>
                <c:pt idx="16">
                  <c:v>1</c:v>
                </c:pt>
                <c:pt idx="17">
                  <c:v>1</c:v>
                </c:pt>
                <c:pt idx="18">
                  <c:v>1</c:v>
                </c:pt>
                <c:pt idx="19">
                  <c:v>1</c:v>
                </c:pt>
                <c:pt idx="20">
                  <c:v>1</c:v>
                </c:pt>
                <c:pt idx="21">
                  <c:v>1</c:v>
                </c:pt>
                <c:pt idx="22">
                  <c:v>1</c:v>
                </c:pt>
                <c:pt idx="23">
                  <c:v>1</c:v>
                </c:pt>
                <c:pt idx="24">
                  <c:v>1</c:v>
                </c:pt>
                <c:pt idx="25">
                  <c:v>1</c:v>
                </c:pt>
                <c:pt idx="26">
                  <c:v>1</c:v>
                </c:pt>
                <c:pt idx="27">
                  <c:v>1</c:v>
                </c:pt>
                <c:pt idx="28">
                  <c:v>1</c:v>
                </c:pt>
                <c:pt idx="29">
                  <c:v>1</c:v>
                </c:pt>
                <c:pt idx="30">
                  <c:v>1</c:v>
                </c:pt>
                <c:pt idx="31">
                  <c:v>1</c:v>
                </c:pt>
                <c:pt idx="32">
                  <c:v>1</c:v>
                </c:pt>
                <c:pt idx="33">
                  <c:v>1</c:v>
                </c:pt>
                <c:pt idx="34">
                  <c:v>1</c:v>
                </c:pt>
                <c:pt idx="35">
                  <c:v>1</c:v>
                </c:pt>
              </c:numCache>
            </c:numRef>
          </c:yVal>
          <c:smooth val="0"/>
          <c:extLst>
            <c:ext xmlns:c16="http://schemas.microsoft.com/office/drawing/2014/chart" uri="{C3380CC4-5D6E-409C-BE32-E72D297353CC}">
              <c16:uniqueId val="{00000004-C0B6-4274-A300-DFD0B9F88D8A}"/>
            </c:ext>
          </c:extLst>
        </c:ser>
        <c:dLbls>
          <c:showLegendKey val="0"/>
          <c:showVal val="0"/>
          <c:showCatName val="0"/>
          <c:showSerName val="0"/>
          <c:showPercent val="0"/>
          <c:showBubbleSize val="0"/>
        </c:dLbls>
        <c:axId val="1118042496"/>
        <c:axId val="1558928960"/>
      </c:scatterChart>
      <c:valAx>
        <c:axId val="1118042496"/>
        <c:scaling>
          <c:orientation val="minMax"/>
          <c:max val="236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500" b="0" i="0" u="none" strike="noStrike" kern="1200" baseline="0">
                    <a:solidFill>
                      <a:schemeClr val="tx1">
                        <a:lumMod val="65000"/>
                        <a:lumOff val="35000"/>
                      </a:schemeClr>
                    </a:solidFill>
                    <a:latin typeface="+mj-lt"/>
                    <a:ea typeface="+mn-ea"/>
                    <a:cs typeface="Times New Roman" panose="02020603050405020304" pitchFamily="18" charset="0"/>
                  </a:defRPr>
                </a:pPr>
                <a:r>
                  <a:rPr lang="en-GB"/>
                  <a:t>Distance</a:t>
                </a:r>
                <a:r>
                  <a:rPr lang="en-GB" baseline="0"/>
                  <a:t> from Downstream</a:t>
                </a:r>
                <a:r>
                  <a:rPr lang="en-GB"/>
                  <a:t> (m)</a:t>
                </a:r>
              </a:p>
            </c:rich>
          </c:tx>
          <c:layout>
            <c:manualLayout>
              <c:xMode val="edge"/>
              <c:yMode val="edge"/>
              <c:x val="0.23451201212814998"/>
              <c:y val="0.73004430288541478"/>
            </c:manualLayout>
          </c:layout>
          <c:overlay val="0"/>
          <c:spPr>
            <a:noFill/>
            <a:ln>
              <a:noFill/>
            </a:ln>
            <a:effectLst/>
          </c:spPr>
          <c:txPr>
            <a:bodyPr rot="0" spcFirstLastPara="1" vertOverflow="ellipsis" vert="horz" wrap="square" anchor="ctr" anchorCtr="1"/>
            <a:lstStyle/>
            <a:p>
              <a:pPr>
                <a:defRPr sz="500" b="0" i="0" u="none" strike="noStrike" kern="1200" baseline="0">
                  <a:solidFill>
                    <a:schemeClr val="tx1">
                      <a:lumMod val="65000"/>
                      <a:lumOff val="35000"/>
                    </a:schemeClr>
                  </a:solidFill>
                  <a:latin typeface="+mj-lt"/>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500" b="0" i="0" u="none" strike="noStrike" kern="1200" baseline="0">
                <a:solidFill>
                  <a:schemeClr val="tx1">
                    <a:lumMod val="65000"/>
                    <a:lumOff val="35000"/>
                  </a:schemeClr>
                </a:solidFill>
                <a:latin typeface="+mj-lt"/>
                <a:ea typeface="+mn-ea"/>
                <a:cs typeface="Times New Roman" panose="02020603050405020304" pitchFamily="18" charset="0"/>
              </a:defRPr>
            </a:pPr>
            <a:endParaRPr lang="en-US"/>
          </a:p>
        </c:txPr>
        <c:crossAx val="1558928960"/>
        <c:crosses val="autoZero"/>
        <c:crossBetween val="midCat"/>
      </c:valAx>
      <c:valAx>
        <c:axId val="15589289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500" b="0" i="0" u="none" strike="noStrike" kern="1200" baseline="0">
                    <a:solidFill>
                      <a:schemeClr val="tx1">
                        <a:lumMod val="65000"/>
                        <a:lumOff val="35000"/>
                      </a:schemeClr>
                    </a:solidFill>
                    <a:latin typeface="+mj-lt"/>
                    <a:ea typeface="+mn-ea"/>
                    <a:cs typeface="Times New Roman" panose="02020603050405020304" pitchFamily="18" charset="0"/>
                  </a:defRPr>
                </a:pPr>
                <a:r>
                  <a:rPr lang="en-GB"/>
                  <a:t>DO (mg/L)</a:t>
                </a:r>
              </a:p>
            </c:rich>
          </c:tx>
          <c:overlay val="0"/>
          <c:spPr>
            <a:noFill/>
            <a:ln>
              <a:noFill/>
            </a:ln>
            <a:effectLst/>
          </c:spPr>
          <c:txPr>
            <a:bodyPr rot="-5400000" spcFirstLastPara="1" vertOverflow="ellipsis" vert="horz" wrap="square" anchor="ctr" anchorCtr="1"/>
            <a:lstStyle/>
            <a:p>
              <a:pPr>
                <a:defRPr sz="500" b="0" i="0" u="none" strike="noStrike" kern="1200" baseline="0">
                  <a:solidFill>
                    <a:schemeClr val="tx1">
                      <a:lumMod val="65000"/>
                      <a:lumOff val="35000"/>
                    </a:schemeClr>
                  </a:solidFill>
                  <a:latin typeface="+mj-lt"/>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500" b="0" i="0" u="none" strike="noStrike" kern="1200" baseline="0">
                <a:solidFill>
                  <a:schemeClr val="tx1">
                    <a:lumMod val="65000"/>
                    <a:lumOff val="35000"/>
                  </a:schemeClr>
                </a:solidFill>
                <a:latin typeface="+mj-lt"/>
                <a:ea typeface="+mn-ea"/>
                <a:cs typeface="Times New Roman" panose="02020603050405020304" pitchFamily="18" charset="0"/>
              </a:defRPr>
            </a:pPr>
            <a:endParaRPr lang="en-US"/>
          </a:p>
        </c:txPr>
        <c:crossAx val="1118042496"/>
        <c:crosses val="autoZero"/>
        <c:crossBetween val="midCat"/>
      </c:valAx>
      <c:spPr>
        <a:noFill/>
        <a:ln>
          <a:noFill/>
        </a:ln>
        <a:effectLst/>
      </c:spPr>
    </c:plotArea>
    <c:legend>
      <c:legendPos val="b"/>
      <c:layout>
        <c:manualLayout>
          <c:xMode val="edge"/>
          <c:yMode val="edge"/>
          <c:x val="9.308355119657194E-2"/>
          <c:y val="0.84135354737157153"/>
          <c:w val="0.75882245564098183"/>
          <c:h val="0.1586464526284285"/>
        </c:manualLayout>
      </c:layout>
      <c:overlay val="0"/>
      <c:spPr>
        <a:noFill/>
        <a:ln>
          <a:noFill/>
        </a:ln>
        <a:effectLst/>
      </c:spPr>
      <c:txPr>
        <a:bodyPr rot="0" spcFirstLastPara="1" vertOverflow="ellipsis" vert="horz" wrap="square" anchor="ctr" anchorCtr="1"/>
        <a:lstStyle/>
        <a:p>
          <a:pPr>
            <a:defRPr sz="500" b="0" i="0" u="none" strike="noStrike" kern="1200" baseline="0">
              <a:solidFill>
                <a:schemeClr val="tx1">
                  <a:lumMod val="65000"/>
                  <a:lumOff val="35000"/>
                </a:schemeClr>
              </a:solidFill>
              <a:latin typeface="+mj-lt"/>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500">
          <a:latin typeface="+mj-lt"/>
          <a:cs typeface="Times New Roman" panose="02020603050405020304" pitchFamily="18" charset="0"/>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684327769441393"/>
          <c:y val="6.5696855936180201E-2"/>
          <c:w val="0.77246909951580223"/>
          <c:h val="0.58432291224038102"/>
        </c:manualLayout>
      </c:layout>
      <c:scatterChart>
        <c:scatterStyle val="lineMarker"/>
        <c:varyColors val="0"/>
        <c:ser>
          <c:idx val="0"/>
          <c:order val="0"/>
          <c:tx>
            <c:v>BOD</c:v>
          </c:tx>
          <c:spPr>
            <a:ln w="12700" cap="rnd">
              <a:solidFill>
                <a:sysClr val="windowText" lastClr="000000"/>
              </a:solidFill>
              <a:round/>
            </a:ln>
            <a:effectLst/>
          </c:spPr>
          <c:marker>
            <c:symbol val="circle"/>
            <c:size val="2"/>
            <c:spPr>
              <a:solidFill>
                <a:schemeClr val="tx1"/>
              </a:solidFill>
              <a:ln w="12700">
                <a:solidFill>
                  <a:sysClr val="windowText" lastClr="000000"/>
                </a:solidFill>
              </a:ln>
              <a:effectLst/>
            </c:spPr>
          </c:marker>
          <c:xVal>
            <c:numRef>
              <c:f>'BOD_Scenario 2'!$B$2:$B$37</c:f>
              <c:numCache>
                <c:formatCode>General</c:formatCode>
                <c:ptCount val="36"/>
                <c:pt idx="0">
                  <c:v>2359.89</c:v>
                </c:pt>
                <c:pt idx="1">
                  <c:v>2321.59</c:v>
                </c:pt>
                <c:pt idx="2">
                  <c:v>2290.59</c:v>
                </c:pt>
                <c:pt idx="3">
                  <c:v>2260.29</c:v>
                </c:pt>
                <c:pt idx="4">
                  <c:v>2208.39</c:v>
                </c:pt>
                <c:pt idx="5">
                  <c:v>2122.89</c:v>
                </c:pt>
                <c:pt idx="6">
                  <c:v>1964.89</c:v>
                </c:pt>
                <c:pt idx="7">
                  <c:v>1831.39</c:v>
                </c:pt>
                <c:pt idx="8">
                  <c:v>1755.59</c:v>
                </c:pt>
                <c:pt idx="9">
                  <c:v>1681.59</c:v>
                </c:pt>
                <c:pt idx="10">
                  <c:v>1631.39</c:v>
                </c:pt>
                <c:pt idx="11">
                  <c:v>1564.99</c:v>
                </c:pt>
                <c:pt idx="12">
                  <c:v>1487.59</c:v>
                </c:pt>
                <c:pt idx="13">
                  <c:v>1418.59</c:v>
                </c:pt>
                <c:pt idx="14">
                  <c:v>1365.79</c:v>
                </c:pt>
                <c:pt idx="15">
                  <c:v>1179.19</c:v>
                </c:pt>
                <c:pt idx="16">
                  <c:v>1001.19</c:v>
                </c:pt>
                <c:pt idx="17">
                  <c:v>955.89</c:v>
                </c:pt>
                <c:pt idx="18">
                  <c:v>909.49</c:v>
                </c:pt>
                <c:pt idx="19">
                  <c:v>754.1</c:v>
                </c:pt>
                <c:pt idx="20">
                  <c:v>673.4</c:v>
                </c:pt>
                <c:pt idx="21">
                  <c:v>558</c:v>
                </c:pt>
                <c:pt idx="22">
                  <c:v>455.6</c:v>
                </c:pt>
                <c:pt idx="23">
                  <c:v>434.1</c:v>
                </c:pt>
                <c:pt idx="24">
                  <c:v>413.7</c:v>
                </c:pt>
                <c:pt idx="25">
                  <c:v>393</c:v>
                </c:pt>
                <c:pt idx="26">
                  <c:v>357.5</c:v>
                </c:pt>
                <c:pt idx="27">
                  <c:v>324</c:v>
                </c:pt>
                <c:pt idx="28">
                  <c:v>295.5</c:v>
                </c:pt>
                <c:pt idx="29">
                  <c:v>273.3</c:v>
                </c:pt>
                <c:pt idx="30">
                  <c:v>242</c:v>
                </c:pt>
                <c:pt idx="31">
                  <c:v>180.6</c:v>
                </c:pt>
                <c:pt idx="32">
                  <c:v>123.6</c:v>
                </c:pt>
                <c:pt idx="33">
                  <c:v>81</c:v>
                </c:pt>
                <c:pt idx="34">
                  <c:v>32.799999999999997</c:v>
                </c:pt>
                <c:pt idx="35">
                  <c:v>0</c:v>
                </c:pt>
              </c:numCache>
            </c:numRef>
          </c:xVal>
          <c:yVal>
            <c:numRef>
              <c:f>'BOD_Scenario 2'!$DD$2:$DD$37</c:f>
              <c:numCache>
                <c:formatCode>General</c:formatCode>
                <c:ptCount val="36"/>
                <c:pt idx="0">
                  <c:v>6</c:v>
                </c:pt>
                <c:pt idx="1">
                  <c:v>5.8613285143978002</c:v>
                </c:pt>
                <c:pt idx="2">
                  <c:v>5.8415758402762998</c:v>
                </c:pt>
                <c:pt idx="3">
                  <c:v>5.9196277306838097</c:v>
                </c:pt>
                <c:pt idx="4">
                  <c:v>9.5348444517955109</c:v>
                </c:pt>
                <c:pt idx="5">
                  <c:v>11.955839924815701</c:v>
                </c:pt>
                <c:pt idx="6">
                  <c:v>10.7412500669852</c:v>
                </c:pt>
                <c:pt idx="7">
                  <c:v>10.370102057857499</c:v>
                </c:pt>
                <c:pt idx="8">
                  <c:v>10.0481778454447</c:v>
                </c:pt>
                <c:pt idx="9">
                  <c:v>9.81907391541524</c:v>
                </c:pt>
                <c:pt idx="10">
                  <c:v>9.5869582323031306</c:v>
                </c:pt>
                <c:pt idx="11">
                  <c:v>10.7650671318639</c:v>
                </c:pt>
                <c:pt idx="12">
                  <c:v>11.9338729350549</c:v>
                </c:pt>
                <c:pt idx="13">
                  <c:v>11.6801449592419</c:v>
                </c:pt>
                <c:pt idx="14">
                  <c:v>10.0460829045987</c:v>
                </c:pt>
                <c:pt idx="15">
                  <c:v>11.8544311913837</c:v>
                </c:pt>
                <c:pt idx="16">
                  <c:v>11.9970438680438</c:v>
                </c:pt>
                <c:pt idx="17">
                  <c:v>11.621106414337101</c:v>
                </c:pt>
                <c:pt idx="18">
                  <c:v>11.0173771484914</c:v>
                </c:pt>
                <c:pt idx="19">
                  <c:v>11.272743117553601</c:v>
                </c:pt>
                <c:pt idx="20">
                  <c:v>11.5014748056046</c:v>
                </c:pt>
                <c:pt idx="21">
                  <c:v>11.635916036734599</c:v>
                </c:pt>
                <c:pt idx="22">
                  <c:v>11.6994764703258</c:v>
                </c:pt>
                <c:pt idx="23">
                  <c:v>11.68393995053</c:v>
                </c:pt>
                <c:pt idx="24">
                  <c:v>11.626274741829</c:v>
                </c:pt>
                <c:pt idx="25">
                  <c:v>11.4230515824876</c:v>
                </c:pt>
                <c:pt idx="26">
                  <c:v>11.3852053893697</c:v>
                </c:pt>
                <c:pt idx="27">
                  <c:v>11.202033161439401</c:v>
                </c:pt>
                <c:pt idx="28">
                  <c:v>10.831841663595901</c:v>
                </c:pt>
                <c:pt idx="29">
                  <c:v>10.1645717409911</c:v>
                </c:pt>
                <c:pt idx="30">
                  <c:v>9.3815151552115505</c:v>
                </c:pt>
                <c:pt idx="31">
                  <c:v>9.1690725315778199</c:v>
                </c:pt>
                <c:pt idx="32">
                  <c:v>9.1338138700004805</c:v>
                </c:pt>
                <c:pt idx="33">
                  <c:v>9.0929543568644196</c:v>
                </c:pt>
                <c:pt idx="34">
                  <c:v>9.0695209015362597</c:v>
                </c:pt>
                <c:pt idx="35">
                  <c:v>9.0695225748866797</c:v>
                </c:pt>
              </c:numCache>
            </c:numRef>
          </c:yVal>
          <c:smooth val="0"/>
          <c:extLst>
            <c:ext xmlns:c16="http://schemas.microsoft.com/office/drawing/2014/chart" uri="{C3380CC4-5D6E-409C-BE32-E72D297353CC}">
              <c16:uniqueId val="{00000000-0078-4385-89BA-7141504A0A86}"/>
            </c:ext>
          </c:extLst>
        </c:ser>
        <c:ser>
          <c:idx val="1"/>
          <c:order val="1"/>
          <c:tx>
            <c:v>Class 1</c:v>
          </c:tx>
          <c:spPr>
            <a:ln w="19050" cap="rnd">
              <a:solidFill>
                <a:srgbClr val="92D050"/>
              </a:solidFill>
              <a:round/>
            </a:ln>
            <a:effectLst/>
          </c:spPr>
          <c:marker>
            <c:symbol val="none"/>
          </c:marker>
          <c:xVal>
            <c:numRef>
              <c:f>'BOD_Scenario 2'!$B$2:$B$37</c:f>
              <c:numCache>
                <c:formatCode>General</c:formatCode>
                <c:ptCount val="36"/>
                <c:pt idx="0">
                  <c:v>2359.89</c:v>
                </c:pt>
                <c:pt idx="1">
                  <c:v>2321.59</c:v>
                </c:pt>
                <c:pt idx="2">
                  <c:v>2290.59</c:v>
                </c:pt>
                <c:pt idx="3">
                  <c:v>2260.29</c:v>
                </c:pt>
                <c:pt idx="4">
                  <c:v>2208.39</c:v>
                </c:pt>
                <c:pt idx="5">
                  <c:v>2122.89</c:v>
                </c:pt>
                <c:pt idx="6">
                  <c:v>1964.89</c:v>
                </c:pt>
                <c:pt idx="7">
                  <c:v>1831.39</c:v>
                </c:pt>
                <c:pt idx="8">
                  <c:v>1755.59</c:v>
                </c:pt>
                <c:pt idx="9">
                  <c:v>1681.59</c:v>
                </c:pt>
                <c:pt idx="10">
                  <c:v>1631.39</c:v>
                </c:pt>
                <c:pt idx="11">
                  <c:v>1564.99</c:v>
                </c:pt>
                <c:pt idx="12">
                  <c:v>1487.59</c:v>
                </c:pt>
                <c:pt idx="13">
                  <c:v>1418.59</c:v>
                </c:pt>
                <c:pt idx="14">
                  <c:v>1365.79</c:v>
                </c:pt>
                <c:pt idx="15">
                  <c:v>1179.19</c:v>
                </c:pt>
                <c:pt idx="16">
                  <c:v>1001.19</c:v>
                </c:pt>
                <c:pt idx="17">
                  <c:v>955.89</c:v>
                </c:pt>
                <c:pt idx="18">
                  <c:v>909.49</c:v>
                </c:pt>
                <c:pt idx="19">
                  <c:v>754.1</c:v>
                </c:pt>
                <c:pt idx="20">
                  <c:v>673.4</c:v>
                </c:pt>
                <c:pt idx="21">
                  <c:v>558</c:v>
                </c:pt>
                <c:pt idx="22">
                  <c:v>455.6</c:v>
                </c:pt>
                <c:pt idx="23">
                  <c:v>434.1</c:v>
                </c:pt>
                <c:pt idx="24">
                  <c:v>413.7</c:v>
                </c:pt>
                <c:pt idx="25">
                  <c:v>393</c:v>
                </c:pt>
                <c:pt idx="26">
                  <c:v>357.5</c:v>
                </c:pt>
                <c:pt idx="27">
                  <c:v>324</c:v>
                </c:pt>
                <c:pt idx="28">
                  <c:v>295.5</c:v>
                </c:pt>
                <c:pt idx="29">
                  <c:v>273.3</c:v>
                </c:pt>
                <c:pt idx="30">
                  <c:v>242</c:v>
                </c:pt>
                <c:pt idx="31">
                  <c:v>180.6</c:v>
                </c:pt>
                <c:pt idx="32">
                  <c:v>123.6</c:v>
                </c:pt>
                <c:pt idx="33">
                  <c:v>81</c:v>
                </c:pt>
                <c:pt idx="34">
                  <c:v>32.799999999999997</c:v>
                </c:pt>
                <c:pt idx="35">
                  <c:v>0</c:v>
                </c:pt>
              </c:numCache>
            </c:numRef>
          </c:xVal>
          <c:yVal>
            <c:numRef>
              <c:f>WQR!$F$2:$F$37</c:f>
              <c:numCache>
                <c:formatCode>General</c:formatCode>
                <c:ptCount val="36"/>
                <c:pt idx="0">
                  <c:v>2</c:v>
                </c:pt>
                <c:pt idx="1">
                  <c:v>2</c:v>
                </c:pt>
                <c:pt idx="2">
                  <c:v>2</c:v>
                </c:pt>
                <c:pt idx="3">
                  <c:v>2</c:v>
                </c:pt>
                <c:pt idx="4">
                  <c:v>2</c:v>
                </c:pt>
                <c:pt idx="5">
                  <c:v>2</c:v>
                </c:pt>
                <c:pt idx="6">
                  <c:v>2</c:v>
                </c:pt>
                <c:pt idx="7">
                  <c:v>2</c:v>
                </c:pt>
                <c:pt idx="8">
                  <c:v>2</c:v>
                </c:pt>
                <c:pt idx="9">
                  <c:v>2</c:v>
                </c:pt>
                <c:pt idx="10">
                  <c:v>2</c:v>
                </c:pt>
                <c:pt idx="11">
                  <c:v>2</c:v>
                </c:pt>
                <c:pt idx="12">
                  <c:v>2</c:v>
                </c:pt>
                <c:pt idx="13">
                  <c:v>2</c:v>
                </c:pt>
                <c:pt idx="14">
                  <c:v>2</c:v>
                </c:pt>
                <c:pt idx="15">
                  <c:v>2</c:v>
                </c:pt>
                <c:pt idx="16">
                  <c:v>2</c:v>
                </c:pt>
                <c:pt idx="17">
                  <c:v>2</c:v>
                </c:pt>
                <c:pt idx="18">
                  <c:v>2</c:v>
                </c:pt>
                <c:pt idx="19">
                  <c:v>2</c:v>
                </c:pt>
                <c:pt idx="20">
                  <c:v>2</c:v>
                </c:pt>
                <c:pt idx="21">
                  <c:v>2</c:v>
                </c:pt>
                <c:pt idx="22">
                  <c:v>2</c:v>
                </c:pt>
                <c:pt idx="23">
                  <c:v>2</c:v>
                </c:pt>
                <c:pt idx="24">
                  <c:v>2</c:v>
                </c:pt>
                <c:pt idx="25">
                  <c:v>2</c:v>
                </c:pt>
                <c:pt idx="26">
                  <c:v>2</c:v>
                </c:pt>
                <c:pt idx="27">
                  <c:v>2</c:v>
                </c:pt>
                <c:pt idx="28">
                  <c:v>2</c:v>
                </c:pt>
                <c:pt idx="29">
                  <c:v>2</c:v>
                </c:pt>
                <c:pt idx="30">
                  <c:v>2</c:v>
                </c:pt>
                <c:pt idx="31">
                  <c:v>2</c:v>
                </c:pt>
                <c:pt idx="32">
                  <c:v>2</c:v>
                </c:pt>
                <c:pt idx="33">
                  <c:v>2</c:v>
                </c:pt>
                <c:pt idx="34">
                  <c:v>2</c:v>
                </c:pt>
                <c:pt idx="35">
                  <c:v>2</c:v>
                </c:pt>
              </c:numCache>
            </c:numRef>
          </c:yVal>
          <c:smooth val="0"/>
          <c:extLst>
            <c:ext xmlns:c16="http://schemas.microsoft.com/office/drawing/2014/chart" uri="{C3380CC4-5D6E-409C-BE32-E72D297353CC}">
              <c16:uniqueId val="{00000001-0078-4385-89BA-7141504A0A86}"/>
            </c:ext>
          </c:extLst>
        </c:ser>
        <c:ser>
          <c:idx val="2"/>
          <c:order val="2"/>
          <c:tx>
            <c:v>Class 2</c:v>
          </c:tx>
          <c:spPr>
            <a:ln w="19050" cap="rnd">
              <a:solidFill>
                <a:srgbClr val="00B0F0"/>
              </a:solidFill>
              <a:round/>
            </a:ln>
            <a:effectLst/>
          </c:spPr>
          <c:marker>
            <c:symbol val="none"/>
          </c:marker>
          <c:xVal>
            <c:numRef>
              <c:f>'BOD_Scenario 2'!$B$2:$B$37</c:f>
              <c:numCache>
                <c:formatCode>General</c:formatCode>
                <c:ptCount val="36"/>
                <c:pt idx="0">
                  <c:v>2359.89</c:v>
                </c:pt>
                <c:pt idx="1">
                  <c:v>2321.59</c:v>
                </c:pt>
                <c:pt idx="2">
                  <c:v>2290.59</c:v>
                </c:pt>
                <c:pt idx="3">
                  <c:v>2260.29</c:v>
                </c:pt>
                <c:pt idx="4">
                  <c:v>2208.39</c:v>
                </c:pt>
                <c:pt idx="5">
                  <c:v>2122.89</c:v>
                </c:pt>
                <c:pt idx="6">
                  <c:v>1964.89</c:v>
                </c:pt>
                <c:pt idx="7">
                  <c:v>1831.39</c:v>
                </c:pt>
                <c:pt idx="8">
                  <c:v>1755.59</c:v>
                </c:pt>
                <c:pt idx="9">
                  <c:v>1681.59</c:v>
                </c:pt>
                <c:pt idx="10">
                  <c:v>1631.39</c:v>
                </c:pt>
                <c:pt idx="11">
                  <c:v>1564.99</c:v>
                </c:pt>
                <c:pt idx="12">
                  <c:v>1487.59</c:v>
                </c:pt>
                <c:pt idx="13">
                  <c:v>1418.59</c:v>
                </c:pt>
                <c:pt idx="14">
                  <c:v>1365.79</c:v>
                </c:pt>
                <c:pt idx="15">
                  <c:v>1179.19</c:v>
                </c:pt>
                <c:pt idx="16">
                  <c:v>1001.19</c:v>
                </c:pt>
                <c:pt idx="17">
                  <c:v>955.89</c:v>
                </c:pt>
                <c:pt idx="18">
                  <c:v>909.49</c:v>
                </c:pt>
                <c:pt idx="19">
                  <c:v>754.1</c:v>
                </c:pt>
                <c:pt idx="20">
                  <c:v>673.4</c:v>
                </c:pt>
                <c:pt idx="21">
                  <c:v>558</c:v>
                </c:pt>
                <c:pt idx="22">
                  <c:v>455.6</c:v>
                </c:pt>
                <c:pt idx="23">
                  <c:v>434.1</c:v>
                </c:pt>
                <c:pt idx="24">
                  <c:v>413.7</c:v>
                </c:pt>
                <c:pt idx="25">
                  <c:v>393</c:v>
                </c:pt>
                <c:pt idx="26">
                  <c:v>357.5</c:v>
                </c:pt>
                <c:pt idx="27">
                  <c:v>324</c:v>
                </c:pt>
                <c:pt idx="28">
                  <c:v>295.5</c:v>
                </c:pt>
                <c:pt idx="29">
                  <c:v>273.3</c:v>
                </c:pt>
                <c:pt idx="30">
                  <c:v>242</c:v>
                </c:pt>
                <c:pt idx="31">
                  <c:v>180.6</c:v>
                </c:pt>
                <c:pt idx="32">
                  <c:v>123.6</c:v>
                </c:pt>
                <c:pt idx="33">
                  <c:v>81</c:v>
                </c:pt>
                <c:pt idx="34">
                  <c:v>32.799999999999997</c:v>
                </c:pt>
                <c:pt idx="35">
                  <c:v>0</c:v>
                </c:pt>
              </c:numCache>
            </c:numRef>
          </c:xVal>
          <c:yVal>
            <c:numRef>
              <c:f>WQR!$G$2:$G$37</c:f>
              <c:numCache>
                <c:formatCode>General</c:formatCode>
                <c:ptCount val="36"/>
                <c:pt idx="0">
                  <c:v>3</c:v>
                </c:pt>
                <c:pt idx="1">
                  <c:v>3</c:v>
                </c:pt>
                <c:pt idx="2">
                  <c:v>3</c:v>
                </c:pt>
                <c:pt idx="3">
                  <c:v>3</c:v>
                </c:pt>
                <c:pt idx="4">
                  <c:v>3</c:v>
                </c:pt>
                <c:pt idx="5">
                  <c:v>3</c:v>
                </c:pt>
                <c:pt idx="6">
                  <c:v>3</c:v>
                </c:pt>
                <c:pt idx="7">
                  <c:v>3</c:v>
                </c:pt>
                <c:pt idx="8">
                  <c:v>3</c:v>
                </c:pt>
                <c:pt idx="9">
                  <c:v>3</c:v>
                </c:pt>
                <c:pt idx="10">
                  <c:v>3</c:v>
                </c:pt>
                <c:pt idx="11">
                  <c:v>3</c:v>
                </c:pt>
                <c:pt idx="12">
                  <c:v>3</c:v>
                </c:pt>
                <c:pt idx="13">
                  <c:v>3</c:v>
                </c:pt>
                <c:pt idx="14">
                  <c:v>3</c:v>
                </c:pt>
                <c:pt idx="15">
                  <c:v>3</c:v>
                </c:pt>
                <c:pt idx="16">
                  <c:v>3</c:v>
                </c:pt>
                <c:pt idx="17">
                  <c:v>3</c:v>
                </c:pt>
                <c:pt idx="18">
                  <c:v>3</c:v>
                </c:pt>
                <c:pt idx="19">
                  <c:v>3</c:v>
                </c:pt>
                <c:pt idx="20">
                  <c:v>3</c:v>
                </c:pt>
                <c:pt idx="21">
                  <c:v>3</c:v>
                </c:pt>
                <c:pt idx="22">
                  <c:v>3</c:v>
                </c:pt>
                <c:pt idx="23">
                  <c:v>3</c:v>
                </c:pt>
                <c:pt idx="24">
                  <c:v>3</c:v>
                </c:pt>
                <c:pt idx="25">
                  <c:v>3</c:v>
                </c:pt>
                <c:pt idx="26">
                  <c:v>3</c:v>
                </c:pt>
                <c:pt idx="27">
                  <c:v>3</c:v>
                </c:pt>
                <c:pt idx="28">
                  <c:v>3</c:v>
                </c:pt>
                <c:pt idx="29">
                  <c:v>3</c:v>
                </c:pt>
                <c:pt idx="30">
                  <c:v>3</c:v>
                </c:pt>
                <c:pt idx="31">
                  <c:v>3</c:v>
                </c:pt>
                <c:pt idx="32">
                  <c:v>3</c:v>
                </c:pt>
                <c:pt idx="33">
                  <c:v>3</c:v>
                </c:pt>
                <c:pt idx="34">
                  <c:v>3</c:v>
                </c:pt>
                <c:pt idx="35">
                  <c:v>3</c:v>
                </c:pt>
              </c:numCache>
            </c:numRef>
          </c:yVal>
          <c:smooth val="0"/>
          <c:extLst>
            <c:ext xmlns:c16="http://schemas.microsoft.com/office/drawing/2014/chart" uri="{C3380CC4-5D6E-409C-BE32-E72D297353CC}">
              <c16:uniqueId val="{00000002-0078-4385-89BA-7141504A0A86}"/>
            </c:ext>
          </c:extLst>
        </c:ser>
        <c:ser>
          <c:idx val="3"/>
          <c:order val="3"/>
          <c:tx>
            <c:v>Class 3</c:v>
          </c:tx>
          <c:spPr>
            <a:ln w="19050" cap="rnd">
              <a:solidFill>
                <a:schemeClr val="accent2"/>
              </a:solidFill>
              <a:round/>
            </a:ln>
            <a:effectLst/>
          </c:spPr>
          <c:marker>
            <c:symbol val="none"/>
          </c:marker>
          <c:xVal>
            <c:numRef>
              <c:f>'BOD_Scenario 2'!$B$2:$B$37</c:f>
              <c:numCache>
                <c:formatCode>General</c:formatCode>
                <c:ptCount val="36"/>
                <c:pt idx="0">
                  <c:v>2359.89</c:v>
                </c:pt>
                <c:pt idx="1">
                  <c:v>2321.59</c:v>
                </c:pt>
                <c:pt idx="2">
                  <c:v>2290.59</c:v>
                </c:pt>
                <c:pt idx="3">
                  <c:v>2260.29</c:v>
                </c:pt>
                <c:pt idx="4">
                  <c:v>2208.39</c:v>
                </c:pt>
                <c:pt idx="5">
                  <c:v>2122.89</c:v>
                </c:pt>
                <c:pt idx="6">
                  <c:v>1964.89</c:v>
                </c:pt>
                <c:pt idx="7">
                  <c:v>1831.39</c:v>
                </c:pt>
                <c:pt idx="8">
                  <c:v>1755.59</c:v>
                </c:pt>
                <c:pt idx="9">
                  <c:v>1681.59</c:v>
                </c:pt>
                <c:pt idx="10">
                  <c:v>1631.39</c:v>
                </c:pt>
                <c:pt idx="11">
                  <c:v>1564.99</c:v>
                </c:pt>
                <c:pt idx="12">
                  <c:v>1487.59</c:v>
                </c:pt>
                <c:pt idx="13">
                  <c:v>1418.59</c:v>
                </c:pt>
                <c:pt idx="14">
                  <c:v>1365.79</c:v>
                </c:pt>
                <c:pt idx="15">
                  <c:v>1179.19</c:v>
                </c:pt>
                <c:pt idx="16">
                  <c:v>1001.19</c:v>
                </c:pt>
                <c:pt idx="17">
                  <c:v>955.89</c:v>
                </c:pt>
                <c:pt idx="18">
                  <c:v>909.49</c:v>
                </c:pt>
                <c:pt idx="19">
                  <c:v>754.1</c:v>
                </c:pt>
                <c:pt idx="20">
                  <c:v>673.4</c:v>
                </c:pt>
                <c:pt idx="21">
                  <c:v>558</c:v>
                </c:pt>
                <c:pt idx="22">
                  <c:v>455.6</c:v>
                </c:pt>
                <c:pt idx="23">
                  <c:v>434.1</c:v>
                </c:pt>
                <c:pt idx="24">
                  <c:v>413.7</c:v>
                </c:pt>
                <c:pt idx="25">
                  <c:v>393</c:v>
                </c:pt>
                <c:pt idx="26">
                  <c:v>357.5</c:v>
                </c:pt>
                <c:pt idx="27">
                  <c:v>324</c:v>
                </c:pt>
                <c:pt idx="28">
                  <c:v>295.5</c:v>
                </c:pt>
                <c:pt idx="29">
                  <c:v>273.3</c:v>
                </c:pt>
                <c:pt idx="30">
                  <c:v>242</c:v>
                </c:pt>
                <c:pt idx="31">
                  <c:v>180.6</c:v>
                </c:pt>
                <c:pt idx="32">
                  <c:v>123.6</c:v>
                </c:pt>
                <c:pt idx="33">
                  <c:v>81</c:v>
                </c:pt>
                <c:pt idx="34">
                  <c:v>32.799999999999997</c:v>
                </c:pt>
                <c:pt idx="35">
                  <c:v>0</c:v>
                </c:pt>
              </c:numCache>
            </c:numRef>
          </c:xVal>
          <c:yVal>
            <c:numRef>
              <c:f>WQR!$H$2:$H$37</c:f>
              <c:numCache>
                <c:formatCode>General</c:formatCode>
                <c:ptCount val="36"/>
                <c:pt idx="0">
                  <c:v>6</c:v>
                </c:pt>
                <c:pt idx="1">
                  <c:v>6</c:v>
                </c:pt>
                <c:pt idx="2">
                  <c:v>6</c:v>
                </c:pt>
                <c:pt idx="3">
                  <c:v>6</c:v>
                </c:pt>
                <c:pt idx="4">
                  <c:v>6</c:v>
                </c:pt>
                <c:pt idx="5">
                  <c:v>6</c:v>
                </c:pt>
                <c:pt idx="6">
                  <c:v>6</c:v>
                </c:pt>
                <c:pt idx="7">
                  <c:v>6</c:v>
                </c:pt>
                <c:pt idx="8">
                  <c:v>6</c:v>
                </c:pt>
                <c:pt idx="9">
                  <c:v>6</c:v>
                </c:pt>
                <c:pt idx="10">
                  <c:v>6</c:v>
                </c:pt>
                <c:pt idx="11">
                  <c:v>6</c:v>
                </c:pt>
                <c:pt idx="12">
                  <c:v>6</c:v>
                </c:pt>
                <c:pt idx="13">
                  <c:v>6</c:v>
                </c:pt>
                <c:pt idx="14">
                  <c:v>6</c:v>
                </c:pt>
                <c:pt idx="15">
                  <c:v>6</c:v>
                </c:pt>
                <c:pt idx="16">
                  <c:v>6</c:v>
                </c:pt>
                <c:pt idx="17">
                  <c:v>6</c:v>
                </c:pt>
                <c:pt idx="18">
                  <c:v>6</c:v>
                </c:pt>
                <c:pt idx="19">
                  <c:v>6</c:v>
                </c:pt>
                <c:pt idx="20">
                  <c:v>6</c:v>
                </c:pt>
                <c:pt idx="21">
                  <c:v>6</c:v>
                </c:pt>
                <c:pt idx="22">
                  <c:v>6</c:v>
                </c:pt>
                <c:pt idx="23">
                  <c:v>6</c:v>
                </c:pt>
                <c:pt idx="24">
                  <c:v>6</c:v>
                </c:pt>
                <c:pt idx="25">
                  <c:v>6</c:v>
                </c:pt>
                <c:pt idx="26">
                  <c:v>6</c:v>
                </c:pt>
                <c:pt idx="27">
                  <c:v>6</c:v>
                </c:pt>
                <c:pt idx="28">
                  <c:v>6</c:v>
                </c:pt>
                <c:pt idx="29">
                  <c:v>6</c:v>
                </c:pt>
                <c:pt idx="30">
                  <c:v>6</c:v>
                </c:pt>
                <c:pt idx="31">
                  <c:v>6</c:v>
                </c:pt>
                <c:pt idx="32">
                  <c:v>6</c:v>
                </c:pt>
                <c:pt idx="33">
                  <c:v>6</c:v>
                </c:pt>
                <c:pt idx="34">
                  <c:v>6</c:v>
                </c:pt>
                <c:pt idx="35">
                  <c:v>6</c:v>
                </c:pt>
              </c:numCache>
            </c:numRef>
          </c:yVal>
          <c:smooth val="0"/>
          <c:extLst>
            <c:ext xmlns:c16="http://schemas.microsoft.com/office/drawing/2014/chart" uri="{C3380CC4-5D6E-409C-BE32-E72D297353CC}">
              <c16:uniqueId val="{00000003-0078-4385-89BA-7141504A0A86}"/>
            </c:ext>
          </c:extLst>
        </c:ser>
        <c:ser>
          <c:idx val="4"/>
          <c:order val="4"/>
          <c:tx>
            <c:v>Class 4</c:v>
          </c:tx>
          <c:spPr>
            <a:ln w="19050" cap="rnd">
              <a:solidFill>
                <a:srgbClr val="FF0000"/>
              </a:solidFill>
              <a:round/>
            </a:ln>
            <a:effectLst/>
          </c:spPr>
          <c:marker>
            <c:symbol val="none"/>
          </c:marker>
          <c:xVal>
            <c:numRef>
              <c:f>'BOD_Scenario 2'!$B$2:$B$37</c:f>
              <c:numCache>
                <c:formatCode>General</c:formatCode>
                <c:ptCount val="36"/>
                <c:pt idx="0">
                  <c:v>2359.89</c:v>
                </c:pt>
                <c:pt idx="1">
                  <c:v>2321.59</c:v>
                </c:pt>
                <c:pt idx="2">
                  <c:v>2290.59</c:v>
                </c:pt>
                <c:pt idx="3">
                  <c:v>2260.29</c:v>
                </c:pt>
                <c:pt idx="4">
                  <c:v>2208.39</c:v>
                </c:pt>
                <c:pt idx="5">
                  <c:v>2122.89</c:v>
                </c:pt>
                <c:pt idx="6">
                  <c:v>1964.89</c:v>
                </c:pt>
                <c:pt idx="7">
                  <c:v>1831.39</c:v>
                </c:pt>
                <c:pt idx="8">
                  <c:v>1755.59</c:v>
                </c:pt>
                <c:pt idx="9">
                  <c:v>1681.59</c:v>
                </c:pt>
                <c:pt idx="10">
                  <c:v>1631.39</c:v>
                </c:pt>
                <c:pt idx="11">
                  <c:v>1564.99</c:v>
                </c:pt>
                <c:pt idx="12">
                  <c:v>1487.59</c:v>
                </c:pt>
                <c:pt idx="13">
                  <c:v>1418.59</c:v>
                </c:pt>
                <c:pt idx="14">
                  <c:v>1365.79</c:v>
                </c:pt>
                <c:pt idx="15">
                  <c:v>1179.19</c:v>
                </c:pt>
                <c:pt idx="16">
                  <c:v>1001.19</c:v>
                </c:pt>
                <c:pt idx="17">
                  <c:v>955.89</c:v>
                </c:pt>
                <c:pt idx="18">
                  <c:v>909.49</c:v>
                </c:pt>
                <c:pt idx="19">
                  <c:v>754.1</c:v>
                </c:pt>
                <c:pt idx="20">
                  <c:v>673.4</c:v>
                </c:pt>
                <c:pt idx="21">
                  <c:v>558</c:v>
                </c:pt>
                <c:pt idx="22">
                  <c:v>455.6</c:v>
                </c:pt>
                <c:pt idx="23">
                  <c:v>434.1</c:v>
                </c:pt>
                <c:pt idx="24">
                  <c:v>413.7</c:v>
                </c:pt>
                <c:pt idx="25">
                  <c:v>393</c:v>
                </c:pt>
                <c:pt idx="26">
                  <c:v>357.5</c:v>
                </c:pt>
                <c:pt idx="27">
                  <c:v>324</c:v>
                </c:pt>
                <c:pt idx="28">
                  <c:v>295.5</c:v>
                </c:pt>
                <c:pt idx="29">
                  <c:v>273.3</c:v>
                </c:pt>
                <c:pt idx="30">
                  <c:v>242</c:v>
                </c:pt>
                <c:pt idx="31">
                  <c:v>180.6</c:v>
                </c:pt>
                <c:pt idx="32">
                  <c:v>123.6</c:v>
                </c:pt>
                <c:pt idx="33">
                  <c:v>81</c:v>
                </c:pt>
                <c:pt idx="34">
                  <c:v>32.799999999999997</c:v>
                </c:pt>
                <c:pt idx="35">
                  <c:v>0</c:v>
                </c:pt>
              </c:numCache>
            </c:numRef>
          </c:xVal>
          <c:yVal>
            <c:numRef>
              <c:f>WQR!$I$2:$I$37</c:f>
              <c:numCache>
                <c:formatCode>General</c:formatCode>
                <c:ptCount val="36"/>
                <c:pt idx="0">
                  <c:v>12</c:v>
                </c:pt>
                <c:pt idx="1">
                  <c:v>12</c:v>
                </c:pt>
                <c:pt idx="2">
                  <c:v>12</c:v>
                </c:pt>
                <c:pt idx="3">
                  <c:v>12</c:v>
                </c:pt>
                <c:pt idx="4">
                  <c:v>12</c:v>
                </c:pt>
                <c:pt idx="5">
                  <c:v>12</c:v>
                </c:pt>
                <c:pt idx="6">
                  <c:v>12</c:v>
                </c:pt>
                <c:pt idx="7">
                  <c:v>12</c:v>
                </c:pt>
                <c:pt idx="8">
                  <c:v>12</c:v>
                </c:pt>
                <c:pt idx="9">
                  <c:v>12</c:v>
                </c:pt>
                <c:pt idx="10">
                  <c:v>12</c:v>
                </c:pt>
                <c:pt idx="11">
                  <c:v>12</c:v>
                </c:pt>
                <c:pt idx="12">
                  <c:v>12</c:v>
                </c:pt>
                <c:pt idx="13">
                  <c:v>12</c:v>
                </c:pt>
                <c:pt idx="14">
                  <c:v>12</c:v>
                </c:pt>
                <c:pt idx="15">
                  <c:v>12</c:v>
                </c:pt>
                <c:pt idx="16">
                  <c:v>12</c:v>
                </c:pt>
                <c:pt idx="17">
                  <c:v>12</c:v>
                </c:pt>
                <c:pt idx="18">
                  <c:v>12</c:v>
                </c:pt>
                <c:pt idx="19">
                  <c:v>12</c:v>
                </c:pt>
                <c:pt idx="20">
                  <c:v>12</c:v>
                </c:pt>
                <c:pt idx="21">
                  <c:v>12</c:v>
                </c:pt>
                <c:pt idx="22">
                  <c:v>12</c:v>
                </c:pt>
                <c:pt idx="23">
                  <c:v>12</c:v>
                </c:pt>
                <c:pt idx="24">
                  <c:v>12</c:v>
                </c:pt>
                <c:pt idx="25">
                  <c:v>12</c:v>
                </c:pt>
                <c:pt idx="26">
                  <c:v>12</c:v>
                </c:pt>
                <c:pt idx="27">
                  <c:v>12</c:v>
                </c:pt>
                <c:pt idx="28">
                  <c:v>12</c:v>
                </c:pt>
                <c:pt idx="29">
                  <c:v>12</c:v>
                </c:pt>
                <c:pt idx="30">
                  <c:v>12</c:v>
                </c:pt>
                <c:pt idx="31">
                  <c:v>12</c:v>
                </c:pt>
                <c:pt idx="32">
                  <c:v>12</c:v>
                </c:pt>
                <c:pt idx="33">
                  <c:v>12</c:v>
                </c:pt>
                <c:pt idx="34">
                  <c:v>12</c:v>
                </c:pt>
                <c:pt idx="35">
                  <c:v>12</c:v>
                </c:pt>
              </c:numCache>
            </c:numRef>
          </c:yVal>
          <c:smooth val="0"/>
          <c:extLst>
            <c:ext xmlns:c16="http://schemas.microsoft.com/office/drawing/2014/chart" uri="{C3380CC4-5D6E-409C-BE32-E72D297353CC}">
              <c16:uniqueId val="{00000004-0078-4385-89BA-7141504A0A86}"/>
            </c:ext>
          </c:extLst>
        </c:ser>
        <c:dLbls>
          <c:showLegendKey val="0"/>
          <c:showVal val="0"/>
          <c:showCatName val="0"/>
          <c:showSerName val="0"/>
          <c:showPercent val="0"/>
          <c:showBubbleSize val="0"/>
        </c:dLbls>
        <c:axId val="804832655"/>
        <c:axId val="962749119"/>
      </c:scatterChart>
      <c:valAx>
        <c:axId val="804832655"/>
        <c:scaling>
          <c:orientation val="minMax"/>
          <c:max val="236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500" b="0" i="0" u="none" strike="noStrike" kern="1200" baseline="0">
                    <a:solidFill>
                      <a:schemeClr val="tx1">
                        <a:lumMod val="65000"/>
                        <a:lumOff val="35000"/>
                      </a:schemeClr>
                    </a:solidFill>
                    <a:latin typeface="+mj-lt"/>
                    <a:ea typeface="+mn-ea"/>
                    <a:cs typeface="+mn-cs"/>
                  </a:defRPr>
                </a:pPr>
                <a:r>
                  <a:rPr lang="en-GB"/>
                  <a:t>Distance from Downstream (m)</a:t>
                </a:r>
              </a:p>
            </c:rich>
          </c:tx>
          <c:layout>
            <c:manualLayout>
              <c:xMode val="edge"/>
              <c:yMode val="edge"/>
              <c:x val="0.26928576953421096"/>
              <c:y val="0.72065903775167472"/>
            </c:manualLayout>
          </c:layout>
          <c:overlay val="0"/>
          <c:spPr>
            <a:noFill/>
            <a:ln>
              <a:noFill/>
            </a:ln>
            <a:effectLst/>
          </c:spPr>
          <c:txPr>
            <a:bodyPr rot="0" spcFirstLastPara="1" vertOverflow="ellipsis" vert="horz" wrap="square" anchor="ctr" anchorCtr="1"/>
            <a:lstStyle/>
            <a:p>
              <a:pPr>
                <a:defRPr sz="500" b="0" i="0" u="none" strike="noStrike" kern="1200" baseline="0">
                  <a:solidFill>
                    <a:schemeClr val="tx1">
                      <a:lumMod val="65000"/>
                      <a:lumOff val="35000"/>
                    </a:schemeClr>
                  </a:solidFill>
                  <a:latin typeface="+mj-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500" b="0" i="0" u="none" strike="noStrike" kern="1200" baseline="0">
                <a:solidFill>
                  <a:schemeClr val="tx1">
                    <a:lumMod val="65000"/>
                    <a:lumOff val="35000"/>
                  </a:schemeClr>
                </a:solidFill>
                <a:latin typeface="+mj-lt"/>
                <a:ea typeface="+mn-ea"/>
                <a:cs typeface="+mn-cs"/>
              </a:defRPr>
            </a:pPr>
            <a:endParaRPr lang="en-US"/>
          </a:p>
        </c:txPr>
        <c:crossAx val="962749119"/>
        <c:crosses val="autoZero"/>
        <c:crossBetween val="midCat"/>
      </c:valAx>
      <c:valAx>
        <c:axId val="96274911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500" b="0" i="0" u="none" strike="noStrike" kern="1200" baseline="0">
                    <a:solidFill>
                      <a:schemeClr val="tx1">
                        <a:lumMod val="65000"/>
                        <a:lumOff val="35000"/>
                      </a:schemeClr>
                    </a:solidFill>
                    <a:latin typeface="+mj-lt"/>
                    <a:ea typeface="+mn-ea"/>
                    <a:cs typeface="+mn-cs"/>
                  </a:defRPr>
                </a:pPr>
                <a:r>
                  <a:rPr lang="en-GB"/>
                  <a:t>BOD (mg/L)</a:t>
                </a:r>
              </a:p>
            </c:rich>
          </c:tx>
          <c:overlay val="0"/>
          <c:spPr>
            <a:noFill/>
            <a:ln>
              <a:noFill/>
            </a:ln>
            <a:effectLst/>
          </c:spPr>
          <c:txPr>
            <a:bodyPr rot="-5400000" spcFirstLastPara="1" vertOverflow="ellipsis" vert="horz" wrap="square" anchor="ctr" anchorCtr="1"/>
            <a:lstStyle/>
            <a:p>
              <a:pPr>
                <a:defRPr sz="500" b="0" i="0" u="none" strike="noStrike" kern="1200" baseline="0">
                  <a:solidFill>
                    <a:schemeClr val="tx1">
                      <a:lumMod val="65000"/>
                      <a:lumOff val="35000"/>
                    </a:schemeClr>
                  </a:solidFill>
                  <a:latin typeface="+mj-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500" b="0" i="0" u="none" strike="noStrike" kern="1200" baseline="0">
                <a:solidFill>
                  <a:schemeClr val="tx1">
                    <a:lumMod val="65000"/>
                    <a:lumOff val="35000"/>
                  </a:schemeClr>
                </a:solidFill>
                <a:latin typeface="+mj-lt"/>
                <a:ea typeface="+mn-ea"/>
                <a:cs typeface="+mn-cs"/>
              </a:defRPr>
            </a:pPr>
            <a:endParaRPr lang="en-US"/>
          </a:p>
        </c:txPr>
        <c:crossAx val="804832655"/>
        <c:crosses val="autoZero"/>
        <c:crossBetween val="midCat"/>
      </c:valAx>
      <c:spPr>
        <a:noFill/>
        <a:ln>
          <a:noFill/>
        </a:ln>
        <a:effectLst/>
      </c:spPr>
    </c:plotArea>
    <c:legend>
      <c:legendPos val="b"/>
      <c:layout>
        <c:manualLayout>
          <c:xMode val="edge"/>
          <c:yMode val="edge"/>
          <c:x val="3.8073728013860733E-2"/>
          <c:y val="0.82258301710409143"/>
          <c:w val="0.91599337902015687"/>
          <c:h val="0.17741698289590849"/>
        </c:manualLayout>
      </c:layout>
      <c:overlay val="0"/>
      <c:spPr>
        <a:noFill/>
        <a:ln>
          <a:noFill/>
        </a:ln>
        <a:effectLst/>
      </c:spPr>
      <c:txPr>
        <a:bodyPr rot="0" spcFirstLastPara="1" vertOverflow="ellipsis" vert="horz" wrap="square" anchor="ctr" anchorCtr="1"/>
        <a:lstStyle/>
        <a:p>
          <a:pPr>
            <a:defRPr sz="500" b="0" i="0" u="none" strike="noStrike" kern="1200" baseline="0">
              <a:solidFill>
                <a:schemeClr val="tx1">
                  <a:lumMod val="65000"/>
                  <a:lumOff val="35000"/>
                </a:schemeClr>
              </a:solidFill>
              <a:latin typeface="+mj-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500">
          <a:latin typeface="+mj-lt"/>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861145058242965"/>
          <c:y val="5.6311590802440172E-2"/>
          <c:w val="0.75070092662778642"/>
          <c:h val="0.59370817737412107"/>
        </c:manualLayout>
      </c:layout>
      <c:scatterChart>
        <c:scatterStyle val="lineMarker"/>
        <c:varyColors val="0"/>
        <c:ser>
          <c:idx val="0"/>
          <c:order val="0"/>
          <c:tx>
            <c:v>COD</c:v>
          </c:tx>
          <c:spPr>
            <a:ln w="12700" cap="rnd">
              <a:solidFill>
                <a:sysClr val="windowText" lastClr="000000"/>
              </a:solidFill>
              <a:round/>
            </a:ln>
            <a:effectLst/>
          </c:spPr>
          <c:marker>
            <c:symbol val="circle"/>
            <c:size val="2"/>
            <c:spPr>
              <a:solidFill>
                <a:schemeClr val="tx1"/>
              </a:solidFill>
              <a:ln w="12700">
                <a:solidFill>
                  <a:sysClr val="windowText" lastClr="000000"/>
                </a:solidFill>
              </a:ln>
              <a:effectLst/>
            </c:spPr>
          </c:marker>
          <c:xVal>
            <c:numRef>
              <c:f>COD_Scenario2!$B$2:$B$37</c:f>
              <c:numCache>
                <c:formatCode>General</c:formatCode>
                <c:ptCount val="36"/>
                <c:pt idx="0">
                  <c:v>2359.89</c:v>
                </c:pt>
                <c:pt idx="1">
                  <c:v>2321.59</c:v>
                </c:pt>
                <c:pt idx="2">
                  <c:v>2290.59</c:v>
                </c:pt>
                <c:pt idx="3">
                  <c:v>2260.29</c:v>
                </c:pt>
                <c:pt idx="4">
                  <c:v>2208.39</c:v>
                </c:pt>
                <c:pt idx="5">
                  <c:v>2122.89</c:v>
                </c:pt>
                <c:pt idx="6">
                  <c:v>1964.89</c:v>
                </c:pt>
                <c:pt idx="7">
                  <c:v>1831.39</c:v>
                </c:pt>
                <c:pt idx="8">
                  <c:v>1755.59</c:v>
                </c:pt>
                <c:pt idx="9">
                  <c:v>1681.59</c:v>
                </c:pt>
                <c:pt idx="10">
                  <c:v>1631.39</c:v>
                </c:pt>
                <c:pt idx="11">
                  <c:v>1564.99</c:v>
                </c:pt>
                <c:pt idx="12">
                  <c:v>1487.59</c:v>
                </c:pt>
                <c:pt idx="13">
                  <c:v>1418.59</c:v>
                </c:pt>
                <c:pt idx="14">
                  <c:v>1365.79</c:v>
                </c:pt>
                <c:pt idx="15">
                  <c:v>1179.19</c:v>
                </c:pt>
                <c:pt idx="16">
                  <c:v>1001.19</c:v>
                </c:pt>
                <c:pt idx="17">
                  <c:v>955.89</c:v>
                </c:pt>
                <c:pt idx="18">
                  <c:v>909.49</c:v>
                </c:pt>
                <c:pt idx="19">
                  <c:v>754.1</c:v>
                </c:pt>
                <c:pt idx="20">
                  <c:v>673.4</c:v>
                </c:pt>
                <c:pt idx="21">
                  <c:v>558</c:v>
                </c:pt>
                <c:pt idx="22">
                  <c:v>455.6</c:v>
                </c:pt>
                <c:pt idx="23">
                  <c:v>434.1</c:v>
                </c:pt>
                <c:pt idx="24">
                  <c:v>413.7</c:v>
                </c:pt>
                <c:pt idx="25">
                  <c:v>393</c:v>
                </c:pt>
                <c:pt idx="26">
                  <c:v>357.5</c:v>
                </c:pt>
                <c:pt idx="27">
                  <c:v>324</c:v>
                </c:pt>
                <c:pt idx="28">
                  <c:v>295.5</c:v>
                </c:pt>
                <c:pt idx="29">
                  <c:v>273.3</c:v>
                </c:pt>
                <c:pt idx="30">
                  <c:v>242</c:v>
                </c:pt>
                <c:pt idx="31">
                  <c:v>180.6</c:v>
                </c:pt>
                <c:pt idx="32">
                  <c:v>123.6</c:v>
                </c:pt>
                <c:pt idx="33">
                  <c:v>81</c:v>
                </c:pt>
                <c:pt idx="34">
                  <c:v>32.799999999999997</c:v>
                </c:pt>
                <c:pt idx="35">
                  <c:v>0</c:v>
                </c:pt>
              </c:numCache>
            </c:numRef>
          </c:xVal>
          <c:yVal>
            <c:numRef>
              <c:f>COD_Scenario2!$DD$2:$DD$37</c:f>
              <c:numCache>
                <c:formatCode>General</c:formatCode>
                <c:ptCount val="36"/>
                <c:pt idx="0">
                  <c:v>40</c:v>
                </c:pt>
                <c:pt idx="1">
                  <c:v>39.809117998003302</c:v>
                </c:pt>
                <c:pt idx="2">
                  <c:v>39.799855963419802</c:v>
                </c:pt>
                <c:pt idx="3">
                  <c:v>40.503249921094302</c:v>
                </c:pt>
                <c:pt idx="4">
                  <c:v>65.0342196550517</c:v>
                </c:pt>
                <c:pt idx="5">
                  <c:v>79.704499110198697</c:v>
                </c:pt>
                <c:pt idx="6">
                  <c:v>77.954638548605999</c:v>
                </c:pt>
                <c:pt idx="7">
                  <c:v>77.269591264666502</c:v>
                </c:pt>
                <c:pt idx="8">
                  <c:v>76.663824839842803</c:v>
                </c:pt>
                <c:pt idx="9">
                  <c:v>76.311177150447094</c:v>
                </c:pt>
                <c:pt idx="10">
                  <c:v>75.983587599490704</c:v>
                </c:pt>
                <c:pt idx="11">
                  <c:v>78.153555603110405</c:v>
                </c:pt>
                <c:pt idx="12">
                  <c:v>79.640783851562702</c:v>
                </c:pt>
                <c:pt idx="13">
                  <c:v>79.156455571306694</c:v>
                </c:pt>
                <c:pt idx="14">
                  <c:v>77.084866075537306</c:v>
                </c:pt>
                <c:pt idx="15">
                  <c:v>79.417675589192896</c:v>
                </c:pt>
                <c:pt idx="16">
                  <c:v>79.550705541403005</c:v>
                </c:pt>
                <c:pt idx="17">
                  <c:v>78.9833180670921</c:v>
                </c:pt>
                <c:pt idx="18">
                  <c:v>78.028696162386296</c:v>
                </c:pt>
                <c:pt idx="19">
                  <c:v>78.270171728861897</c:v>
                </c:pt>
                <c:pt idx="20">
                  <c:v>78.491915281382802</c:v>
                </c:pt>
                <c:pt idx="21">
                  <c:v>79.064288697175698</c:v>
                </c:pt>
                <c:pt idx="22">
                  <c:v>79.286462417568103</c:v>
                </c:pt>
                <c:pt idx="23">
                  <c:v>79.322091303931202</c:v>
                </c:pt>
                <c:pt idx="24">
                  <c:v>79.295048442823997</c:v>
                </c:pt>
                <c:pt idx="25">
                  <c:v>79.037968322270203</c:v>
                </c:pt>
                <c:pt idx="26">
                  <c:v>78.944958973406699</c:v>
                </c:pt>
                <c:pt idx="27">
                  <c:v>78.701794287800197</c:v>
                </c:pt>
                <c:pt idx="28">
                  <c:v>78.259309786452306</c:v>
                </c:pt>
                <c:pt idx="29">
                  <c:v>77.473436649260407</c:v>
                </c:pt>
                <c:pt idx="30">
                  <c:v>76.542673220090506</c:v>
                </c:pt>
                <c:pt idx="31">
                  <c:v>76.186409394371395</c:v>
                </c:pt>
                <c:pt idx="32">
                  <c:v>76.0524173004098</c:v>
                </c:pt>
                <c:pt idx="33">
                  <c:v>75.906338928848498</c:v>
                </c:pt>
                <c:pt idx="34">
                  <c:v>75.827167703459097</c:v>
                </c:pt>
                <c:pt idx="35">
                  <c:v>75.827161897533898</c:v>
                </c:pt>
              </c:numCache>
            </c:numRef>
          </c:yVal>
          <c:smooth val="0"/>
          <c:extLst>
            <c:ext xmlns:c16="http://schemas.microsoft.com/office/drawing/2014/chart" uri="{C3380CC4-5D6E-409C-BE32-E72D297353CC}">
              <c16:uniqueId val="{00000000-DE7B-4274-9393-B5724738AE32}"/>
            </c:ext>
          </c:extLst>
        </c:ser>
        <c:ser>
          <c:idx val="1"/>
          <c:order val="1"/>
          <c:tx>
            <c:v>Class 1</c:v>
          </c:tx>
          <c:spPr>
            <a:ln w="19050" cap="rnd">
              <a:solidFill>
                <a:srgbClr val="92D050"/>
              </a:solidFill>
              <a:round/>
            </a:ln>
            <a:effectLst/>
          </c:spPr>
          <c:marker>
            <c:symbol val="none"/>
          </c:marker>
          <c:xVal>
            <c:numRef>
              <c:f>COD_Scenario2!$B$2:$B$37</c:f>
              <c:numCache>
                <c:formatCode>General</c:formatCode>
                <c:ptCount val="36"/>
                <c:pt idx="0">
                  <c:v>2359.89</c:v>
                </c:pt>
                <c:pt idx="1">
                  <c:v>2321.59</c:v>
                </c:pt>
                <c:pt idx="2">
                  <c:v>2290.59</c:v>
                </c:pt>
                <c:pt idx="3">
                  <c:v>2260.29</c:v>
                </c:pt>
                <c:pt idx="4">
                  <c:v>2208.39</c:v>
                </c:pt>
                <c:pt idx="5">
                  <c:v>2122.89</c:v>
                </c:pt>
                <c:pt idx="6">
                  <c:v>1964.89</c:v>
                </c:pt>
                <c:pt idx="7">
                  <c:v>1831.39</c:v>
                </c:pt>
                <c:pt idx="8">
                  <c:v>1755.59</c:v>
                </c:pt>
                <c:pt idx="9">
                  <c:v>1681.59</c:v>
                </c:pt>
                <c:pt idx="10">
                  <c:v>1631.39</c:v>
                </c:pt>
                <c:pt idx="11">
                  <c:v>1564.99</c:v>
                </c:pt>
                <c:pt idx="12">
                  <c:v>1487.59</c:v>
                </c:pt>
                <c:pt idx="13">
                  <c:v>1418.59</c:v>
                </c:pt>
                <c:pt idx="14">
                  <c:v>1365.79</c:v>
                </c:pt>
                <c:pt idx="15">
                  <c:v>1179.19</c:v>
                </c:pt>
                <c:pt idx="16">
                  <c:v>1001.19</c:v>
                </c:pt>
                <c:pt idx="17">
                  <c:v>955.89</c:v>
                </c:pt>
                <c:pt idx="18">
                  <c:v>909.49</c:v>
                </c:pt>
                <c:pt idx="19">
                  <c:v>754.1</c:v>
                </c:pt>
                <c:pt idx="20">
                  <c:v>673.4</c:v>
                </c:pt>
                <c:pt idx="21">
                  <c:v>558</c:v>
                </c:pt>
                <c:pt idx="22">
                  <c:v>455.6</c:v>
                </c:pt>
                <c:pt idx="23">
                  <c:v>434.1</c:v>
                </c:pt>
                <c:pt idx="24">
                  <c:v>413.7</c:v>
                </c:pt>
                <c:pt idx="25">
                  <c:v>393</c:v>
                </c:pt>
                <c:pt idx="26">
                  <c:v>357.5</c:v>
                </c:pt>
                <c:pt idx="27">
                  <c:v>324</c:v>
                </c:pt>
                <c:pt idx="28">
                  <c:v>295.5</c:v>
                </c:pt>
                <c:pt idx="29">
                  <c:v>273.3</c:v>
                </c:pt>
                <c:pt idx="30">
                  <c:v>242</c:v>
                </c:pt>
                <c:pt idx="31">
                  <c:v>180.6</c:v>
                </c:pt>
                <c:pt idx="32">
                  <c:v>123.6</c:v>
                </c:pt>
                <c:pt idx="33">
                  <c:v>81</c:v>
                </c:pt>
                <c:pt idx="34">
                  <c:v>32.799999999999997</c:v>
                </c:pt>
                <c:pt idx="35">
                  <c:v>0</c:v>
                </c:pt>
              </c:numCache>
            </c:numRef>
          </c:xVal>
          <c:yVal>
            <c:numRef>
              <c:f>WQR!$J$2:$J$37</c:f>
              <c:numCache>
                <c:formatCode>General</c:formatCode>
                <c:ptCount val="36"/>
                <c:pt idx="0">
                  <c:v>10</c:v>
                </c:pt>
                <c:pt idx="1">
                  <c:v>10</c:v>
                </c:pt>
                <c:pt idx="2">
                  <c:v>10</c:v>
                </c:pt>
                <c:pt idx="3">
                  <c:v>10</c:v>
                </c:pt>
                <c:pt idx="4">
                  <c:v>10</c:v>
                </c:pt>
                <c:pt idx="5">
                  <c:v>10</c:v>
                </c:pt>
                <c:pt idx="6">
                  <c:v>10</c:v>
                </c:pt>
                <c:pt idx="7">
                  <c:v>10</c:v>
                </c:pt>
                <c:pt idx="8">
                  <c:v>10</c:v>
                </c:pt>
                <c:pt idx="9">
                  <c:v>10</c:v>
                </c:pt>
                <c:pt idx="10">
                  <c:v>10</c:v>
                </c:pt>
                <c:pt idx="11">
                  <c:v>10</c:v>
                </c:pt>
                <c:pt idx="12">
                  <c:v>10</c:v>
                </c:pt>
                <c:pt idx="13">
                  <c:v>10</c:v>
                </c:pt>
                <c:pt idx="14">
                  <c:v>10</c:v>
                </c:pt>
                <c:pt idx="15">
                  <c:v>10</c:v>
                </c:pt>
                <c:pt idx="16">
                  <c:v>10</c:v>
                </c:pt>
                <c:pt idx="17">
                  <c:v>10</c:v>
                </c:pt>
                <c:pt idx="18">
                  <c:v>10</c:v>
                </c:pt>
                <c:pt idx="19">
                  <c:v>10</c:v>
                </c:pt>
                <c:pt idx="20">
                  <c:v>10</c:v>
                </c:pt>
                <c:pt idx="21">
                  <c:v>10</c:v>
                </c:pt>
                <c:pt idx="22">
                  <c:v>10</c:v>
                </c:pt>
                <c:pt idx="23">
                  <c:v>10</c:v>
                </c:pt>
                <c:pt idx="24">
                  <c:v>10</c:v>
                </c:pt>
                <c:pt idx="25">
                  <c:v>10</c:v>
                </c:pt>
                <c:pt idx="26">
                  <c:v>10</c:v>
                </c:pt>
                <c:pt idx="27">
                  <c:v>10</c:v>
                </c:pt>
                <c:pt idx="28">
                  <c:v>10</c:v>
                </c:pt>
                <c:pt idx="29">
                  <c:v>10</c:v>
                </c:pt>
                <c:pt idx="30">
                  <c:v>10</c:v>
                </c:pt>
                <c:pt idx="31">
                  <c:v>10</c:v>
                </c:pt>
                <c:pt idx="32">
                  <c:v>10</c:v>
                </c:pt>
                <c:pt idx="33">
                  <c:v>10</c:v>
                </c:pt>
                <c:pt idx="34">
                  <c:v>10</c:v>
                </c:pt>
                <c:pt idx="35">
                  <c:v>10</c:v>
                </c:pt>
              </c:numCache>
            </c:numRef>
          </c:yVal>
          <c:smooth val="0"/>
          <c:extLst>
            <c:ext xmlns:c16="http://schemas.microsoft.com/office/drawing/2014/chart" uri="{C3380CC4-5D6E-409C-BE32-E72D297353CC}">
              <c16:uniqueId val="{00000001-DE7B-4274-9393-B5724738AE32}"/>
            </c:ext>
          </c:extLst>
        </c:ser>
        <c:ser>
          <c:idx val="2"/>
          <c:order val="2"/>
          <c:tx>
            <c:v>Class 2</c:v>
          </c:tx>
          <c:spPr>
            <a:ln w="19050" cap="rnd">
              <a:solidFill>
                <a:srgbClr val="00B0F0"/>
              </a:solidFill>
              <a:round/>
            </a:ln>
            <a:effectLst/>
          </c:spPr>
          <c:marker>
            <c:symbol val="none"/>
          </c:marker>
          <c:xVal>
            <c:numRef>
              <c:f>COD_Scenario2!$B$2:$B$37</c:f>
              <c:numCache>
                <c:formatCode>General</c:formatCode>
                <c:ptCount val="36"/>
                <c:pt idx="0">
                  <c:v>2359.89</c:v>
                </c:pt>
                <c:pt idx="1">
                  <c:v>2321.59</c:v>
                </c:pt>
                <c:pt idx="2">
                  <c:v>2290.59</c:v>
                </c:pt>
                <c:pt idx="3">
                  <c:v>2260.29</c:v>
                </c:pt>
                <c:pt idx="4">
                  <c:v>2208.39</c:v>
                </c:pt>
                <c:pt idx="5">
                  <c:v>2122.89</c:v>
                </c:pt>
                <c:pt idx="6">
                  <c:v>1964.89</c:v>
                </c:pt>
                <c:pt idx="7">
                  <c:v>1831.39</c:v>
                </c:pt>
                <c:pt idx="8">
                  <c:v>1755.59</c:v>
                </c:pt>
                <c:pt idx="9">
                  <c:v>1681.59</c:v>
                </c:pt>
                <c:pt idx="10">
                  <c:v>1631.39</c:v>
                </c:pt>
                <c:pt idx="11">
                  <c:v>1564.99</c:v>
                </c:pt>
                <c:pt idx="12">
                  <c:v>1487.59</c:v>
                </c:pt>
                <c:pt idx="13">
                  <c:v>1418.59</c:v>
                </c:pt>
                <c:pt idx="14">
                  <c:v>1365.79</c:v>
                </c:pt>
                <c:pt idx="15">
                  <c:v>1179.19</c:v>
                </c:pt>
                <c:pt idx="16">
                  <c:v>1001.19</c:v>
                </c:pt>
                <c:pt idx="17">
                  <c:v>955.89</c:v>
                </c:pt>
                <c:pt idx="18">
                  <c:v>909.49</c:v>
                </c:pt>
                <c:pt idx="19">
                  <c:v>754.1</c:v>
                </c:pt>
                <c:pt idx="20">
                  <c:v>673.4</c:v>
                </c:pt>
                <c:pt idx="21">
                  <c:v>558</c:v>
                </c:pt>
                <c:pt idx="22">
                  <c:v>455.6</c:v>
                </c:pt>
                <c:pt idx="23">
                  <c:v>434.1</c:v>
                </c:pt>
                <c:pt idx="24">
                  <c:v>413.7</c:v>
                </c:pt>
                <c:pt idx="25">
                  <c:v>393</c:v>
                </c:pt>
                <c:pt idx="26">
                  <c:v>357.5</c:v>
                </c:pt>
                <c:pt idx="27">
                  <c:v>324</c:v>
                </c:pt>
                <c:pt idx="28">
                  <c:v>295.5</c:v>
                </c:pt>
                <c:pt idx="29">
                  <c:v>273.3</c:v>
                </c:pt>
                <c:pt idx="30">
                  <c:v>242</c:v>
                </c:pt>
                <c:pt idx="31">
                  <c:v>180.6</c:v>
                </c:pt>
                <c:pt idx="32">
                  <c:v>123.6</c:v>
                </c:pt>
                <c:pt idx="33">
                  <c:v>81</c:v>
                </c:pt>
                <c:pt idx="34">
                  <c:v>32.799999999999997</c:v>
                </c:pt>
                <c:pt idx="35">
                  <c:v>0</c:v>
                </c:pt>
              </c:numCache>
            </c:numRef>
          </c:xVal>
          <c:yVal>
            <c:numRef>
              <c:f>WQR!$K$2:$K$37</c:f>
              <c:numCache>
                <c:formatCode>General</c:formatCode>
                <c:ptCount val="36"/>
                <c:pt idx="0">
                  <c:v>25</c:v>
                </c:pt>
                <c:pt idx="1">
                  <c:v>25</c:v>
                </c:pt>
                <c:pt idx="2">
                  <c:v>25</c:v>
                </c:pt>
                <c:pt idx="3">
                  <c:v>25</c:v>
                </c:pt>
                <c:pt idx="4">
                  <c:v>25</c:v>
                </c:pt>
                <c:pt idx="5">
                  <c:v>25</c:v>
                </c:pt>
                <c:pt idx="6">
                  <c:v>25</c:v>
                </c:pt>
                <c:pt idx="7">
                  <c:v>25</c:v>
                </c:pt>
                <c:pt idx="8">
                  <c:v>25</c:v>
                </c:pt>
                <c:pt idx="9">
                  <c:v>25</c:v>
                </c:pt>
                <c:pt idx="10">
                  <c:v>25</c:v>
                </c:pt>
                <c:pt idx="11">
                  <c:v>25</c:v>
                </c:pt>
                <c:pt idx="12">
                  <c:v>25</c:v>
                </c:pt>
                <c:pt idx="13">
                  <c:v>25</c:v>
                </c:pt>
                <c:pt idx="14">
                  <c:v>25</c:v>
                </c:pt>
                <c:pt idx="15">
                  <c:v>25</c:v>
                </c:pt>
                <c:pt idx="16">
                  <c:v>25</c:v>
                </c:pt>
                <c:pt idx="17">
                  <c:v>25</c:v>
                </c:pt>
                <c:pt idx="18">
                  <c:v>25</c:v>
                </c:pt>
                <c:pt idx="19">
                  <c:v>25</c:v>
                </c:pt>
                <c:pt idx="20">
                  <c:v>25</c:v>
                </c:pt>
                <c:pt idx="21">
                  <c:v>25</c:v>
                </c:pt>
                <c:pt idx="22">
                  <c:v>25</c:v>
                </c:pt>
                <c:pt idx="23">
                  <c:v>25</c:v>
                </c:pt>
                <c:pt idx="24">
                  <c:v>25</c:v>
                </c:pt>
                <c:pt idx="25">
                  <c:v>25</c:v>
                </c:pt>
                <c:pt idx="26">
                  <c:v>25</c:v>
                </c:pt>
                <c:pt idx="27">
                  <c:v>25</c:v>
                </c:pt>
                <c:pt idx="28">
                  <c:v>25</c:v>
                </c:pt>
                <c:pt idx="29">
                  <c:v>25</c:v>
                </c:pt>
                <c:pt idx="30">
                  <c:v>25</c:v>
                </c:pt>
                <c:pt idx="31">
                  <c:v>25</c:v>
                </c:pt>
                <c:pt idx="32">
                  <c:v>25</c:v>
                </c:pt>
                <c:pt idx="33">
                  <c:v>25</c:v>
                </c:pt>
                <c:pt idx="34">
                  <c:v>25</c:v>
                </c:pt>
                <c:pt idx="35">
                  <c:v>25</c:v>
                </c:pt>
              </c:numCache>
            </c:numRef>
          </c:yVal>
          <c:smooth val="0"/>
          <c:extLst>
            <c:ext xmlns:c16="http://schemas.microsoft.com/office/drawing/2014/chart" uri="{C3380CC4-5D6E-409C-BE32-E72D297353CC}">
              <c16:uniqueId val="{00000002-DE7B-4274-9393-B5724738AE32}"/>
            </c:ext>
          </c:extLst>
        </c:ser>
        <c:ser>
          <c:idx val="3"/>
          <c:order val="3"/>
          <c:tx>
            <c:v>Class 3</c:v>
          </c:tx>
          <c:spPr>
            <a:ln w="19050" cap="rnd">
              <a:solidFill>
                <a:schemeClr val="accent2"/>
              </a:solidFill>
              <a:round/>
            </a:ln>
            <a:effectLst/>
          </c:spPr>
          <c:marker>
            <c:symbol val="none"/>
          </c:marker>
          <c:xVal>
            <c:numRef>
              <c:f>COD_Scenario2!$B$2:$B$37</c:f>
              <c:numCache>
                <c:formatCode>General</c:formatCode>
                <c:ptCount val="36"/>
                <c:pt idx="0">
                  <c:v>2359.89</c:v>
                </c:pt>
                <c:pt idx="1">
                  <c:v>2321.59</c:v>
                </c:pt>
                <c:pt idx="2">
                  <c:v>2290.59</c:v>
                </c:pt>
                <c:pt idx="3">
                  <c:v>2260.29</c:v>
                </c:pt>
                <c:pt idx="4">
                  <c:v>2208.39</c:v>
                </c:pt>
                <c:pt idx="5">
                  <c:v>2122.89</c:v>
                </c:pt>
                <c:pt idx="6">
                  <c:v>1964.89</c:v>
                </c:pt>
                <c:pt idx="7">
                  <c:v>1831.39</c:v>
                </c:pt>
                <c:pt idx="8">
                  <c:v>1755.59</c:v>
                </c:pt>
                <c:pt idx="9">
                  <c:v>1681.59</c:v>
                </c:pt>
                <c:pt idx="10">
                  <c:v>1631.39</c:v>
                </c:pt>
                <c:pt idx="11">
                  <c:v>1564.99</c:v>
                </c:pt>
                <c:pt idx="12">
                  <c:v>1487.59</c:v>
                </c:pt>
                <c:pt idx="13">
                  <c:v>1418.59</c:v>
                </c:pt>
                <c:pt idx="14">
                  <c:v>1365.79</c:v>
                </c:pt>
                <c:pt idx="15">
                  <c:v>1179.19</c:v>
                </c:pt>
                <c:pt idx="16">
                  <c:v>1001.19</c:v>
                </c:pt>
                <c:pt idx="17">
                  <c:v>955.89</c:v>
                </c:pt>
                <c:pt idx="18">
                  <c:v>909.49</c:v>
                </c:pt>
                <c:pt idx="19">
                  <c:v>754.1</c:v>
                </c:pt>
                <c:pt idx="20">
                  <c:v>673.4</c:v>
                </c:pt>
                <c:pt idx="21">
                  <c:v>558</c:v>
                </c:pt>
                <c:pt idx="22">
                  <c:v>455.6</c:v>
                </c:pt>
                <c:pt idx="23">
                  <c:v>434.1</c:v>
                </c:pt>
                <c:pt idx="24">
                  <c:v>413.7</c:v>
                </c:pt>
                <c:pt idx="25">
                  <c:v>393</c:v>
                </c:pt>
                <c:pt idx="26">
                  <c:v>357.5</c:v>
                </c:pt>
                <c:pt idx="27">
                  <c:v>324</c:v>
                </c:pt>
                <c:pt idx="28">
                  <c:v>295.5</c:v>
                </c:pt>
                <c:pt idx="29">
                  <c:v>273.3</c:v>
                </c:pt>
                <c:pt idx="30">
                  <c:v>242</c:v>
                </c:pt>
                <c:pt idx="31">
                  <c:v>180.6</c:v>
                </c:pt>
                <c:pt idx="32">
                  <c:v>123.6</c:v>
                </c:pt>
                <c:pt idx="33">
                  <c:v>81</c:v>
                </c:pt>
                <c:pt idx="34">
                  <c:v>32.799999999999997</c:v>
                </c:pt>
                <c:pt idx="35">
                  <c:v>0</c:v>
                </c:pt>
              </c:numCache>
            </c:numRef>
          </c:xVal>
          <c:yVal>
            <c:numRef>
              <c:f>WQR!$L$2:$L$37</c:f>
              <c:numCache>
                <c:formatCode>General</c:formatCode>
                <c:ptCount val="36"/>
                <c:pt idx="0">
                  <c:v>40</c:v>
                </c:pt>
                <c:pt idx="1">
                  <c:v>40</c:v>
                </c:pt>
                <c:pt idx="2">
                  <c:v>40</c:v>
                </c:pt>
                <c:pt idx="3">
                  <c:v>40</c:v>
                </c:pt>
                <c:pt idx="4">
                  <c:v>40</c:v>
                </c:pt>
                <c:pt idx="5">
                  <c:v>40</c:v>
                </c:pt>
                <c:pt idx="6">
                  <c:v>40</c:v>
                </c:pt>
                <c:pt idx="7">
                  <c:v>40</c:v>
                </c:pt>
                <c:pt idx="8">
                  <c:v>40</c:v>
                </c:pt>
                <c:pt idx="9">
                  <c:v>40</c:v>
                </c:pt>
                <c:pt idx="10">
                  <c:v>40</c:v>
                </c:pt>
                <c:pt idx="11">
                  <c:v>40</c:v>
                </c:pt>
                <c:pt idx="12">
                  <c:v>40</c:v>
                </c:pt>
                <c:pt idx="13">
                  <c:v>40</c:v>
                </c:pt>
                <c:pt idx="14">
                  <c:v>40</c:v>
                </c:pt>
                <c:pt idx="15">
                  <c:v>40</c:v>
                </c:pt>
                <c:pt idx="16">
                  <c:v>40</c:v>
                </c:pt>
                <c:pt idx="17">
                  <c:v>40</c:v>
                </c:pt>
                <c:pt idx="18">
                  <c:v>40</c:v>
                </c:pt>
                <c:pt idx="19">
                  <c:v>40</c:v>
                </c:pt>
                <c:pt idx="20">
                  <c:v>40</c:v>
                </c:pt>
                <c:pt idx="21">
                  <c:v>40</c:v>
                </c:pt>
                <c:pt idx="22">
                  <c:v>40</c:v>
                </c:pt>
                <c:pt idx="23">
                  <c:v>40</c:v>
                </c:pt>
                <c:pt idx="24">
                  <c:v>40</c:v>
                </c:pt>
                <c:pt idx="25">
                  <c:v>40</c:v>
                </c:pt>
                <c:pt idx="26">
                  <c:v>40</c:v>
                </c:pt>
                <c:pt idx="27">
                  <c:v>40</c:v>
                </c:pt>
                <c:pt idx="28">
                  <c:v>40</c:v>
                </c:pt>
                <c:pt idx="29">
                  <c:v>40</c:v>
                </c:pt>
                <c:pt idx="30">
                  <c:v>40</c:v>
                </c:pt>
                <c:pt idx="31">
                  <c:v>40</c:v>
                </c:pt>
                <c:pt idx="32">
                  <c:v>40</c:v>
                </c:pt>
                <c:pt idx="33">
                  <c:v>40</c:v>
                </c:pt>
                <c:pt idx="34">
                  <c:v>40</c:v>
                </c:pt>
                <c:pt idx="35">
                  <c:v>40</c:v>
                </c:pt>
              </c:numCache>
            </c:numRef>
          </c:yVal>
          <c:smooth val="0"/>
          <c:extLst>
            <c:ext xmlns:c16="http://schemas.microsoft.com/office/drawing/2014/chart" uri="{C3380CC4-5D6E-409C-BE32-E72D297353CC}">
              <c16:uniqueId val="{00000003-DE7B-4274-9393-B5724738AE32}"/>
            </c:ext>
          </c:extLst>
        </c:ser>
        <c:ser>
          <c:idx val="4"/>
          <c:order val="4"/>
          <c:tx>
            <c:v>Class 4</c:v>
          </c:tx>
          <c:spPr>
            <a:ln w="19050" cap="rnd">
              <a:solidFill>
                <a:srgbClr val="FF0000"/>
              </a:solidFill>
              <a:round/>
            </a:ln>
            <a:effectLst/>
          </c:spPr>
          <c:marker>
            <c:symbol val="none"/>
          </c:marker>
          <c:xVal>
            <c:numRef>
              <c:f>COD_Scenario2!$B$2:$B$37</c:f>
              <c:numCache>
                <c:formatCode>General</c:formatCode>
                <c:ptCount val="36"/>
                <c:pt idx="0">
                  <c:v>2359.89</c:v>
                </c:pt>
                <c:pt idx="1">
                  <c:v>2321.59</c:v>
                </c:pt>
                <c:pt idx="2">
                  <c:v>2290.59</c:v>
                </c:pt>
                <c:pt idx="3">
                  <c:v>2260.29</c:v>
                </c:pt>
                <c:pt idx="4">
                  <c:v>2208.39</c:v>
                </c:pt>
                <c:pt idx="5">
                  <c:v>2122.89</c:v>
                </c:pt>
                <c:pt idx="6">
                  <c:v>1964.89</c:v>
                </c:pt>
                <c:pt idx="7">
                  <c:v>1831.39</c:v>
                </c:pt>
                <c:pt idx="8">
                  <c:v>1755.59</c:v>
                </c:pt>
                <c:pt idx="9">
                  <c:v>1681.59</c:v>
                </c:pt>
                <c:pt idx="10">
                  <c:v>1631.39</c:v>
                </c:pt>
                <c:pt idx="11">
                  <c:v>1564.99</c:v>
                </c:pt>
                <c:pt idx="12">
                  <c:v>1487.59</c:v>
                </c:pt>
                <c:pt idx="13">
                  <c:v>1418.59</c:v>
                </c:pt>
                <c:pt idx="14">
                  <c:v>1365.79</c:v>
                </c:pt>
                <c:pt idx="15">
                  <c:v>1179.19</c:v>
                </c:pt>
                <c:pt idx="16">
                  <c:v>1001.19</c:v>
                </c:pt>
                <c:pt idx="17">
                  <c:v>955.89</c:v>
                </c:pt>
                <c:pt idx="18">
                  <c:v>909.49</c:v>
                </c:pt>
                <c:pt idx="19">
                  <c:v>754.1</c:v>
                </c:pt>
                <c:pt idx="20">
                  <c:v>673.4</c:v>
                </c:pt>
                <c:pt idx="21">
                  <c:v>558</c:v>
                </c:pt>
                <c:pt idx="22">
                  <c:v>455.6</c:v>
                </c:pt>
                <c:pt idx="23">
                  <c:v>434.1</c:v>
                </c:pt>
                <c:pt idx="24">
                  <c:v>413.7</c:v>
                </c:pt>
                <c:pt idx="25">
                  <c:v>393</c:v>
                </c:pt>
                <c:pt idx="26">
                  <c:v>357.5</c:v>
                </c:pt>
                <c:pt idx="27">
                  <c:v>324</c:v>
                </c:pt>
                <c:pt idx="28">
                  <c:v>295.5</c:v>
                </c:pt>
                <c:pt idx="29">
                  <c:v>273.3</c:v>
                </c:pt>
                <c:pt idx="30">
                  <c:v>242</c:v>
                </c:pt>
                <c:pt idx="31">
                  <c:v>180.6</c:v>
                </c:pt>
                <c:pt idx="32">
                  <c:v>123.6</c:v>
                </c:pt>
                <c:pt idx="33">
                  <c:v>81</c:v>
                </c:pt>
                <c:pt idx="34">
                  <c:v>32.799999999999997</c:v>
                </c:pt>
                <c:pt idx="35">
                  <c:v>0</c:v>
                </c:pt>
              </c:numCache>
            </c:numRef>
          </c:xVal>
          <c:yVal>
            <c:numRef>
              <c:f>WQR!$M$2:$M$37</c:f>
              <c:numCache>
                <c:formatCode>General</c:formatCode>
                <c:ptCount val="36"/>
                <c:pt idx="0">
                  <c:v>80</c:v>
                </c:pt>
                <c:pt idx="1">
                  <c:v>80</c:v>
                </c:pt>
                <c:pt idx="2">
                  <c:v>80</c:v>
                </c:pt>
                <c:pt idx="3">
                  <c:v>80</c:v>
                </c:pt>
                <c:pt idx="4">
                  <c:v>80</c:v>
                </c:pt>
                <c:pt idx="5">
                  <c:v>80</c:v>
                </c:pt>
                <c:pt idx="6">
                  <c:v>80</c:v>
                </c:pt>
                <c:pt idx="7">
                  <c:v>80</c:v>
                </c:pt>
                <c:pt idx="8">
                  <c:v>80</c:v>
                </c:pt>
                <c:pt idx="9">
                  <c:v>80</c:v>
                </c:pt>
                <c:pt idx="10">
                  <c:v>80</c:v>
                </c:pt>
                <c:pt idx="11">
                  <c:v>80</c:v>
                </c:pt>
                <c:pt idx="12">
                  <c:v>80</c:v>
                </c:pt>
                <c:pt idx="13">
                  <c:v>80</c:v>
                </c:pt>
                <c:pt idx="14">
                  <c:v>80</c:v>
                </c:pt>
                <c:pt idx="15">
                  <c:v>80</c:v>
                </c:pt>
                <c:pt idx="16">
                  <c:v>80</c:v>
                </c:pt>
                <c:pt idx="17">
                  <c:v>80</c:v>
                </c:pt>
                <c:pt idx="18">
                  <c:v>80</c:v>
                </c:pt>
                <c:pt idx="19">
                  <c:v>80</c:v>
                </c:pt>
                <c:pt idx="20">
                  <c:v>80</c:v>
                </c:pt>
                <c:pt idx="21">
                  <c:v>80</c:v>
                </c:pt>
                <c:pt idx="22">
                  <c:v>80</c:v>
                </c:pt>
                <c:pt idx="23">
                  <c:v>80</c:v>
                </c:pt>
                <c:pt idx="24">
                  <c:v>80</c:v>
                </c:pt>
                <c:pt idx="25">
                  <c:v>80</c:v>
                </c:pt>
                <c:pt idx="26">
                  <c:v>80</c:v>
                </c:pt>
                <c:pt idx="27">
                  <c:v>80</c:v>
                </c:pt>
                <c:pt idx="28">
                  <c:v>80</c:v>
                </c:pt>
                <c:pt idx="29">
                  <c:v>80</c:v>
                </c:pt>
                <c:pt idx="30">
                  <c:v>80</c:v>
                </c:pt>
                <c:pt idx="31">
                  <c:v>80</c:v>
                </c:pt>
                <c:pt idx="32">
                  <c:v>80</c:v>
                </c:pt>
                <c:pt idx="33">
                  <c:v>80</c:v>
                </c:pt>
                <c:pt idx="34">
                  <c:v>80</c:v>
                </c:pt>
                <c:pt idx="35">
                  <c:v>80</c:v>
                </c:pt>
              </c:numCache>
            </c:numRef>
          </c:yVal>
          <c:smooth val="0"/>
          <c:extLst>
            <c:ext xmlns:c16="http://schemas.microsoft.com/office/drawing/2014/chart" uri="{C3380CC4-5D6E-409C-BE32-E72D297353CC}">
              <c16:uniqueId val="{00000004-DE7B-4274-9393-B5724738AE32}"/>
            </c:ext>
          </c:extLst>
        </c:ser>
        <c:dLbls>
          <c:showLegendKey val="0"/>
          <c:showVal val="0"/>
          <c:showCatName val="0"/>
          <c:showSerName val="0"/>
          <c:showPercent val="0"/>
          <c:showBubbleSize val="0"/>
        </c:dLbls>
        <c:axId val="804832655"/>
        <c:axId val="962749119"/>
      </c:scatterChart>
      <c:valAx>
        <c:axId val="804832655"/>
        <c:scaling>
          <c:orientation val="minMax"/>
          <c:max val="236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500" b="0" i="0" u="none" strike="noStrike" kern="1200" baseline="0">
                    <a:solidFill>
                      <a:schemeClr val="tx1">
                        <a:lumMod val="65000"/>
                        <a:lumOff val="35000"/>
                      </a:schemeClr>
                    </a:solidFill>
                    <a:latin typeface="+mj-lt"/>
                    <a:ea typeface="+mn-ea"/>
                    <a:cs typeface="+mn-cs"/>
                  </a:defRPr>
                </a:pPr>
                <a:r>
                  <a:rPr lang="en-GB"/>
                  <a:t>Distance</a:t>
                </a:r>
                <a:r>
                  <a:rPr lang="en-GB" baseline="0"/>
                  <a:t> from Downstream</a:t>
                </a:r>
                <a:r>
                  <a:rPr lang="en-GB"/>
                  <a:t> (m)</a:t>
                </a:r>
              </a:p>
            </c:rich>
          </c:tx>
          <c:layout>
            <c:manualLayout>
              <c:xMode val="edge"/>
              <c:yMode val="edge"/>
              <c:x val="0.24056309267824819"/>
              <c:y val="0.72065903775167472"/>
            </c:manualLayout>
          </c:layout>
          <c:overlay val="0"/>
          <c:spPr>
            <a:noFill/>
            <a:ln>
              <a:noFill/>
            </a:ln>
            <a:effectLst/>
          </c:spPr>
          <c:txPr>
            <a:bodyPr rot="0" spcFirstLastPara="1" vertOverflow="ellipsis" vert="horz" wrap="square" anchor="ctr" anchorCtr="1"/>
            <a:lstStyle/>
            <a:p>
              <a:pPr>
                <a:defRPr sz="500" b="0" i="0" u="none" strike="noStrike" kern="1200" baseline="0">
                  <a:solidFill>
                    <a:schemeClr val="tx1">
                      <a:lumMod val="65000"/>
                      <a:lumOff val="35000"/>
                    </a:schemeClr>
                  </a:solidFill>
                  <a:latin typeface="+mj-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500" b="0" i="0" u="none" strike="noStrike" kern="1200" baseline="0">
                <a:solidFill>
                  <a:schemeClr val="tx1">
                    <a:lumMod val="65000"/>
                    <a:lumOff val="35000"/>
                  </a:schemeClr>
                </a:solidFill>
                <a:latin typeface="+mj-lt"/>
                <a:ea typeface="+mn-ea"/>
                <a:cs typeface="+mn-cs"/>
              </a:defRPr>
            </a:pPr>
            <a:endParaRPr lang="en-US"/>
          </a:p>
        </c:txPr>
        <c:crossAx val="962749119"/>
        <c:crosses val="autoZero"/>
        <c:crossBetween val="midCat"/>
      </c:valAx>
      <c:valAx>
        <c:axId val="96274911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500" b="0" i="0" u="none" strike="noStrike" kern="1200" baseline="0">
                    <a:solidFill>
                      <a:schemeClr val="tx1">
                        <a:lumMod val="65000"/>
                        <a:lumOff val="35000"/>
                      </a:schemeClr>
                    </a:solidFill>
                    <a:latin typeface="+mj-lt"/>
                    <a:ea typeface="+mn-ea"/>
                    <a:cs typeface="+mn-cs"/>
                  </a:defRPr>
                </a:pPr>
                <a:r>
                  <a:rPr lang="en-GB"/>
                  <a:t>COD (mg/L)</a:t>
                </a:r>
              </a:p>
            </c:rich>
          </c:tx>
          <c:overlay val="0"/>
          <c:spPr>
            <a:noFill/>
            <a:ln>
              <a:noFill/>
            </a:ln>
            <a:effectLst/>
          </c:spPr>
          <c:txPr>
            <a:bodyPr rot="-5400000" spcFirstLastPara="1" vertOverflow="ellipsis" vert="horz" wrap="square" anchor="ctr" anchorCtr="1"/>
            <a:lstStyle/>
            <a:p>
              <a:pPr>
                <a:defRPr sz="500" b="0" i="0" u="none" strike="noStrike" kern="1200" baseline="0">
                  <a:solidFill>
                    <a:schemeClr val="tx1">
                      <a:lumMod val="65000"/>
                      <a:lumOff val="35000"/>
                    </a:schemeClr>
                  </a:solidFill>
                  <a:latin typeface="+mj-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500" b="0" i="0" u="none" strike="noStrike" kern="1200" baseline="0">
                <a:solidFill>
                  <a:schemeClr val="tx1">
                    <a:lumMod val="65000"/>
                    <a:lumOff val="35000"/>
                  </a:schemeClr>
                </a:solidFill>
                <a:latin typeface="+mj-lt"/>
                <a:ea typeface="+mn-ea"/>
                <a:cs typeface="+mn-cs"/>
              </a:defRPr>
            </a:pPr>
            <a:endParaRPr lang="en-US"/>
          </a:p>
        </c:txPr>
        <c:crossAx val="804832655"/>
        <c:crosses val="autoZero"/>
        <c:crossBetween val="midCat"/>
      </c:valAx>
      <c:spPr>
        <a:noFill/>
        <a:ln>
          <a:noFill/>
        </a:ln>
        <a:effectLst/>
      </c:spPr>
    </c:plotArea>
    <c:legend>
      <c:legendPos val="b"/>
      <c:layout>
        <c:manualLayout>
          <c:xMode val="edge"/>
          <c:yMode val="edge"/>
          <c:x val="3.807372801386074E-2"/>
          <c:y val="0.83196828223783148"/>
          <c:w val="0.88455919434432184"/>
          <c:h val="0.15864645262842847"/>
        </c:manualLayout>
      </c:layout>
      <c:overlay val="0"/>
      <c:spPr>
        <a:noFill/>
        <a:ln>
          <a:noFill/>
        </a:ln>
        <a:effectLst/>
      </c:spPr>
      <c:txPr>
        <a:bodyPr rot="0" spcFirstLastPara="1" vertOverflow="ellipsis" vert="horz" wrap="square" anchor="ctr" anchorCtr="1"/>
        <a:lstStyle/>
        <a:p>
          <a:pPr>
            <a:defRPr sz="500" b="0" i="0" u="none" strike="noStrike" kern="1200" baseline="0">
              <a:solidFill>
                <a:schemeClr val="tx1">
                  <a:lumMod val="65000"/>
                  <a:lumOff val="35000"/>
                </a:schemeClr>
              </a:solidFill>
              <a:latin typeface="+mj-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500">
          <a:latin typeface="+mj-lt"/>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452531596615259"/>
          <c:y val="4.6926325668700142E-2"/>
          <c:w val="0.73478706124406357"/>
          <c:h val="0.60405561693338317"/>
        </c:manualLayout>
      </c:layout>
      <c:scatterChart>
        <c:scatterStyle val="lineMarker"/>
        <c:varyColors val="0"/>
        <c:ser>
          <c:idx val="0"/>
          <c:order val="0"/>
          <c:tx>
            <c:v>Cu</c:v>
          </c:tx>
          <c:spPr>
            <a:ln w="12700" cap="rnd">
              <a:solidFill>
                <a:sysClr val="windowText" lastClr="000000"/>
              </a:solidFill>
              <a:round/>
            </a:ln>
            <a:effectLst/>
          </c:spPr>
          <c:marker>
            <c:symbol val="circle"/>
            <c:size val="2"/>
            <c:spPr>
              <a:solidFill>
                <a:schemeClr val="tx1"/>
              </a:solidFill>
              <a:ln w="12700">
                <a:solidFill>
                  <a:sysClr val="windowText" lastClr="000000"/>
                </a:solidFill>
              </a:ln>
              <a:effectLst/>
            </c:spPr>
          </c:marker>
          <c:xVal>
            <c:numRef>
              <c:f>'Cu_Scenario 2'!$B$2:$B$37</c:f>
              <c:numCache>
                <c:formatCode>General</c:formatCode>
                <c:ptCount val="36"/>
                <c:pt idx="0">
                  <c:v>2359.89</c:v>
                </c:pt>
                <c:pt idx="1">
                  <c:v>2321.59</c:v>
                </c:pt>
                <c:pt idx="2">
                  <c:v>2290.59</c:v>
                </c:pt>
                <c:pt idx="3">
                  <c:v>2260.29</c:v>
                </c:pt>
                <c:pt idx="4">
                  <c:v>2208.39</c:v>
                </c:pt>
                <c:pt idx="5">
                  <c:v>2122.89</c:v>
                </c:pt>
                <c:pt idx="6">
                  <c:v>1964.89</c:v>
                </c:pt>
                <c:pt idx="7">
                  <c:v>1831.39</c:v>
                </c:pt>
                <c:pt idx="8">
                  <c:v>1755.59</c:v>
                </c:pt>
                <c:pt idx="9">
                  <c:v>1681.59</c:v>
                </c:pt>
                <c:pt idx="10">
                  <c:v>1631.39</c:v>
                </c:pt>
                <c:pt idx="11">
                  <c:v>1564.99</c:v>
                </c:pt>
                <c:pt idx="12">
                  <c:v>1487.59</c:v>
                </c:pt>
                <c:pt idx="13">
                  <c:v>1418.59</c:v>
                </c:pt>
                <c:pt idx="14">
                  <c:v>1365.79</c:v>
                </c:pt>
                <c:pt idx="15">
                  <c:v>1179.19</c:v>
                </c:pt>
                <c:pt idx="16">
                  <c:v>1001.19</c:v>
                </c:pt>
                <c:pt idx="17">
                  <c:v>955.89</c:v>
                </c:pt>
                <c:pt idx="18">
                  <c:v>909.49</c:v>
                </c:pt>
                <c:pt idx="19">
                  <c:v>754.1</c:v>
                </c:pt>
                <c:pt idx="20">
                  <c:v>673.4</c:v>
                </c:pt>
                <c:pt idx="21">
                  <c:v>558</c:v>
                </c:pt>
                <c:pt idx="22">
                  <c:v>455.6</c:v>
                </c:pt>
                <c:pt idx="23">
                  <c:v>434.1</c:v>
                </c:pt>
                <c:pt idx="24">
                  <c:v>413.7</c:v>
                </c:pt>
                <c:pt idx="25">
                  <c:v>393</c:v>
                </c:pt>
                <c:pt idx="26">
                  <c:v>357.5</c:v>
                </c:pt>
                <c:pt idx="27">
                  <c:v>324</c:v>
                </c:pt>
                <c:pt idx="28">
                  <c:v>295.5</c:v>
                </c:pt>
                <c:pt idx="29">
                  <c:v>273.3</c:v>
                </c:pt>
                <c:pt idx="30">
                  <c:v>242</c:v>
                </c:pt>
                <c:pt idx="31">
                  <c:v>180.6</c:v>
                </c:pt>
                <c:pt idx="32">
                  <c:v>123.6</c:v>
                </c:pt>
                <c:pt idx="33">
                  <c:v>81</c:v>
                </c:pt>
                <c:pt idx="34">
                  <c:v>32.799999999999997</c:v>
                </c:pt>
                <c:pt idx="35">
                  <c:v>0</c:v>
                </c:pt>
              </c:numCache>
            </c:numRef>
          </c:xVal>
          <c:yVal>
            <c:numRef>
              <c:f>'Cu_Scenario 2'!$DD$2:$DD$37</c:f>
              <c:numCache>
                <c:formatCode>General</c:formatCode>
                <c:ptCount val="36"/>
                <c:pt idx="0">
                  <c:v>0.02</c:v>
                </c:pt>
                <c:pt idx="1">
                  <c:v>1.9647659926799201E-2</c:v>
                </c:pt>
                <c:pt idx="2">
                  <c:v>1.96787127246115E-2</c:v>
                </c:pt>
                <c:pt idx="3">
                  <c:v>2.30410637297663E-2</c:v>
                </c:pt>
                <c:pt idx="4">
                  <c:v>0.13539264557958899</c:v>
                </c:pt>
                <c:pt idx="5">
                  <c:v>0.19921644795054599</c:v>
                </c:pt>
                <c:pt idx="6">
                  <c:v>0.16599819397999699</c:v>
                </c:pt>
                <c:pt idx="7">
                  <c:v>0.15834008749519601</c:v>
                </c:pt>
                <c:pt idx="8">
                  <c:v>0.15220107340943601</c:v>
                </c:pt>
                <c:pt idx="9">
                  <c:v>0.148317864876813</c:v>
                </c:pt>
                <c:pt idx="10">
                  <c:v>0.14492613312681599</c:v>
                </c:pt>
                <c:pt idx="11">
                  <c:v>0.17362363232435599</c:v>
                </c:pt>
                <c:pt idx="12">
                  <c:v>0.198963618480236</c:v>
                </c:pt>
                <c:pt idx="13">
                  <c:v>0.189638930118603</c:v>
                </c:pt>
                <c:pt idx="14">
                  <c:v>0.151324239108167</c:v>
                </c:pt>
                <c:pt idx="15">
                  <c:v>0.195986408463309</c:v>
                </c:pt>
                <c:pt idx="16">
                  <c:v>0.19983399064632801</c:v>
                </c:pt>
                <c:pt idx="17">
                  <c:v>0.190987277495761</c:v>
                </c:pt>
                <c:pt idx="18">
                  <c:v>0.17934948230540601</c:v>
                </c:pt>
                <c:pt idx="19">
                  <c:v>0.18882952911828901</c:v>
                </c:pt>
                <c:pt idx="20">
                  <c:v>0.197466999082207</c:v>
                </c:pt>
                <c:pt idx="21">
                  <c:v>0.199760829255751</c:v>
                </c:pt>
                <c:pt idx="22">
                  <c:v>0.19922637442230601</c:v>
                </c:pt>
                <c:pt idx="23">
                  <c:v>0.19864555421635299</c:v>
                </c:pt>
                <c:pt idx="24">
                  <c:v>0.19699600557397301</c:v>
                </c:pt>
                <c:pt idx="25">
                  <c:v>0.19231337436791901</c:v>
                </c:pt>
                <c:pt idx="26">
                  <c:v>0.18971912071284999</c:v>
                </c:pt>
                <c:pt idx="27">
                  <c:v>0.18558621430257699</c:v>
                </c:pt>
                <c:pt idx="28">
                  <c:v>0.176197636111975</c:v>
                </c:pt>
                <c:pt idx="29">
                  <c:v>0.15890995999442001</c:v>
                </c:pt>
                <c:pt idx="30">
                  <c:v>0.13941206272179801</c:v>
                </c:pt>
                <c:pt idx="31">
                  <c:v>0.13602457894380099</c:v>
                </c:pt>
                <c:pt idx="32">
                  <c:v>0.13410708563911</c:v>
                </c:pt>
                <c:pt idx="33">
                  <c:v>0.13144194090689201</c:v>
                </c:pt>
                <c:pt idx="34">
                  <c:v>0.130163224239221</c:v>
                </c:pt>
                <c:pt idx="35">
                  <c:v>0.13016322407104799</c:v>
                </c:pt>
              </c:numCache>
            </c:numRef>
          </c:yVal>
          <c:smooth val="0"/>
          <c:extLst>
            <c:ext xmlns:c16="http://schemas.microsoft.com/office/drawing/2014/chart" uri="{C3380CC4-5D6E-409C-BE32-E72D297353CC}">
              <c16:uniqueId val="{00000000-C5D1-4016-A597-70A6ACCFF0D9}"/>
            </c:ext>
          </c:extLst>
        </c:ser>
        <c:ser>
          <c:idx val="1"/>
          <c:order val="1"/>
          <c:tx>
            <c:v>Class 1</c:v>
          </c:tx>
          <c:spPr>
            <a:ln w="19050" cap="rnd">
              <a:solidFill>
                <a:srgbClr val="92D050"/>
              </a:solidFill>
              <a:round/>
            </a:ln>
            <a:effectLst/>
          </c:spPr>
          <c:marker>
            <c:symbol val="none"/>
          </c:marker>
          <c:xVal>
            <c:numRef>
              <c:f>'Cu_Scenario 2'!$B$2:$B$37</c:f>
              <c:numCache>
                <c:formatCode>General</c:formatCode>
                <c:ptCount val="36"/>
                <c:pt idx="0">
                  <c:v>2359.89</c:v>
                </c:pt>
                <c:pt idx="1">
                  <c:v>2321.59</c:v>
                </c:pt>
                <c:pt idx="2">
                  <c:v>2290.59</c:v>
                </c:pt>
                <c:pt idx="3">
                  <c:v>2260.29</c:v>
                </c:pt>
                <c:pt idx="4">
                  <c:v>2208.39</c:v>
                </c:pt>
                <c:pt idx="5">
                  <c:v>2122.89</c:v>
                </c:pt>
                <c:pt idx="6">
                  <c:v>1964.89</c:v>
                </c:pt>
                <c:pt idx="7">
                  <c:v>1831.39</c:v>
                </c:pt>
                <c:pt idx="8">
                  <c:v>1755.59</c:v>
                </c:pt>
                <c:pt idx="9">
                  <c:v>1681.59</c:v>
                </c:pt>
                <c:pt idx="10">
                  <c:v>1631.39</c:v>
                </c:pt>
                <c:pt idx="11">
                  <c:v>1564.99</c:v>
                </c:pt>
                <c:pt idx="12">
                  <c:v>1487.59</c:v>
                </c:pt>
                <c:pt idx="13">
                  <c:v>1418.59</c:v>
                </c:pt>
                <c:pt idx="14">
                  <c:v>1365.79</c:v>
                </c:pt>
                <c:pt idx="15">
                  <c:v>1179.19</c:v>
                </c:pt>
                <c:pt idx="16">
                  <c:v>1001.19</c:v>
                </c:pt>
                <c:pt idx="17">
                  <c:v>955.89</c:v>
                </c:pt>
                <c:pt idx="18">
                  <c:v>909.49</c:v>
                </c:pt>
                <c:pt idx="19">
                  <c:v>754.1</c:v>
                </c:pt>
                <c:pt idx="20">
                  <c:v>673.4</c:v>
                </c:pt>
                <c:pt idx="21">
                  <c:v>558</c:v>
                </c:pt>
                <c:pt idx="22">
                  <c:v>455.6</c:v>
                </c:pt>
                <c:pt idx="23">
                  <c:v>434.1</c:v>
                </c:pt>
                <c:pt idx="24">
                  <c:v>413.7</c:v>
                </c:pt>
                <c:pt idx="25">
                  <c:v>393</c:v>
                </c:pt>
                <c:pt idx="26">
                  <c:v>357.5</c:v>
                </c:pt>
                <c:pt idx="27">
                  <c:v>324</c:v>
                </c:pt>
                <c:pt idx="28">
                  <c:v>295.5</c:v>
                </c:pt>
                <c:pt idx="29">
                  <c:v>273.3</c:v>
                </c:pt>
                <c:pt idx="30">
                  <c:v>242</c:v>
                </c:pt>
                <c:pt idx="31">
                  <c:v>180.6</c:v>
                </c:pt>
                <c:pt idx="32">
                  <c:v>123.6</c:v>
                </c:pt>
                <c:pt idx="33">
                  <c:v>81</c:v>
                </c:pt>
                <c:pt idx="34">
                  <c:v>32.799999999999997</c:v>
                </c:pt>
                <c:pt idx="35">
                  <c:v>0</c:v>
                </c:pt>
              </c:numCache>
            </c:numRef>
          </c:xVal>
          <c:yVal>
            <c:numRef>
              <c:f>WQR!$N$2:$N$37</c:f>
              <c:numCache>
                <c:formatCode>General</c:formatCode>
                <c:ptCount val="36"/>
                <c:pt idx="0">
                  <c:v>0.02</c:v>
                </c:pt>
                <c:pt idx="1">
                  <c:v>0.02</c:v>
                </c:pt>
                <c:pt idx="2">
                  <c:v>0.02</c:v>
                </c:pt>
                <c:pt idx="3">
                  <c:v>0.02</c:v>
                </c:pt>
                <c:pt idx="4">
                  <c:v>0.02</c:v>
                </c:pt>
                <c:pt idx="5">
                  <c:v>0.02</c:v>
                </c:pt>
                <c:pt idx="6">
                  <c:v>0.02</c:v>
                </c:pt>
                <c:pt idx="7">
                  <c:v>0.02</c:v>
                </c:pt>
                <c:pt idx="8">
                  <c:v>0.02</c:v>
                </c:pt>
                <c:pt idx="9">
                  <c:v>0.02</c:v>
                </c:pt>
                <c:pt idx="10">
                  <c:v>0.02</c:v>
                </c:pt>
                <c:pt idx="11">
                  <c:v>0.02</c:v>
                </c:pt>
                <c:pt idx="12">
                  <c:v>0.02</c:v>
                </c:pt>
                <c:pt idx="13">
                  <c:v>0.02</c:v>
                </c:pt>
                <c:pt idx="14">
                  <c:v>0.02</c:v>
                </c:pt>
                <c:pt idx="15">
                  <c:v>0.02</c:v>
                </c:pt>
                <c:pt idx="16">
                  <c:v>0.02</c:v>
                </c:pt>
                <c:pt idx="17">
                  <c:v>0.02</c:v>
                </c:pt>
                <c:pt idx="18">
                  <c:v>0.02</c:v>
                </c:pt>
                <c:pt idx="19">
                  <c:v>0.02</c:v>
                </c:pt>
                <c:pt idx="20">
                  <c:v>0.02</c:v>
                </c:pt>
                <c:pt idx="21">
                  <c:v>0.02</c:v>
                </c:pt>
                <c:pt idx="22">
                  <c:v>0.02</c:v>
                </c:pt>
                <c:pt idx="23">
                  <c:v>0.02</c:v>
                </c:pt>
                <c:pt idx="24">
                  <c:v>0.02</c:v>
                </c:pt>
                <c:pt idx="25">
                  <c:v>0.02</c:v>
                </c:pt>
                <c:pt idx="26">
                  <c:v>0.02</c:v>
                </c:pt>
                <c:pt idx="27">
                  <c:v>0.02</c:v>
                </c:pt>
                <c:pt idx="28">
                  <c:v>0.02</c:v>
                </c:pt>
                <c:pt idx="29">
                  <c:v>0.02</c:v>
                </c:pt>
                <c:pt idx="30">
                  <c:v>0.02</c:v>
                </c:pt>
                <c:pt idx="31">
                  <c:v>0.02</c:v>
                </c:pt>
                <c:pt idx="32">
                  <c:v>0.02</c:v>
                </c:pt>
                <c:pt idx="33">
                  <c:v>0.02</c:v>
                </c:pt>
                <c:pt idx="34">
                  <c:v>0.02</c:v>
                </c:pt>
                <c:pt idx="35">
                  <c:v>0.02</c:v>
                </c:pt>
              </c:numCache>
            </c:numRef>
          </c:yVal>
          <c:smooth val="0"/>
          <c:extLst>
            <c:ext xmlns:c16="http://schemas.microsoft.com/office/drawing/2014/chart" uri="{C3380CC4-5D6E-409C-BE32-E72D297353CC}">
              <c16:uniqueId val="{00000001-C5D1-4016-A597-70A6ACCFF0D9}"/>
            </c:ext>
          </c:extLst>
        </c:ser>
        <c:ser>
          <c:idx val="4"/>
          <c:order val="2"/>
          <c:tx>
            <c:v>Class 4</c:v>
          </c:tx>
          <c:spPr>
            <a:ln w="19050" cap="rnd">
              <a:solidFill>
                <a:srgbClr val="FF0000"/>
              </a:solidFill>
              <a:round/>
            </a:ln>
            <a:effectLst/>
          </c:spPr>
          <c:marker>
            <c:symbol val="none"/>
          </c:marker>
          <c:xVal>
            <c:numRef>
              <c:f>'Cu_Scenario 2'!$B$2:$B$37</c:f>
              <c:numCache>
                <c:formatCode>General</c:formatCode>
                <c:ptCount val="36"/>
                <c:pt idx="0">
                  <c:v>2359.89</c:v>
                </c:pt>
                <c:pt idx="1">
                  <c:v>2321.59</c:v>
                </c:pt>
                <c:pt idx="2">
                  <c:v>2290.59</c:v>
                </c:pt>
                <c:pt idx="3">
                  <c:v>2260.29</c:v>
                </c:pt>
                <c:pt idx="4">
                  <c:v>2208.39</c:v>
                </c:pt>
                <c:pt idx="5">
                  <c:v>2122.89</c:v>
                </c:pt>
                <c:pt idx="6">
                  <c:v>1964.89</c:v>
                </c:pt>
                <c:pt idx="7">
                  <c:v>1831.39</c:v>
                </c:pt>
                <c:pt idx="8">
                  <c:v>1755.59</c:v>
                </c:pt>
                <c:pt idx="9">
                  <c:v>1681.59</c:v>
                </c:pt>
                <c:pt idx="10">
                  <c:v>1631.39</c:v>
                </c:pt>
                <c:pt idx="11">
                  <c:v>1564.99</c:v>
                </c:pt>
                <c:pt idx="12">
                  <c:v>1487.59</c:v>
                </c:pt>
                <c:pt idx="13">
                  <c:v>1418.59</c:v>
                </c:pt>
                <c:pt idx="14">
                  <c:v>1365.79</c:v>
                </c:pt>
                <c:pt idx="15">
                  <c:v>1179.19</c:v>
                </c:pt>
                <c:pt idx="16">
                  <c:v>1001.19</c:v>
                </c:pt>
                <c:pt idx="17">
                  <c:v>955.89</c:v>
                </c:pt>
                <c:pt idx="18">
                  <c:v>909.49</c:v>
                </c:pt>
                <c:pt idx="19">
                  <c:v>754.1</c:v>
                </c:pt>
                <c:pt idx="20">
                  <c:v>673.4</c:v>
                </c:pt>
                <c:pt idx="21">
                  <c:v>558</c:v>
                </c:pt>
                <c:pt idx="22">
                  <c:v>455.6</c:v>
                </c:pt>
                <c:pt idx="23">
                  <c:v>434.1</c:v>
                </c:pt>
                <c:pt idx="24">
                  <c:v>413.7</c:v>
                </c:pt>
                <c:pt idx="25">
                  <c:v>393</c:v>
                </c:pt>
                <c:pt idx="26">
                  <c:v>357.5</c:v>
                </c:pt>
                <c:pt idx="27">
                  <c:v>324</c:v>
                </c:pt>
                <c:pt idx="28">
                  <c:v>295.5</c:v>
                </c:pt>
                <c:pt idx="29">
                  <c:v>273.3</c:v>
                </c:pt>
                <c:pt idx="30">
                  <c:v>242</c:v>
                </c:pt>
                <c:pt idx="31">
                  <c:v>180.6</c:v>
                </c:pt>
                <c:pt idx="32">
                  <c:v>123.6</c:v>
                </c:pt>
                <c:pt idx="33">
                  <c:v>81</c:v>
                </c:pt>
                <c:pt idx="34">
                  <c:v>32.799999999999997</c:v>
                </c:pt>
                <c:pt idx="35">
                  <c:v>0</c:v>
                </c:pt>
              </c:numCache>
            </c:numRef>
          </c:xVal>
          <c:yVal>
            <c:numRef>
              <c:f>WQR!$O$2:$O$37</c:f>
              <c:numCache>
                <c:formatCode>General</c:formatCode>
                <c:ptCount val="36"/>
                <c:pt idx="0">
                  <c:v>0.2</c:v>
                </c:pt>
                <c:pt idx="1">
                  <c:v>0.2</c:v>
                </c:pt>
                <c:pt idx="2">
                  <c:v>0.2</c:v>
                </c:pt>
                <c:pt idx="3">
                  <c:v>0.2</c:v>
                </c:pt>
                <c:pt idx="4">
                  <c:v>0.2</c:v>
                </c:pt>
                <c:pt idx="5">
                  <c:v>0.2</c:v>
                </c:pt>
                <c:pt idx="6">
                  <c:v>0.2</c:v>
                </c:pt>
                <c:pt idx="7">
                  <c:v>0.2</c:v>
                </c:pt>
                <c:pt idx="8">
                  <c:v>0.2</c:v>
                </c:pt>
                <c:pt idx="9">
                  <c:v>0.2</c:v>
                </c:pt>
                <c:pt idx="10">
                  <c:v>0.2</c:v>
                </c:pt>
                <c:pt idx="11">
                  <c:v>0.2</c:v>
                </c:pt>
                <c:pt idx="12">
                  <c:v>0.2</c:v>
                </c:pt>
                <c:pt idx="13">
                  <c:v>0.2</c:v>
                </c:pt>
                <c:pt idx="14">
                  <c:v>0.2</c:v>
                </c:pt>
                <c:pt idx="15">
                  <c:v>0.2</c:v>
                </c:pt>
                <c:pt idx="16">
                  <c:v>0.2</c:v>
                </c:pt>
                <c:pt idx="17">
                  <c:v>0.2</c:v>
                </c:pt>
                <c:pt idx="18">
                  <c:v>0.2</c:v>
                </c:pt>
                <c:pt idx="19">
                  <c:v>0.2</c:v>
                </c:pt>
                <c:pt idx="20">
                  <c:v>0.2</c:v>
                </c:pt>
                <c:pt idx="21">
                  <c:v>0.2</c:v>
                </c:pt>
                <c:pt idx="22">
                  <c:v>0.2</c:v>
                </c:pt>
                <c:pt idx="23">
                  <c:v>0.2</c:v>
                </c:pt>
                <c:pt idx="24">
                  <c:v>0.2</c:v>
                </c:pt>
                <c:pt idx="25">
                  <c:v>0.2</c:v>
                </c:pt>
                <c:pt idx="26">
                  <c:v>0.2</c:v>
                </c:pt>
                <c:pt idx="27">
                  <c:v>0.2</c:v>
                </c:pt>
                <c:pt idx="28">
                  <c:v>0.2</c:v>
                </c:pt>
                <c:pt idx="29">
                  <c:v>0.2</c:v>
                </c:pt>
                <c:pt idx="30">
                  <c:v>0.2</c:v>
                </c:pt>
                <c:pt idx="31">
                  <c:v>0.2</c:v>
                </c:pt>
                <c:pt idx="32">
                  <c:v>0.2</c:v>
                </c:pt>
                <c:pt idx="33">
                  <c:v>0.2</c:v>
                </c:pt>
                <c:pt idx="34">
                  <c:v>0.2</c:v>
                </c:pt>
                <c:pt idx="35">
                  <c:v>0.2</c:v>
                </c:pt>
              </c:numCache>
            </c:numRef>
          </c:yVal>
          <c:smooth val="0"/>
          <c:extLst>
            <c:ext xmlns:c16="http://schemas.microsoft.com/office/drawing/2014/chart" uri="{C3380CC4-5D6E-409C-BE32-E72D297353CC}">
              <c16:uniqueId val="{00000002-C5D1-4016-A597-70A6ACCFF0D9}"/>
            </c:ext>
          </c:extLst>
        </c:ser>
        <c:dLbls>
          <c:showLegendKey val="0"/>
          <c:showVal val="0"/>
          <c:showCatName val="0"/>
          <c:showSerName val="0"/>
          <c:showPercent val="0"/>
          <c:showBubbleSize val="0"/>
        </c:dLbls>
        <c:axId val="804832655"/>
        <c:axId val="962749119"/>
      </c:scatterChart>
      <c:valAx>
        <c:axId val="804832655"/>
        <c:scaling>
          <c:orientation val="minMax"/>
          <c:max val="236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500" b="0" i="0" u="none" strike="noStrike" kern="1200" baseline="0">
                    <a:solidFill>
                      <a:schemeClr val="tx1">
                        <a:lumMod val="65000"/>
                        <a:lumOff val="35000"/>
                      </a:schemeClr>
                    </a:solidFill>
                    <a:latin typeface="+mj-lt"/>
                    <a:ea typeface="+mn-ea"/>
                    <a:cs typeface="+mn-cs"/>
                  </a:defRPr>
                </a:pPr>
                <a:r>
                  <a:rPr lang="en-GB"/>
                  <a:t>Distance</a:t>
                </a:r>
                <a:r>
                  <a:rPr lang="en-GB" baseline="0"/>
                  <a:t> from Downstream</a:t>
                </a:r>
                <a:r>
                  <a:rPr lang="en-GB"/>
                  <a:t> (m)</a:t>
                </a:r>
              </a:p>
            </c:rich>
          </c:tx>
          <c:layout>
            <c:manualLayout>
              <c:xMode val="edge"/>
              <c:yMode val="edge"/>
              <c:x val="0.25244929845458908"/>
              <c:y val="0.72162121217719677"/>
            </c:manualLayout>
          </c:layout>
          <c:overlay val="0"/>
          <c:spPr>
            <a:noFill/>
            <a:ln>
              <a:noFill/>
            </a:ln>
            <a:effectLst/>
          </c:spPr>
          <c:txPr>
            <a:bodyPr rot="0" spcFirstLastPara="1" vertOverflow="ellipsis" vert="horz" wrap="square" anchor="ctr" anchorCtr="1"/>
            <a:lstStyle/>
            <a:p>
              <a:pPr>
                <a:defRPr sz="500" b="0" i="0" u="none" strike="noStrike" kern="1200" baseline="0">
                  <a:solidFill>
                    <a:schemeClr val="tx1">
                      <a:lumMod val="65000"/>
                      <a:lumOff val="35000"/>
                    </a:schemeClr>
                  </a:solidFill>
                  <a:latin typeface="+mj-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500" b="0" i="0" u="none" strike="noStrike" kern="1200" baseline="0">
                <a:solidFill>
                  <a:schemeClr val="tx1">
                    <a:lumMod val="65000"/>
                    <a:lumOff val="35000"/>
                  </a:schemeClr>
                </a:solidFill>
                <a:latin typeface="+mj-lt"/>
                <a:ea typeface="+mn-ea"/>
                <a:cs typeface="+mn-cs"/>
              </a:defRPr>
            </a:pPr>
            <a:endParaRPr lang="en-US"/>
          </a:p>
        </c:txPr>
        <c:crossAx val="962749119"/>
        <c:crosses val="autoZero"/>
        <c:crossBetween val="midCat"/>
      </c:valAx>
      <c:valAx>
        <c:axId val="96274911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500" b="0" i="0" u="none" strike="noStrike" kern="1200" baseline="0">
                    <a:solidFill>
                      <a:schemeClr val="tx1">
                        <a:lumMod val="65000"/>
                        <a:lumOff val="35000"/>
                      </a:schemeClr>
                    </a:solidFill>
                    <a:latin typeface="+mj-lt"/>
                    <a:ea typeface="+mn-ea"/>
                    <a:cs typeface="+mn-cs"/>
                  </a:defRPr>
                </a:pPr>
                <a:r>
                  <a:rPr lang="en-GB"/>
                  <a:t>Cu (mg/L)</a:t>
                </a:r>
              </a:p>
            </c:rich>
          </c:tx>
          <c:overlay val="0"/>
          <c:spPr>
            <a:noFill/>
            <a:ln>
              <a:noFill/>
            </a:ln>
            <a:effectLst/>
          </c:spPr>
          <c:txPr>
            <a:bodyPr rot="-5400000" spcFirstLastPara="1" vertOverflow="ellipsis" vert="horz" wrap="square" anchor="ctr" anchorCtr="1"/>
            <a:lstStyle/>
            <a:p>
              <a:pPr>
                <a:defRPr sz="500" b="0" i="0" u="none" strike="noStrike" kern="1200" baseline="0">
                  <a:solidFill>
                    <a:schemeClr val="tx1">
                      <a:lumMod val="65000"/>
                      <a:lumOff val="35000"/>
                    </a:schemeClr>
                  </a:solidFill>
                  <a:latin typeface="+mj-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500" b="0" i="0" u="none" strike="noStrike" kern="1200" baseline="0">
                <a:solidFill>
                  <a:schemeClr val="tx1">
                    <a:lumMod val="65000"/>
                    <a:lumOff val="35000"/>
                  </a:schemeClr>
                </a:solidFill>
                <a:latin typeface="+mj-lt"/>
                <a:ea typeface="+mn-ea"/>
                <a:cs typeface="+mn-cs"/>
              </a:defRPr>
            </a:pPr>
            <a:endParaRPr lang="en-US"/>
          </a:p>
        </c:txPr>
        <c:crossAx val="804832655"/>
        <c:crosses val="autoZero"/>
        <c:crossBetween val="midCat"/>
      </c:valAx>
      <c:spPr>
        <a:noFill/>
        <a:ln>
          <a:noFill/>
        </a:ln>
        <a:effectLst/>
      </c:spPr>
    </c:plotArea>
    <c:legend>
      <c:legendPos val="b"/>
      <c:layout>
        <c:manualLayout>
          <c:xMode val="edge"/>
          <c:yMode val="edge"/>
          <c:x val="0.12858561638537816"/>
          <c:y val="0.82354519152961347"/>
          <c:w val="0.78212149807403741"/>
          <c:h val="0.11075795253420634"/>
        </c:manualLayout>
      </c:layout>
      <c:overlay val="0"/>
      <c:spPr>
        <a:noFill/>
        <a:ln>
          <a:noFill/>
        </a:ln>
        <a:effectLst/>
      </c:spPr>
      <c:txPr>
        <a:bodyPr rot="0" spcFirstLastPara="1" vertOverflow="ellipsis" vert="horz" wrap="square" anchor="ctr" anchorCtr="1"/>
        <a:lstStyle/>
        <a:p>
          <a:pPr>
            <a:defRPr sz="500" b="0" i="0" u="none" strike="noStrike" kern="1200" baseline="0">
              <a:solidFill>
                <a:schemeClr val="tx1">
                  <a:lumMod val="65000"/>
                  <a:lumOff val="35000"/>
                </a:schemeClr>
              </a:solidFill>
              <a:latin typeface="+mj-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500">
          <a:latin typeface="+mj-lt"/>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 (2)'!$D$4</c:f>
              <c:strCache>
                <c:ptCount val="1"/>
                <c:pt idx="0">
                  <c:v>1/27/2022</c:v>
                </c:pt>
              </c:strCache>
            </c:strRef>
          </c:tx>
          <c:spPr>
            <a:solidFill>
              <a:schemeClr val="tx1"/>
            </a:solidFill>
            <a:ln>
              <a:solidFill>
                <a:schemeClr val="tx1"/>
              </a:solidFill>
            </a:ln>
            <a:effectLst/>
          </c:spPr>
          <c:invertIfNegative val="0"/>
          <c:cat>
            <c:strRef>
              <c:f>'Sheet1 (2)'!$C$5:$C$7</c:f>
              <c:strCache>
                <c:ptCount val="3"/>
                <c:pt idx="0">
                  <c:v>S01</c:v>
                </c:pt>
                <c:pt idx="1">
                  <c:v>S02</c:v>
                </c:pt>
                <c:pt idx="2">
                  <c:v>S03</c:v>
                </c:pt>
              </c:strCache>
            </c:strRef>
          </c:cat>
          <c:val>
            <c:numRef>
              <c:f>'Sheet1 (2)'!$D$23:$D$25</c:f>
              <c:numCache>
                <c:formatCode>General</c:formatCode>
                <c:ptCount val="3"/>
                <c:pt idx="0">
                  <c:v>0</c:v>
                </c:pt>
                <c:pt idx="1">
                  <c:v>0</c:v>
                </c:pt>
                <c:pt idx="2">
                  <c:v>0</c:v>
                </c:pt>
              </c:numCache>
            </c:numRef>
          </c:val>
          <c:extLst>
            <c:ext xmlns:c16="http://schemas.microsoft.com/office/drawing/2014/chart" uri="{C3380CC4-5D6E-409C-BE32-E72D297353CC}">
              <c16:uniqueId val="{00000000-E591-4371-AAB2-C5772218D1D7}"/>
            </c:ext>
          </c:extLst>
        </c:ser>
        <c:ser>
          <c:idx val="1"/>
          <c:order val="1"/>
          <c:tx>
            <c:strRef>
              <c:f>'Sheet1 (2)'!$E$4</c:f>
              <c:strCache>
                <c:ptCount val="1"/>
                <c:pt idx="0">
                  <c:v>2/23/2022</c:v>
                </c:pt>
              </c:strCache>
            </c:strRef>
          </c:tx>
          <c:spPr>
            <a:solidFill>
              <a:schemeClr val="tx1"/>
            </a:solidFill>
            <a:ln>
              <a:solidFill>
                <a:schemeClr val="tx1"/>
              </a:solidFill>
            </a:ln>
            <a:effectLst/>
          </c:spPr>
          <c:invertIfNegative val="0"/>
          <c:cat>
            <c:strRef>
              <c:f>'Sheet1 (2)'!$C$5:$C$7</c:f>
              <c:strCache>
                <c:ptCount val="3"/>
                <c:pt idx="0">
                  <c:v>S01</c:v>
                </c:pt>
                <c:pt idx="1">
                  <c:v>S02</c:v>
                </c:pt>
                <c:pt idx="2">
                  <c:v>S03</c:v>
                </c:pt>
              </c:strCache>
            </c:strRef>
          </c:cat>
          <c:val>
            <c:numRef>
              <c:f>'Sheet1 (2)'!$E$23:$E$25</c:f>
              <c:numCache>
                <c:formatCode>General</c:formatCode>
                <c:ptCount val="3"/>
                <c:pt idx="0">
                  <c:v>0.18</c:v>
                </c:pt>
                <c:pt idx="1">
                  <c:v>0.12</c:v>
                </c:pt>
                <c:pt idx="2">
                  <c:v>0</c:v>
                </c:pt>
              </c:numCache>
            </c:numRef>
          </c:val>
          <c:extLst>
            <c:ext xmlns:c16="http://schemas.microsoft.com/office/drawing/2014/chart" uri="{C3380CC4-5D6E-409C-BE32-E72D297353CC}">
              <c16:uniqueId val="{00000001-E591-4371-AAB2-C5772218D1D7}"/>
            </c:ext>
          </c:extLst>
        </c:ser>
        <c:ser>
          <c:idx val="2"/>
          <c:order val="2"/>
          <c:tx>
            <c:strRef>
              <c:f>'Sheet1 (2)'!$F$4</c:f>
              <c:strCache>
                <c:ptCount val="1"/>
                <c:pt idx="0">
                  <c:v>10/19/2022</c:v>
                </c:pt>
              </c:strCache>
            </c:strRef>
          </c:tx>
          <c:spPr>
            <a:solidFill>
              <a:schemeClr val="tx1"/>
            </a:solidFill>
            <a:ln>
              <a:solidFill>
                <a:schemeClr val="tx1"/>
              </a:solidFill>
            </a:ln>
            <a:effectLst/>
          </c:spPr>
          <c:invertIfNegative val="0"/>
          <c:cat>
            <c:strRef>
              <c:f>'Sheet1 (2)'!$C$5:$C$7</c:f>
              <c:strCache>
                <c:ptCount val="3"/>
                <c:pt idx="0">
                  <c:v>S01</c:v>
                </c:pt>
                <c:pt idx="1">
                  <c:v>S02</c:v>
                </c:pt>
                <c:pt idx="2">
                  <c:v>S03</c:v>
                </c:pt>
              </c:strCache>
            </c:strRef>
          </c:cat>
          <c:val>
            <c:numRef>
              <c:f>'Sheet1 (2)'!$F$23:$F$25</c:f>
              <c:numCache>
                <c:formatCode>General</c:formatCode>
                <c:ptCount val="3"/>
                <c:pt idx="0">
                  <c:v>0.38</c:v>
                </c:pt>
                <c:pt idx="1">
                  <c:v>0.32</c:v>
                </c:pt>
                <c:pt idx="2">
                  <c:v>0.32</c:v>
                </c:pt>
              </c:numCache>
            </c:numRef>
          </c:val>
          <c:extLst>
            <c:ext xmlns:c16="http://schemas.microsoft.com/office/drawing/2014/chart" uri="{C3380CC4-5D6E-409C-BE32-E72D297353CC}">
              <c16:uniqueId val="{00000002-E591-4371-AAB2-C5772218D1D7}"/>
            </c:ext>
          </c:extLst>
        </c:ser>
        <c:ser>
          <c:idx val="3"/>
          <c:order val="3"/>
          <c:tx>
            <c:strRef>
              <c:f>'Sheet1 (2)'!$G$4</c:f>
              <c:strCache>
                <c:ptCount val="1"/>
                <c:pt idx="0">
                  <c:v>7/27/2022</c:v>
                </c:pt>
              </c:strCache>
            </c:strRef>
          </c:tx>
          <c:spPr>
            <a:solidFill>
              <a:srgbClr val="FF0000"/>
            </a:solidFill>
            <a:ln>
              <a:solidFill>
                <a:srgbClr val="FF0000"/>
              </a:solidFill>
            </a:ln>
            <a:effectLst/>
          </c:spPr>
          <c:invertIfNegative val="0"/>
          <c:cat>
            <c:strRef>
              <c:f>'Sheet1 (2)'!$C$5:$C$7</c:f>
              <c:strCache>
                <c:ptCount val="3"/>
                <c:pt idx="0">
                  <c:v>S01</c:v>
                </c:pt>
                <c:pt idx="1">
                  <c:v>S02</c:v>
                </c:pt>
                <c:pt idx="2">
                  <c:v>S03</c:v>
                </c:pt>
              </c:strCache>
            </c:strRef>
          </c:cat>
          <c:val>
            <c:numRef>
              <c:f>'Sheet1 (2)'!$G$23:$G$25</c:f>
              <c:numCache>
                <c:formatCode>General</c:formatCode>
                <c:ptCount val="3"/>
                <c:pt idx="0">
                  <c:v>0</c:v>
                </c:pt>
                <c:pt idx="1">
                  <c:v>0</c:v>
                </c:pt>
                <c:pt idx="2">
                  <c:v>0.09</c:v>
                </c:pt>
              </c:numCache>
            </c:numRef>
          </c:val>
          <c:extLst>
            <c:ext xmlns:c16="http://schemas.microsoft.com/office/drawing/2014/chart" uri="{C3380CC4-5D6E-409C-BE32-E72D297353CC}">
              <c16:uniqueId val="{00000003-E591-4371-AAB2-C5772218D1D7}"/>
            </c:ext>
          </c:extLst>
        </c:ser>
        <c:ser>
          <c:idx val="4"/>
          <c:order val="4"/>
          <c:tx>
            <c:strRef>
              <c:f>'Sheet1 (2)'!$H$4</c:f>
              <c:strCache>
                <c:ptCount val="1"/>
                <c:pt idx="0">
                  <c:v>8/24/2022</c:v>
                </c:pt>
              </c:strCache>
            </c:strRef>
          </c:tx>
          <c:spPr>
            <a:solidFill>
              <a:srgbClr val="FF0000"/>
            </a:solidFill>
            <a:ln>
              <a:solidFill>
                <a:srgbClr val="FF0000"/>
              </a:solidFill>
            </a:ln>
            <a:effectLst/>
          </c:spPr>
          <c:invertIfNegative val="0"/>
          <c:cat>
            <c:strRef>
              <c:f>'Sheet1 (2)'!$C$5:$C$7</c:f>
              <c:strCache>
                <c:ptCount val="3"/>
                <c:pt idx="0">
                  <c:v>S01</c:v>
                </c:pt>
                <c:pt idx="1">
                  <c:v>S02</c:v>
                </c:pt>
                <c:pt idx="2">
                  <c:v>S03</c:v>
                </c:pt>
              </c:strCache>
            </c:strRef>
          </c:cat>
          <c:val>
            <c:numRef>
              <c:f>'Sheet1 (2)'!$H$23:$H$25</c:f>
              <c:numCache>
                <c:formatCode>General</c:formatCode>
                <c:ptCount val="3"/>
                <c:pt idx="0">
                  <c:v>0</c:v>
                </c:pt>
                <c:pt idx="1">
                  <c:v>0</c:v>
                </c:pt>
                <c:pt idx="2">
                  <c:v>0</c:v>
                </c:pt>
              </c:numCache>
            </c:numRef>
          </c:val>
          <c:extLst>
            <c:ext xmlns:c16="http://schemas.microsoft.com/office/drawing/2014/chart" uri="{C3380CC4-5D6E-409C-BE32-E72D297353CC}">
              <c16:uniqueId val="{00000004-E591-4371-AAB2-C5772218D1D7}"/>
            </c:ext>
          </c:extLst>
        </c:ser>
        <c:ser>
          <c:idx val="5"/>
          <c:order val="5"/>
          <c:tx>
            <c:strRef>
              <c:f>'Sheet1 (2)'!$I$4</c:f>
              <c:strCache>
                <c:ptCount val="1"/>
                <c:pt idx="0">
                  <c:v>09/07/2022</c:v>
                </c:pt>
              </c:strCache>
            </c:strRef>
          </c:tx>
          <c:spPr>
            <a:solidFill>
              <a:srgbClr val="FF0000"/>
            </a:solidFill>
            <a:ln>
              <a:solidFill>
                <a:srgbClr val="FF0000"/>
              </a:solidFill>
            </a:ln>
            <a:effectLst/>
          </c:spPr>
          <c:invertIfNegative val="0"/>
          <c:cat>
            <c:strRef>
              <c:f>'Sheet1 (2)'!$C$5:$C$7</c:f>
              <c:strCache>
                <c:ptCount val="3"/>
                <c:pt idx="0">
                  <c:v>S01</c:v>
                </c:pt>
                <c:pt idx="1">
                  <c:v>S02</c:v>
                </c:pt>
                <c:pt idx="2">
                  <c:v>S03</c:v>
                </c:pt>
              </c:strCache>
            </c:strRef>
          </c:cat>
          <c:val>
            <c:numRef>
              <c:f>'Sheet1 (2)'!$I$23:$I$25</c:f>
              <c:numCache>
                <c:formatCode>General</c:formatCode>
                <c:ptCount val="3"/>
                <c:pt idx="0">
                  <c:v>0.19</c:v>
                </c:pt>
                <c:pt idx="1">
                  <c:v>0.1</c:v>
                </c:pt>
                <c:pt idx="2">
                  <c:v>0.09</c:v>
                </c:pt>
              </c:numCache>
            </c:numRef>
          </c:val>
          <c:extLst>
            <c:ext xmlns:c16="http://schemas.microsoft.com/office/drawing/2014/chart" uri="{C3380CC4-5D6E-409C-BE32-E72D297353CC}">
              <c16:uniqueId val="{00000005-E591-4371-AAB2-C5772218D1D7}"/>
            </c:ext>
          </c:extLst>
        </c:ser>
        <c:dLbls>
          <c:showLegendKey val="0"/>
          <c:showVal val="0"/>
          <c:showCatName val="0"/>
          <c:showSerName val="0"/>
          <c:showPercent val="0"/>
          <c:showBubbleSize val="0"/>
        </c:dLbls>
        <c:gapWidth val="150"/>
        <c:axId val="661897152"/>
        <c:axId val="497647920"/>
      </c:barChart>
      <c:scatterChart>
        <c:scatterStyle val="lineMarker"/>
        <c:varyColors val="0"/>
        <c:ser>
          <c:idx val="6"/>
          <c:order val="6"/>
          <c:tx>
            <c:strRef>
              <c:f>'Sheet1 (2)'!$U$4</c:f>
              <c:strCache>
                <c:ptCount val="1"/>
                <c:pt idx="0">
                  <c:v>Class 1</c:v>
                </c:pt>
              </c:strCache>
            </c:strRef>
          </c:tx>
          <c:spPr>
            <a:ln w="12700" cap="rnd">
              <a:solidFill>
                <a:srgbClr val="92D050"/>
              </a:solidFill>
              <a:round/>
            </a:ln>
            <a:effectLst/>
          </c:spPr>
          <c:marker>
            <c:symbol val="none"/>
          </c:marker>
          <c:xVal>
            <c:numRef>
              <c:f>'Sheet1 (2)'!$T$22:$T$26</c:f>
              <c:numCache>
                <c:formatCode>General</c:formatCode>
                <c:ptCount val="5"/>
                <c:pt idx="0">
                  <c:v>0</c:v>
                </c:pt>
                <c:pt idx="1">
                  <c:v>1</c:v>
                </c:pt>
                <c:pt idx="2">
                  <c:v>2</c:v>
                </c:pt>
                <c:pt idx="3">
                  <c:v>3</c:v>
                </c:pt>
                <c:pt idx="4">
                  <c:v>4</c:v>
                </c:pt>
              </c:numCache>
            </c:numRef>
          </c:xVal>
          <c:yVal>
            <c:numRef>
              <c:f>'Sheet1 (2)'!$U$22:$U$26</c:f>
              <c:numCache>
                <c:formatCode>General</c:formatCode>
                <c:ptCount val="5"/>
                <c:pt idx="0">
                  <c:v>0.05</c:v>
                </c:pt>
                <c:pt idx="1">
                  <c:v>0.05</c:v>
                </c:pt>
                <c:pt idx="2">
                  <c:v>0.05</c:v>
                </c:pt>
                <c:pt idx="3">
                  <c:v>0.05</c:v>
                </c:pt>
                <c:pt idx="4">
                  <c:v>0.05</c:v>
                </c:pt>
              </c:numCache>
            </c:numRef>
          </c:yVal>
          <c:smooth val="0"/>
          <c:extLst>
            <c:ext xmlns:c16="http://schemas.microsoft.com/office/drawing/2014/chart" uri="{C3380CC4-5D6E-409C-BE32-E72D297353CC}">
              <c16:uniqueId val="{00000006-E591-4371-AAB2-C5772218D1D7}"/>
            </c:ext>
          </c:extLst>
        </c:ser>
        <c:ser>
          <c:idx val="9"/>
          <c:order val="7"/>
          <c:tx>
            <c:strRef>
              <c:f>'Sheet1 (2)'!$X$4</c:f>
              <c:strCache>
                <c:ptCount val="1"/>
                <c:pt idx="0">
                  <c:v>Class 4</c:v>
                </c:pt>
              </c:strCache>
            </c:strRef>
          </c:tx>
          <c:spPr>
            <a:ln w="12700" cap="rnd">
              <a:solidFill>
                <a:srgbClr val="FFC000"/>
              </a:solidFill>
              <a:round/>
            </a:ln>
            <a:effectLst/>
          </c:spPr>
          <c:marker>
            <c:symbol val="none"/>
          </c:marker>
          <c:xVal>
            <c:numRef>
              <c:f>'Sheet1 (2)'!$T$22:$T$26</c:f>
              <c:numCache>
                <c:formatCode>General</c:formatCode>
                <c:ptCount val="5"/>
                <c:pt idx="0">
                  <c:v>0</c:v>
                </c:pt>
                <c:pt idx="1">
                  <c:v>1</c:v>
                </c:pt>
                <c:pt idx="2">
                  <c:v>2</c:v>
                </c:pt>
                <c:pt idx="3">
                  <c:v>3</c:v>
                </c:pt>
                <c:pt idx="4">
                  <c:v>4</c:v>
                </c:pt>
              </c:numCache>
            </c:numRef>
          </c:xVal>
          <c:yVal>
            <c:numRef>
              <c:f>'Sheet1 (2)'!$X$22:$X$26</c:f>
              <c:numCache>
                <c:formatCode>General</c:formatCode>
                <c:ptCount val="5"/>
                <c:pt idx="0">
                  <c:v>2</c:v>
                </c:pt>
                <c:pt idx="1">
                  <c:v>2</c:v>
                </c:pt>
                <c:pt idx="2">
                  <c:v>2</c:v>
                </c:pt>
                <c:pt idx="3">
                  <c:v>2</c:v>
                </c:pt>
                <c:pt idx="4">
                  <c:v>2</c:v>
                </c:pt>
              </c:numCache>
            </c:numRef>
          </c:yVal>
          <c:smooth val="0"/>
          <c:extLst>
            <c:ext xmlns:c16="http://schemas.microsoft.com/office/drawing/2014/chart" uri="{C3380CC4-5D6E-409C-BE32-E72D297353CC}">
              <c16:uniqueId val="{00000007-E591-4371-AAB2-C5772218D1D7}"/>
            </c:ext>
          </c:extLst>
        </c:ser>
        <c:dLbls>
          <c:showLegendKey val="0"/>
          <c:showVal val="0"/>
          <c:showCatName val="0"/>
          <c:showSerName val="0"/>
          <c:showPercent val="0"/>
          <c:showBubbleSize val="0"/>
        </c:dLbls>
        <c:axId val="661897152"/>
        <c:axId val="497647920"/>
      </c:scatterChart>
      <c:catAx>
        <c:axId val="66189715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5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GB"/>
                  <a:t>Location</a:t>
                </a:r>
              </a:p>
            </c:rich>
          </c:tx>
          <c:overlay val="0"/>
          <c:spPr>
            <a:noFill/>
            <a:ln>
              <a:noFill/>
            </a:ln>
            <a:effectLst/>
          </c:spPr>
          <c:txPr>
            <a:bodyPr rot="0" spcFirstLastPara="1" vertOverflow="ellipsis" vert="horz" wrap="square" anchor="ctr" anchorCtr="1"/>
            <a:lstStyle/>
            <a:p>
              <a:pPr>
                <a:defRPr sz="5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5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497647920"/>
        <c:crosses val="autoZero"/>
        <c:auto val="1"/>
        <c:lblAlgn val="ctr"/>
        <c:lblOffset val="100"/>
        <c:noMultiLvlLbl val="0"/>
      </c:catAx>
      <c:valAx>
        <c:axId val="4976479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5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GB"/>
                  <a:t>Zn (mg/L)</a:t>
                </a:r>
              </a:p>
            </c:rich>
          </c:tx>
          <c:overlay val="0"/>
          <c:spPr>
            <a:noFill/>
            <a:ln>
              <a:noFill/>
            </a:ln>
            <a:effectLst/>
          </c:spPr>
          <c:txPr>
            <a:bodyPr rot="-5400000" spcFirstLastPara="1" vertOverflow="ellipsis" vert="horz" wrap="square" anchor="ctr" anchorCtr="1"/>
            <a:lstStyle/>
            <a:p>
              <a:pPr>
                <a:defRPr sz="5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5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661897152"/>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5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500">
          <a:latin typeface="Arial" panose="020B0604020202020204" pitchFamily="34" charset="0"/>
          <a:cs typeface="Arial" panose="020B0604020202020204" pitchFamily="34"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 (2)'!$D$4</c:f>
              <c:strCache>
                <c:ptCount val="1"/>
                <c:pt idx="0">
                  <c:v>1/27/2022</c:v>
                </c:pt>
              </c:strCache>
            </c:strRef>
          </c:tx>
          <c:spPr>
            <a:solidFill>
              <a:schemeClr val="tx1"/>
            </a:solidFill>
            <a:ln>
              <a:solidFill>
                <a:schemeClr val="tx1"/>
              </a:solidFill>
            </a:ln>
            <a:effectLst/>
          </c:spPr>
          <c:invertIfNegative val="0"/>
          <c:cat>
            <c:strRef>
              <c:f>'Sheet1 (2)'!$C$5:$C$7</c:f>
              <c:strCache>
                <c:ptCount val="3"/>
                <c:pt idx="0">
                  <c:v>S01</c:v>
                </c:pt>
                <c:pt idx="1">
                  <c:v>S02</c:v>
                </c:pt>
                <c:pt idx="2">
                  <c:v>S03</c:v>
                </c:pt>
              </c:strCache>
            </c:strRef>
          </c:cat>
          <c:val>
            <c:numRef>
              <c:f>'Sheet1 (2)'!$D$29:$D$31</c:f>
              <c:numCache>
                <c:formatCode>General</c:formatCode>
                <c:ptCount val="3"/>
                <c:pt idx="0">
                  <c:v>0</c:v>
                </c:pt>
                <c:pt idx="1">
                  <c:v>0</c:v>
                </c:pt>
                <c:pt idx="2">
                  <c:v>0</c:v>
                </c:pt>
              </c:numCache>
            </c:numRef>
          </c:val>
          <c:extLst>
            <c:ext xmlns:c16="http://schemas.microsoft.com/office/drawing/2014/chart" uri="{C3380CC4-5D6E-409C-BE32-E72D297353CC}">
              <c16:uniqueId val="{00000000-58CF-4F2F-8ED8-A500A97D2C25}"/>
            </c:ext>
          </c:extLst>
        </c:ser>
        <c:ser>
          <c:idx val="1"/>
          <c:order val="1"/>
          <c:tx>
            <c:strRef>
              <c:f>'Sheet1 (2)'!$E$4</c:f>
              <c:strCache>
                <c:ptCount val="1"/>
                <c:pt idx="0">
                  <c:v>2/23/2022</c:v>
                </c:pt>
              </c:strCache>
            </c:strRef>
          </c:tx>
          <c:spPr>
            <a:solidFill>
              <a:schemeClr val="tx1"/>
            </a:solidFill>
            <a:ln>
              <a:solidFill>
                <a:schemeClr val="tx1"/>
              </a:solidFill>
            </a:ln>
            <a:effectLst/>
          </c:spPr>
          <c:invertIfNegative val="0"/>
          <c:cat>
            <c:strRef>
              <c:f>'Sheet1 (2)'!$C$5:$C$7</c:f>
              <c:strCache>
                <c:ptCount val="3"/>
                <c:pt idx="0">
                  <c:v>S01</c:v>
                </c:pt>
                <c:pt idx="1">
                  <c:v>S02</c:v>
                </c:pt>
                <c:pt idx="2">
                  <c:v>S03</c:v>
                </c:pt>
              </c:strCache>
            </c:strRef>
          </c:cat>
          <c:val>
            <c:numRef>
              <c:f>'Sheet1 (2)'!$E$29:$E$31</c:f>
              <c:numCache>
                <c:formatCode>General</c:formatCode>
                <c:ptCount val="3"/>
                <c:pt idx="0">
                  <c:v>0</c:v>
                </c:pt>
                <c:pt idx="1">
                  <c:v>0</c:v>
                </c:pt>
                <c:pt idx="2">
                  <c:v>0</c:v>
                </c:pt>
              </c:numCache>
            </c:numRef>
          </c:val>
          <c:extLst>
            <c:ext xmlns:c16="http://schemas.microsoft.com/office/drawing/2014/chart" uri="{C3380CC4-5D6E-409C-BE32-E72D297353CC}">
              <c16:uniqueId val="{00000001-58CF-4F2F-8ED8-A500A97D2C25}"/>
            </c:ext>
          </c:extLst>
        </c:ser>
        <c:ser>
          <c:idx val="2"/>
          <c:order val="2"/>
          <c:tx>
            <c:strRef>
              <c:f>'Sheet1 (2)'!$F$4</c:f>
              <c:strCache>
                <c:ptCount val="1"/>
                <c:pt idx="0">
                  <c:v>10/19/2022</c:v>
                </c:pt>
              </c:strCache>
            </c:strRef>
          </c:tx>
          <c:spPr>
            <a:solidFill>
              <a:schemeClr val="tx1"/>
            </a:solidFill>
            <a:ln>
              <a:solidFill>
                <a:schemeClr val="tx1"/>
              </a:solidFill>
            </a:ln>
            <a:effectLst/>
          </c:spPr>
          <c:invertIfNegative val="0"/>
          <c:cat>
            <c:strRef>
              <c:f>'Sheet1 (2)'!$C$5:$C$7</c:f>
              <c:strCache>
                <c:ptCount val="3"/>
                <c:pt idx="0">
                  <c:v>S01</c:v>
                </c:pt>
                <c:pt idx="1">
                  <c:v>S02</c:v>
                </c:pt>
                <c:pt idx="2">
                  <c:v>S03</c:v>
                </c:pt>
              </c:strCache>
            </c:strRef>
          </c:cat>
          <c:val>
            <c:numRef>
              <c:f>'Sheet1 (2)'!$F$29:$F$31</c:f>
              <c:numCache>
                <c:formatCode>General</c:formatCode>
                <c:ptCount val="3"/>
                <c:pt idx="0">
                  <c:v>0.4</c:v>
                </c:pt>
                <c:pt idx="1">
                  <c:v>0</c:v>
                </c:pt>
                <c:pt idx="2">
                  <c:v>0</c:v>
                </c:pt>
              </c:numCache>
            </c:numRef>
          </c:val>
          <c:extLst>
            <c:ext xmlns:c16="http://schemas.microsoft.com/office/drawing/2014/chart" uri="{C3380CC4-5D6E-409C-BE32-E72D297353CC}">
              <c16:uniqueId val="{00000002-58CF-4F2F-8ED8-A500A97D2C25}"/>
            </c:ext>
          </c:extLst>
        </c:ser>
        <c:ser>
          <c:idx val="3"/>
          <c:order val="3"/>
          <c:tx>
            <c:strRef>
              <c:f>'Sheet1 (2)'!$G$4</c:f>
              <c:strCache>
                <c:ptCount val="1"/>
                <c:pt idx="0">
                  <c:v>7/27/2022</c:v>
                </c:pt>
              </c:strCache>
            </c:strRef>
          </c:tx>
          <c:spPr>
            <a:solidFill>
              <a:srgbClr val="FF0000"/>
            </a:solidFill>
            <a:ln>
              <a:solidFill>
                <a:srgbClr val="FF0000"/>
              </a:solidFill>
            </a:ln>
            <a:effectLst/>
          </c:spPr>
          <c:invertIfNegative val="0"/>
          <c:cat>
            <c:strRef>
              <c:f>'Sheet1 (2)'!$C$5:$C$7</c:f>
              <c:strCache>
                <c:ptCount val="3"/>
                <c:pt idx="0">
                  <c:v>S01</c:v>
                </c:pt>
                <c:pt idx="1">
                  <c:v>S02</c:v>
                </c:pt>
                <c:pt idx="2">
                  <c:v>S03</c:v>
                </c:pt>
              </c:strCache>
            </c:strRef>
          </c:cat>
          <c:val>
            <c:numRef>
              <c:f>'Sheet1 (2)'!$G$29:$G$31</c:f>
              <c:numCache>
                <c:formatCode>General</c:formatCode>
                <c:ptCount val="3"/>
                <c:pt idx="0">
                  <c:v>0</c:v>
                </c:pt>
                <c:pt idx="1">
                  <c:v>0</c:v>
                </c:pt>
                <c:pt idx="2">
                  <c:v>0</c:v>
                </c:pt>
              </c:numCache>
            </c:numRef>
          </c:val>
          <c:extLst>
            <c:ext xmlns:c16="http://schemas.microsoft.com/office/drawing/2014/chart" uri="{C3380CC4-5D6E-409C-BE32-E72D297353CC}">
              <c16:uniqueId val="{00000003-58CF-4F2F-8ED8-A500A97D2C25}"/>
            </c:ext>
          </c:extLst>
        </c:ser>
        <c:ser>
          <c:idx val="4"/>
          <c:order val="4"/>
          <c:tx>
            <c:strRef>
              <c:f>'Sheet1 (2)'!$H$4</c:f>
              <c:strCache>
                <c:ptCount val="1"/>
                <c:pt idx="0">
                  <c:v>8/24/2022</c:v>
                </c:pt>
              </c:strCache>
            </c:strRef>
          </c:tx>
          <c:spPr>
            <a:solidFill>
              <a:srgbClr val="FF0000"/>
            </a:solidFill>
            <a:ln>
              <a:solidFill>
                <a:srgbClr val="FF0000"/>
              </a:solidFill>
            </a:ln>
            <a:effectLst/>
          </c:spPr>
          <c:invertIfNegative val="0"/>
          <c:cat>
            <c:strRef>
              <c:f>'Sheet1 (2)'!$C$5:$C$7</c:f>
              <c:strCache>
                <c:ptCount val="3"/>
                <c:pt idx="0">
                  <c:v>S01</c:v>
                </c:pt>
                <c:pt idx="1">
                  <c:v>S02</c:v>
                </c:pt>
                <c:pt idx="2">
                  <c:v>S03</c:v>
                </c:pt>
              </c:strCache>
            </c:strRef>
          </c:cat>
          <c:val>
            <c:numRef>
              <c:f>'Sheet1 (2)'!$H$29:$H$31</c:f>
              <c:numCache>
                <c:formatCode>General</c:formatCode>
                <c:ptCount val="3"/>
                <c:pt idx="0">
                  <c:v>0.5</c:v>
                </c:pt>
                <c:pt idx="1">
                  <c:v>0.2</c:v>
                </c:pt>
                <c:pt idx="2">
                  <c:v>0</c:v>
                </c:pt>
              </c:numCache>
            </c:numRef>
          </c:val>
          <c:extLst>
            <c:ext xmlns:c16="http://schemas.microsoft.com/office/drawing/2014/chart" uri="{C3380CC4-5D6E-409C-BE32-E72D297353CC}">
              <c16:uniqueId val="{00000004-58CF-4F2F-8ED8-A500A97D2C25}"/>
            </c:ext>
          </c:extLst>
        </c:ser>
        <c:ser>
          <c:idx val="5"/>
          <c:order val="5"/>
          <c:tx>
            <c:strRef>
              <c:f>'Sheet1 (2)'!$I$4</c:f>
              <c:strCache>
                <c:ptCount val="1"/>
                <c:pt idx="0">
                  <c:v>09/07/2022</c:v>
                </c:pt>
              </c:strCache>
            </c:strRef>
          </c:tx>
          <c:spPr>
            <a:solidFill>
              <a:srgbClr val="FF0000"/>
            </a:solidFill>
            <a:ln>
              <a:solidFill>
                <a:srgbClr val="FF0000"/>
              </a:solidFill>
            </a:ln>
            <a:effectLst/>
          </c:spPr>
          <c:invertIfNegative val="0"/>
          <c:cat>
            <c:strRef>
              <c:f>'Sheet1 (2)'!$C$5:$C$7</c:f>
              <c:strCache>
                <c:ptCount val="3"/>
                <c:pt idx="0">
                  <c:v>S01</c:v>
                </c:pt>
                <c:pt idx="1">
                  <c:v>S02</c:v>
                </c:pt>
                <c:pt idx="2">
                  <c:v>S03</c:v>
                </c:pt>
              </c:strCache>
            </c:strRef>
          </c:cat>
          <c:val>
            <c:numRef>
              <c:f>'Sheet1 (2)'!$I$23:$I$25</c:f>
              <c:numCache>
                <c:formatCode>General</c:formatCode>
                <c:ptCount val="3"/>
                <c:pt idx="0">
                  <c:v>0.19</c:v>
                </c:pt>
                <c:pt idx="1">
                  <c:v>0.1</c:v>
                </c:pt>
                <c:pt idx="2">
                  <c:v>0.09</c:v>
                </c:pt>
              </c:numCache>
            </c:numRef>
          </c:val>
          <c:extLst>
            <c:ext xmlns:c16="http://schemas.microsoft.com/office/drawing/2014/chart" uri="{C3380CC4-5D6E-409C-BE32-E72D297353CC}">
              <c16:uniqueId val="{00000005-58CF-4F2F-8ED8-A500A97D2C25}"/>
            </c:ext>
          </c:extLst>
        </c:ser>
        <c:dLbls>
          <c:showLegendKey val="0"/>
          <c:showVal val="0"/>
          <c:showCatName val="0"/>
          <c:showSerName val="0"/>
          <c:showPercent val="0"/>
          <c:showBubbleSize val="0"/>
        </c:dLbls>
        <c:gapWidth val="150"/>
        <c:axId val="661897152"/>
        <c:axId val="497647920"/>
      </c:barChart>
      <c:scatterChart>
        <c:scatterStyle val="lineMarker"/>
        <c:varyColors val="0"/>
        <c:ser>
          <c:idx val="6"/>
          <c:order val="6"/>
          <c:tx>
            <c:strRef>
              <c:f>'Sheet1 (2)'!$U$4</c:f>
              <c:strCache>
                <c:ptCount val="1"/>
                <c:pt idx="0">
                  <c:v>Class 1</c:v>
                </c:pt>
              </c:strCache>
            </c:strRef>
          </c:tx>
          <c:spPr>
            <a:ln w="12700" cap="rnd">
              <a:solidFill>
                <a:srgbClr val="92D050"/>
              </a:solidFill>
              <a:round/>
            </a:ln>
            <a:effectLst/>
          </c:spPr>
          <c:marker>
            <c:symbol val="none"/>
          </c:marker>
          <c:xVal>
            <c:numRef>
              <c:f>'Sheet1 (2)'!$T$28:$T$32</c:f>
              <c:numCache>
                <c:formatCode>General</c:formatCode>
                <c:ptCount val="5"/>
                <c:pt idx="0">
                  <c:v>0</c:v>
                </c:pt>
                <c:pt idx="1">
                  <c:v>1</c:v>
                </c:pt>
                <c:pt idx="2">
                  <c:v>2</c:v>
                </c:pt>
                <c:pt idx="3">
                  <c:v>3</c:v>
                </c:pt>
                <c:pt idx="4">
                  <c:v>4</c:v>
                </c:pt>
              </c:numCache>
            </c:numRef>
          </c:xVal>
          <c:yVal>
            <c:numRef>
              <c:f>'Sheet1 (2)'!$U$28:$U$32</c:f>
              <c:numCache>
                <c:formatCode>General</c:formatCode>
                <c:ptCount val="5"/>
                <c:pt idx="0">
                  <c:v>0.05</c:v>
                </c:pt>
                <c:pt idx="1">
                  <c:v>0.05</c:v>
                </c:pt>
                <c:pt idx="2">
                  <c:v>0.05</c:v>
                </c:pt>
                <c:pt idx="3">
                  <c:v>0.05</c:v>
                </c:pt>
                <c:pt idx="4">
                  <c:v>0.05</c:v>
                </c:pt>
              </c:numCache>
            </c:numRef>
          </c:yVal>
          <c:smooth val="0"/>
          <c:extLst>
            <c:ext xmlns:c16="http://schemas.microsoft.com/office/drawing/2014/chart" uri="{C3380CC4-5D6E-409C-BE32-E72D297353CC}">
              <c16:uniqueId val="{00000006-58CF-4F2F-8ED8-A500A97D2C25}"/>
            </c:ext>
          </c:extLst>
        </c:ser>
        <c:ser>
          <c:idx val="9"/>
          <c:order val="7"/>
          <c:tx>
            <c:strRef>
              <c:f>'Sheet1 (2)'!$X$4</c:f>
              <c:strCache>
                <c:ptCount val="1"/>
                <c:pt idx="0">
                  <c:v>Class 4</c:v>
                </c:pt>
              </c:strCache>
            </c:strRef>
          </c:tx>
          <c:spPr>
            <a:ln w="12700" cap="rnd">
              <a:solidFill>
                <a:srgbClr val="FFC000"/>
              </a:solidFill>
              <a:round/>
            </a:ln>
            <a:effectLst/>
          </c:spPr>
          <c:marker>
            <c:symbol val="none"/>
          </c:marker>
          <c:xVal>
            <c:numRef>
              <c:f>'Sheet1 (2)'!$T$28:$T$32</c:f>
              <c:numCache>
                <c:formatCode>General</c:formatCode>
                <c:ptCount val="5"/>
                <c:pt idx="0">
                  <c:v>0</c:v>
                </c:pt>
                <c:pt idx="1">
                  <c:v>1</c:v>
                </c:pt>
                <c:pt idx="2">
                  <c:v>2</c:v>
                </c:pt>
                <c:pt idx="3">
                  <c:v>3</c:v>
                </c:pt>
                <c:pt idx="4">
                  <c:v>4</c:v>
                </c:pt>
              </c:numCache>
            </c:numRef>
          </c:xVal>
          <c:yVal>
            <c:numRef>
              <c:f>'Sheet1 (2)'!$X$28:$X$32</c:f>
              <c:numCache>
                <c:formatCode>General</c:formatCode>
                <c:ptCount val="5"/>
                <c:pt idx="0">
                  <c:v>1</c:v>
                </c:pt>
                <c:pt idx="1">
                  <c:v>1</c:v>
                </c:pt>
                <c:pt idx="2">
                  <c:v>1</c:v>
                </c:pt>
                <c:pt idx="3">
                  <c:v>1</c:v>
                </c:pt>
                <c:pt idx="4">
                  <c:v>1</c:v>
                </c:pt>
              </c:numCache>
            </c:numRef>
          </c:yVal>
          <c:smooth val="0"/>
          <c:extLst>
            <c:ext xmlns:c16="http://schemas.microsoft.com/office/drawing/2014/chart" uri="{C3380CC4-5D6E-409C-BE32-E72D297353CC}">
              <c16:uniqueId val="{00000007-58CF-4F2F-8ED8-A500A97D2C25}"/>
            </c:ext>
          </c:extLst>
        </c:ser>
        <c:dLbls>
          <c:showLegendKey val="0"/>
          <c:showVal val="0"/>
          <c:showCatName val="0"/>
          <c:showSerName val="0"/>
          <c:showPercent val="0"/>
          <c:showBubbleSize val="0"/>
        </c:dLbls>
        <c:axId val="661897152"/>
        <c:axId val="497647920"/>
      </c:scatterChart>
      <c:catAx>
        <c:axId val="66189715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5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GB"/>
                  <a:t>Location</a:t>
                </a:r>
              </a:p>
            </c:rich>
          </c:tx>
          <c:overlay val="0"/>
          <c:spPr>
            <a:noFill/>
            <a:ln>
              <a:noFill/>
            </a:ln>
            <a:effectLst/>
          </c:spPr>
          <c:txPr>
            <a:bodyPr rot="0" spcFirstLastPara="1" vertOverflow="ellipsis" vert="horz" wrap="square" anchor="ctr" anchorCtr="1"/>
            <a:lstStyle/>
            <a:p>
              <a:pPr>
                <a:defRPr sz="5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5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497647920"/>
        <c:crosses val="autoZero"/>
        <c:auto val="1"/>
        <c:lblAlgn val="ctr"/>
        <c:lblOffset val="100"/>
        <c:noMultiLvlLbl val="0"/>
      </c:catAx>
      <c:valAx>
        <c:axId val="4976479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5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GB"/>
                  <a:t>Fe (mg/L)</a:t>
                </a:r>
              </a:p>
            </c:rich>
          </c:tx>
          <c:overlay val="0"/>
          <c:spPr>
            <a:noFill/>
            <a:ln>
              <a:noFill/>
            </a:ln>
            <a:effectLst/>
          </c:spPr>
          <c:txPr>
            <a:bodyPr rot="-5400000" spcFirstLastPara="1" vertOverflow="ellipsis" vert="horz" wrap="square" anchor="ctr" anchorCtr="1"/>
            <a:lstStyle/>
            <a:p>
              <a:pPr>
                <a:defRPr sz="5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5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661897152"/>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5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500">
          <a:latin typeface="Arial" panose="020B0604020202020204" pitchFamily="34" charset="0"/>
          <a:cs typeface="Arial" panose="020B0604020202020204" pitchFamily="34"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 (2)'!$D$4</c:f>
              <c:strCache>
                <c:ptCount val="1"/>
                <c:pt idx="0">
                  <c:v>1/27/2022</c:v>
                </c:pt>
              </c:strCache>
            </c:strRef>
          </c:tx>
          <c:spPr>
            <a:solidFill>
              <a:schemeClr val="tx1"/>
            </a:solidFill>
            <a:ln>
              <a:solidFill>
                <a:sysClr val="windowText" lastClr="000000"/>
              </a:solidFill>
            </a:ln>
            <a:effectLst/>
          </c:spPr>
          <c:invertIfNegative val="0"/>
          <c:cat>
            <c:strRef>
              <c:f>'Sheet1 (2)'!$C$5:$C$7</c:f>
              <c:strCache>
                <c:ptCount val="3"/>
                <c:pt idx="0">
                  <c:v>S01</c:v>
                </c:pt>
                <c:pt idx="1">
                  <c:v>S02</c:v>
                </c:pt>
                <c:pt idx="2">
                  <c:v>S03</c:v>
                </c:pt>
              </c:strCache>
            </c:strRef>
          </c:cat>
          <c:val>
            <c:numRef>
              <c:f>'Sheet1 (2)'!$D$35:$D$37</c:f>
              <c:numCache>
                <c:formatCode>General</c:formatCode>
                <c:ptCount val="3"/>
                <c:pt idx="0">
                  <c:v>0</c:v>
                </c:pt>
                <c:pt idx="1">
                  <c:v>0</c:v>
                </c:pt>
                <c:pt idx="2">
                  <c:v>0</c:v>
                </c:pt>
              </c:numCache>
            </c:numRef>
          </c:val>
          <c:extLst>
            <c:ext xmlns:c16="http://schemas.microsoft.com/office/drawing/2014/chart" uri="{C3380CC4-5D6E-409C-BE32-E72D297353CC}">
              <c16:uniqueId val="{00000000-8569-47F7-BE01-AEF4BC2EF219}"/>
            </c:ext>
          </c:extLst>
        </c:ser>
        <c:ser>
          <c:idx val="1"/>
          <c:order val="1"/>
          <c:tx>
            <c:strRef>
              <c:f>'Sheet1 (2)'!$E$4</c:f>
              <c:strCache>
                <c:ptCount val="1"/>
                <c:pt idx="0">
                  <c:v>2/23/2022</c:v>
                </c:pt>
              </c:strCache>
            </c:strRef>
          </c:tx>
          <c:spPr>
            <a:solidFill>
              <a:schemeClr val="tx1"/>
            </a:solidFill>
            <a:ln>
              <a:solidFill>
                <a:schemeClr val="tx1"/>
              </a:solidFill>
            </a:ln>
            <a:effectLst/>
          </c:spPr>
          <c:invertIfNegative val="0"/>
          <c:cat>
            <c:strRef>
              <c:f>'Sheet1 (2)'!$C$5:$C$7</c:f>
              <c:strCache>
                <c:ptCount val="3"/>
                <c:pt idx="0">
                  <c:v>S01</c:v>
                </c:pt>
                <c:pt idx="1">
                  <c:v>S02</c:v>
                </c:pt>
                <c:pt idx="2">
                  <c:v>S03</c:v>
                </c:pt>
              </c:strCache>
            </c:strRef>
          </c:cat>
          <c:val>
            <c:numRef>
              <c:f>'Sheet1 (2)'!$E$35:$E$37</c:f>
              <c:numCache>
                <c:formatCode>General</c:formatCode>
                <c:ptCount val="3"/>
                <c:pt idx="0">
                  <c:v>0</c:v>
                </c:pt>
                <c:pt idx="1">
                  <c:v>0</c:v>
                </c:pt>
                <c:pt idx="2">
                  <c:v>0</c:v>
                </c:pt>
              </c:numCache>
            </c:numRef>
          </c:val>
          <c:extLst>
            <c:ext xmlns:c16="http://schemas.microsoft.com/office/drawing/2014/chart" uri="{C3380CC4-5D6E-409C-BE32-E72D297353CC}">
              <c16:uniqueId val="{00000001-8569-47F7-BE01-AEF4BC2EF219}"/>
            </c:ext>
          </c:extLst>
        </c:ser>
        <c:ser>
          <c:idx val="2"/>
          <c:order val="2"/>
          <c:tx>
            <c:strRef>
              <c:f>'Sheet1 (2)'!$F$4</c:f>
              <c:strCache>
                <c:ptCount val="1"/>
                <c:pt idx="0">
                  <c:v>10/19/2022</c:v>
                </c:pt>
              </c:strCache>
            </c:strRef>
          </c:tx>
          <c:spPr>
            <a:solidFill>
              <a:schemeClr val="tx1"/>
            </a:solidFill>
            <a:ln>
              <a:solidFill>
                <a:sysClr val="windowText" lastClr="000000"/>
              </a:solidFill>
            </a:ln>
            <a:effectLst/>
          </c:spPr>
          <c:invertIfNegative val="0"/>
          <c:cat>
            <c:strRef>
              <c:f>'Sheet1 (2)'!$C$5:$C$7</c:f>
              <c:strCache>
                <c:ptCount val="3"/>
                <c:pt idx="0">
                  <c:v>S01</c:v>
                </c:pt>
                <c:pt idx="1">
                  <c:v>S02</c:v>
                </c:pt>
                <c:pt idx="2">
                  <c:v>S03</c:v>
                </c:pt>
              </c:strCache>
            </c:strRef>
          </c:cat>
          <c:val>
            <c:numRef>
              <c:f>'Sheet1 (2)'!$F$35:$F$37</c:f>
              <c:numCache>
                <c:formatCode>General</c:formatCode>
                <c:ptCount val="3"/>
                <c:pt idx="0">
                  <c:v>0.09</c:v>
                </c:pt>
                <c:pt idx="1">
                  <c:v>0</c:v>
                </c:pt>
                <c:pt idx="2">
                  <c:v>0</c:v>
                </c:pt>
              </c:numCache>
            </c:numRef>
          </c:val>
          <c:extLst>
            <c:ext xmlns:c16="http://schemas.microsoft.com/office/drawing/2014/chart" uri="{C3380CC4-5D6E-409C-BE32-E72D297353CC}">
              <c16:uniqueId val="{00000002-8569-47F7-BE01-AEF4BC2EF219}"/>
            </c:ext>
          </c:extLst>
        </c:ser>
        <c:ser>
          <c:idx val="3"/>
          <c:order val="3"/>
          <c:tx>
            <c:strRef>
              <c:f>'Sheet1 (2)'!$G$4</c:f>
              <c:strCache>
                <c:ptCount val="1"/>
                <c:pt idx="0">
                  <c:v>7/27/2022</c:v>
                </c:pt>
              </c:strCache>
            </c:strRef>
          </c:tx>
          <c:spPr>
            <a:solidFill>
              <a:srgbClr val="FF0000"/>
            </a:solidFill>
            <a:ln>
              <a:solidFill>
                <a:srgbClr val="FF0000"/>
              </a:solidFill>
            </a:ln>
            <a:effectLst/>
          </c:spPr>
          <c:invertIfNegative val="0"/>
          <c:cat>
            <c:strRef>
              <c:f>'Sheet1 (2)'!$C$5:$C$7</c:f>
              <c:strCache>
                <c:ptCount val="3"/>
                <c:pt idx="0">
                  <c:v>S01</c:v>
                </c:pt>
                <c:pt idx="1">
                  <c:v>S02</c:v>
                </c:pt>
                <c:pt idx="2">
                  <c:v>S03</c:v>
                </c:pt>
              </c:strCache>
            </c:strRef>
          </c:cat>
          <c:val>
            <c:numRef>
              <c:f>'Sheet1 (2)'!$G$35:$G$37</c:f>
              <c:numCache>
                <c:formatCode>General</c:formatCode>
                <c:ptCount val="3"/>
                <c:pt idx="0">
                  <c:v>0</c:v>
                </c:pt>
                <c:pt idx="1">
                  <c:v>0</c:v>
                </c:pt>
                <c:pt idx="2">
                  <c:v>0</c:v>
                </c:pt>
              </c:numCache>
            </c:numRef>
          </c:val>
          <c:extLst>
            <c:ext xmlns:c16="http://schemas.microsoft.com/office/drawing/2014/chart" uri="{C3380CC4-5D6E-409C-BE32-E72D297353CC}">
              <c16:uniqueId val="{00000003-8569-47F7-BE01-AEF4BC2EF219}"/>
            </c:ext>
          </c:extLst>
        </c:ser>
        <c:ser>
          <c:idx val="4"/>
          <c:order val="4"/>
          <c:tx>
            <c:strRef>
              <c:f>'Sheet1 (2)'!$H$4</c:f>
              <c:strCache>
                <c:ptCount val="1"/>
                <c:pt idx="0">
                  <c:v>8/24/2022</c:v>
                </c:pt>
              </c:strCache>
            </c:strRef>
          </c:tx>
          <c:spPr>
            <a:solidFill>
              <a:srgbClr val="FF0000"/>
            </a:solidFill>
            <a:ln>
              <a:solidFill>
                <a:srgbClr val="FF0000"/>
              </a:solidFill>
            </a:ln>
            <a:effectLst/>
          </c:spPr>
          <c:invertIfNegative val="0"/>
          <c:cat>
            <c:strRef>
              <c:f>'Sheet1 (2)'!$C$5:$C$7</c:f>
              <c:strCache>
                <c:ptCount val="3"/>
                <c:pt idx="0">
                  <c:v>S01</c:v>
                </c:pt>
                <c:pt idx="1">
                  <c:v>S02</c:v>
                </c:pt>
                <c:pt idx="2">
                  <c:v>S03</c:v>
                </c:pt>
              </c:strCache>
            </c:strRef>
          </c:cat>
          <c:val>
            <c:numRef>
              <c:f>'Sheet1 (2)'!$H$35:$H$37</c:f>
              <c:numCache>
                <c:formatCode>General</c:formatCode>
                <c:ptCount val="3"/>
                <c:pt idx="0">
                  <c:v>0</c:v>
                </c:pt>
                <c:pt idx="1">
                  <c:v>0</c:v>
                </c:pt>
                <c:pt idx="2">
                  <c:v>0</c:v>
                </c:pt>
              </c:numCache>
            </c:numRef>
          </c:val>
          <c:extLst>
            <c:ext xmlns:c16="http://schemas.microsoft.com/office/drawing/2014/chart" uri="{C3380CC4-5D6E-409C-BE32-E72D297353CC}">
              <c16:uniqueId val="{00000004-8569-47F7-BE01-AEF4BC2EF219}"/>
            </c:ext>
          </c:extLst>
        </c:ser>
        <c:ser>
          <c:idx val="5"/>
          <c:order val="5"/>
          <c:tx>
            <c:strRef>
              <c:f>'Sheet1 (2)'!$I$4</c:f>
              <c:strCache>
                <c:ptCount val="1"/>
                <c:pt idx="0">
                  <c:v>09/07/2022</c:v>
                </c:pt>
              </c:strCache>
            </c:strRef>
          </c:tx>
          <c:spPr>
            <a:solidFill>
              <a:srgbClr val="FF0000"/>
            </a:solidFill>
            <a:ln>
              <a:solidFill>
                <a:srgbClr val="FF0000"/>
              </a:solidFill>
            </a:ln>
            <a:effectLst/>
          </c:spPr>
          <c:invertIfNegative val="0"/>
          <c:cat>
            <c:strRef>
              <c:f>'Sheet1 (2)'!$C$5:$C$7</c:f>
              <c:strCache>
                <c:ptCount val="3"/>
                <c:pt idx="0">
                  <c:v>S01</c:v>
                </c:pt>
                <c:pt idx="1">
                  <c:v>S02</c:v>
                </c:pt>
                <c:pt idx="2">
                  <c:v>S03</c:v>
                </c:pt>
              </c:strCache>
            </c:strRef>
          </c:cat>
          <c:val>
            <c:numRef>
              <c:f>'Sheet1 (2)'!$I$35:$I$37</c:f>
              <c:numCache>
                <c:formatCode>General</c:formatCode>
                <c:ptCount val="3"/>
                <c:pt idx="0">
                  <c:v>0.11</c:v>
                </c:pt>
                <c:pt idx="1">
                  <c:v>0</c:v>
                </c:pt>
                <c:pt idx="2">
                  <c:v>0</c:v>
                </c:pt>
              </c:numCache>
            </c:numRef>
          </c:val>
          <c:extLst>
            <c:ext xmlns:c16="http://schemas.microsoft.com/office/drawing/2014/chart" uri="{C3380CC4-5D6E-409C-BE32-E72D297353CC}">
              <c16:uniqueId val="{00000005-8569-47F7-BE01-AEF4BC2EF219}"/>
            </c:ext>
          </c:extLst>
        </c:ser>
        <c:dLbls>
          <c:showLegendKey val="0"/>
          <c:showVal val="0"/>
          <c:showCatName val="0"/>
          <c:showSerName val="0"/>
          <c:showPercent val="0"/>
          <c:showBubbleSize val="0"/>
        </c:dLbls>
        <c:gapWidth val="150"/>
        <c:axId val="661897152"/>
        <c:axId val="497647920"/>
      </c:barChart>
      <c:scatterChart>
        <c:scatterStyle val="lineMarker"/>
        <c:varyColors val="0"/>
        <c:ser>
          <c:idx val="6"/>
          <c:order val="6"/>
          <c:tx>
            <c:strRef>
              <c:f>'Sheet1 (2)'!$U$4</c:f>
              <c:strCache>
                <c:ptCount val="1"/>
                <c:pt idx="0">
                  <c:v>Class 1</c:v>
                </c:pt>
              </c:strCache>
            </c:strRef>
          </c:tx>
          <c:spPr>
            <a:ln w="9525" cap="rnd">
              <a:solidFill>
                <a:srgbClr val="92D050"/>
              </a:solidFill>
              <a:round/>
            </a:ln>
            <a:effectLst/>
          </c:spPr>
          <c:marker>
            <c:symbol val="none"/>
          </c:marker>
          <c:xVal>
            <c:numRef>
              <c:f>'Sheet1 (2)'!$T$34:$T$38</c:f>
              <c:numCache>
                <c:formatCode>General</c:formatCode>
                <c:ptCount val="5"/>
                <c:pt idx="0">
                  <c:v>0</c:v>
                </c:pt>
                <c:pt idx="1">
                  <c:v>1</c:v>
                </c:pt>
                <c:pt idx="2">
                  <c:v>2</c:v>
                </c:pt>
                <c:pt idx="3">
                  <c:v>3</c:v>
                </c:pt>
                <c:pt idx="4">
                  <c:v>4</c:v>
                </c:pt>
              </c:numCache>
            </c:numRef>
          </c:xVal>
          <c:yVal>
            <c:numRef>
              <c:f>'Sheet1 (2)'!$U$34:$U$38</c:f>
              <c:numCache>
                <c:formatCode>General</c:formatCode>
                <c:ptCount val="5"/>
                <c:pt idx="0">
                  <c:v>0.3</c:v>
                </c:pt>
                <c:pt idx="1">
                  <c:v>0.3</c:v>
                </c:pt>
                <c:pt idx="2">
                  <c:v>0.3</c:v>
                </c:pt>
                <c:pt idx="3">
                  <c:v>0.3</c:v>
                </c:pt>
                <c:pt idx="4">
                  <c:v>0.3</c:v>
                </c:pt>
              </c:numCache>
            </c:numRef>
          </c:yVal>
          <c:smooth val="0"/>
          <c:extLst>
            <c:ext xmlns:c16="http://schemas.microsoft.com/office/drawing/2014/chart" uri="{C3380CC4-5D6E-409C-BE32-E72D297353CC}">
              <c16:uniqueId val="{00000006-8569-47F7-BE01-AEF4BC2EF219}"/>
            </c:ext>
          </c:extLst>
        </c:ser>
        <c:dLbls>
          <c:showLegendKey val="0"/>
          <c:showVal val="0"/>
          <c:showCatName val="0"/>
          <c:showSerName val="0"/>
          <c:showPercent val="0"/>
          <c:showBubbleSize val="0"/>
        </c:dLbls>
        <c:axId val="661897152"/>
        <c:axId val="497647920"/>
      </c:scatterChart>
      <c:catAx>
        <c:axId val="66189715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5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GB"/>
                  <a:t>Location</a:t>
                </a:r>
              </a:p>
            </c:rich>
          </c:tx>
          <c:overlay val="0"/>
          <c:spPr>
            <a:noFill/>
            <a:ln>
              <a:noFill/>
            </a:ln>
            <a:effectLst/>
          </c:spPr>
          <c:txPr>
            <a:bodyPr rot="0" spcFirstLastPara="1" vertOverflow="ellipsis" vert="horz" wrap="square" anchor="ctr" anchorCtr="1"/>
            <a:lstStyle/>
            <a:p>
              <a:pPr>
                <a:defRPr sz="5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5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497647920"/>
        <c:crosses val="autoZero"/>
        <c:auto val="1"/>
        <c:lblAlgn val="ctr"/>
        <c:lblOffset val="100"/>
        <c:noMultiLvlLbl val="0"/>
      </c:catAx>
      <c:valAx>
        <c:axId val="4976479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5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GB"/>
                  <a:t>Cr (mg/L)</a:t>
                </a:r>
              </a:p>
            </c:rich>
          </c:tx>
          <c:overlay val="0"/>
          <c:spPr>
            <a:noFill/>
            <a:ln>
              <a:noFill/>
            </a:ln>
            <a:effectLst/>
          </c:spPr>
          <c:txPr>
            <a:bodyPr rot="-5400000" spcFirstLastPara="1" vertOverflow="ellipsis" vert="horz" wrap="square" anchor="ctr" anchorCtr="1"/>
            <a:lstStyle/>
            <a:p>
              <a:pPr>
                <a:defRPr sz="5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5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661897152"/>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5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500">
          <a:latin typeface="Arial" panose="020B0604020202020204" pitchFamily="34" charset="0"/>
          <a:cs typeface="Arial" panose="020B0604020202020204" pitchFamily="34"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Sheet3!$C$3</c:f>
              <c:strCache>
                <c:ptCount val="1"/>
                <c:pt idx="0">
                  <c:v>ux (m/s)</c:v>
                </c:pt>
              </c:strCache>
            </c:strRef>
          </c:tx>
          <c:spPr>
            <a:ln w="9525" cap="rnd">
              <a:solidFill>
                <a:schemeClr val="tx1"/>
              </a:solidFill>
              <a:round/>
            </a:ln>
            <a:effectLst/>
          </c:spPr>
          <c:marker>
            <c:symbol val="diamond"/>
            <c:size val="3"/>
            <c:spPr>
              <a:solidFill>
                <a:schemeClr val="tx1">
                  <a:alpha val="20000"/>
                </a:schemeClr>
              </a:solidFill>
              <a:ln w="9525">
                <a:solidFill>
                  <a:schemeClr val="tx1"/>
                </a:solidFill>
              </a:ln>
              <a:effectLst/>
            </c:spPr>
          </c:marker>
          <c:xVal>
            <c:numRef>
              <c:f>Sheet3!$B$4:$B$39</c:f>
              <c:numCache>
                <c:formatCode>General</c:formatCode>
                <c:ptCount val="36"/>
                <c:pt idx="0">
                  <c:v>2359.89</c:v>
                </c:pt>
                <c:pt idx="1">
                  <c:v>2321.59</c:v>
                </c:pt>
                <c:pt idx="2">
                  <c:v>2290.59</c:v>
                </c:pt>
                <c:pt idx="3">
                  <c:v>2260.29</c:v>
                </c:pt>
                <c:pt idx="4">
                  <c:v>2208.39</c:v>
                </c:pt>
                <c:pt idx="5">
                  <c:v>2122.89</c:v>
                </c:pt>
                <c:pt idx="6">
                  <c:v>1964.89</c:v>
                </c:pt>
                <c:pt idx="7">
                  <c:v>1831.39</c:v>
                </c:pt>
                <c:pt idx="8">
                  <c:v>1755.59</c:v>
                </c:pt>
                <c:pt idx="9">
                  <c:v>1681.59</c:v>
                </c:pt>
                <c:pt idx="10">
                  <c:v>1631.39</c:v>
                </c:pt>
                <c:pt idx="11">
                  <c:v>1564.99</c:v>
                </c:pt>
                <c:pt idx="12">
                  <c:v>1487.59</c:v>
                </c:pt>
                <c:pt idx="13">
                  <c:v>1418.59</c:v>
                </c:pt>
                <c:pt idx="14">
                  <c:v>1365.79</c:v>
                </c:pt>
                <c:pt idx="15">
                  <c:v>1179.19</c:v>
                </c:pt>
                <c:pt idx="16">
                  <c:v>1001.19</c:v>
                </c:pt>
                <c:pt idx="17">
                  <c:v>955.89</c:v>
                </c:pt>
                <c:pt idx="18">
                  <c:v>909.49</c:v>
                </c:pt>
                <c:pt idx="19">
                  <c:v>754.1</c:v>
                </c:pt>
                <c:pt idx="20">
                  <c:v>673.4</c:v>
                </c:pt>
                <c:pt idx="21">
                  <c:v>558</c:v>
                </c:pt>
                <c:pt idx="22">
                  <c:v>455.6</c:v>
                </c:pt>
                <c:pt idx="23">
                  <c:v>434.1</c:v>
                </c:pt>
                <c:pt idx="24">
                  <c:v>413.7</c:v>
                </c:pt>
                <c:pt idx="25">
                  <c:v>393</c:v>
                </c:pt>
                <c:pt idx="26">
                  <c:v>357.5</c:v>
                </c:pt>
                <c:pt idx="27">
                  <c:v>324</c:v>
                </c:pt>
                <c:pt idx="28">
                  <c:v>295.5</c:v>
                </c:pt>
                <c:pt idx="29">
                  <c:v>273.3</c:v>
                </c:pt>
                <c:pt idx="30">
                  <c:v>242</c:v>
                </c:pt>
                <c:pt idx="31">
                  <c:v>180.6</c:v>
                </c:pt>
                <c:pt idx="32">
                  <c:v>123.6</c:v>
                </c:pt>
                <c:pt idx="33">
                  <c:v>81</c:v>
                </c:pt>
                <c:pt idx="34">
                  <c:v>32.799999999999997</c:v>
                </c:pt>
                <c:pt idx="35">
                  <c:v>0</c:v>
                </c:pt>
              </c:numCache>
            </c:numRef>
          </c:xVal>
          <c:yVal>
            <c:numRef>
              <c:f>Sheet3!$C$4:$C$39</c:f>
              <c:numCache>
                <c:formatCode>General</c:formatCode>
                <c:ptCount val="36"/>
                <c:pt idx="0">
                  <c:v>0.98</c:v>
                </c:pt>
                <c:pt idx="1">
                  <c:v>0.71</c:v>
                </c:pt>
                <c:pt idx="2">
                  <c:v>1.06</c:v>
                </c:pt>
                <c:pt idx="3">
                  <c:v>1.54</c:v>
                </c:pt>
                <c:pt idx="4">
                  <c:v>0.5</c:v>
                </c:pt>
                <c:pt idx="5">
                  <c:v>0.97</c:v>
                </c:pt>
                <c:pt idx="6">
                  <c:v>0.31</c:v>
                </c:pt>
                <c:pt idx="7">
                  <c:v>0.77</c:v>
                </c:pt>
                <c:pt idx="8">
                  <c:v>0.95</c:v>
                </c:pt>
                <c:pt idx="9">
                  <c:v>0.93</c:v>
                </c:pt>
                <c:pt idx="10">
                  <c:v>1</c:v>
                </c:pt>
                <c:pt idx="11">
                  <c:v>0.76</c:v>
                </c:pt>
                <c:pt idx="12">
                  <c:v>0.47</c:v>
                </c:pt>
                <c:pt idx="13">
                  <c:v>1</c:v>
                </c:pt>
                <c:pt idx="14">
                  <c:v>0.32</c:v>
                </c:pt>
                <c:pt idx="15">
                  <c:v>0.51</c:v>
                </c:pt>
                <c:pt idx="16">
                  <c:v>0.73</c:v>
                </c:pt>
                <c:pt idx="17">
                  <c:v>0.62</c:v>
                </c:pt>
                <c:pt idx="18">
                  <c:v>1.2</c:v>
                </c:pt>
                <c:pt idx="19">
                  <c:v>1.41</c:v>
                </c:pt>
                <c:pt idx="20">
                  <c:v>1.74</c:v>
                </c:pt>
                <c:pt idx="21">
                  <c:v>0.47</c:v>
                </c:pt>
                <c:pt idx="22">
                  <c:v>0.23</c:v>
                </c:pt>
                <c:pt idx="23">
                  <c:v>0.56999999999999995</c:v>
                </c:pt>
                <c:pt idx="24">
                  <c:v>0.46</c:v>
                </c:pt>
                <c:pt idx="25">
                  <c:v>0.77</c:v>
                </c:pt>
                <c:pt idx="26">
                  <c:v>1.33</c:v>
                </c:pt>
                <c:pt idx="27">
                  <c:v>0.91</c:v>
                </c:pt>
                <c:pt idx="28">
                  <c:v>0.47</c:v>
                </c:pt>
                <c:pt idx="29">
                  <c:v>0.21</c:v>
                </c:pt>
                <c:pt idx="30">
                  <c:v>0.16</c:v>
                </c:pt>
                <c:pt idx="31">
                  <c:v>1.1299999999999999</c:v>
                </c:pt>
                <c:pt idx="32">
                  <c:v>1.64</c:v>
                </c:pt>
                <c:pt idx="33">
                  <c:v>1.46</c:v>
                </c:pt>
                <c:pt idx="34">
                  <c:v>1.36</c:v>
                </c:pt>
                <c:pt idx="35">
                  <c:v>1.79</c:v>
                </c:pt>
              </c:numCache>
            </c:numRef>
          </c:yVal>
          <c:smooth val="0"/>
          <c:extLst>
            <c:ext xmlns:c16="http://schemas.microsoft.com/office/drawing/2014/chart" uri="{C3380CC4-5D6E-409C-BE32-E72D297353CC}">
              <c16:uniqueId val="{00000000-019A-496C-82A6-F89418640247}"/>
            </c:ext>
          </c:extLst>
        </c:ser>
        <c:ser>
          <c:idx val="1"/>
          <c:order val="1"/>
          <c:tx>
            <c:strRef>
              <c:f>Sheet3!$D$3</c:f>
              <c:strCache>
                <c:ptCount val="1"/>
                <c:pt idx="0">
                  <c:v>Fr</c:v>
                </c:pt>
              </c:strCache>
            </c:strRef>
          </c:tx>
          <c:spPr>
            <a:ln w="9525" cap="rnd">
              <a:solidFill>
                <a:schemeClr val="accent2">
                  <a:lumMod val="60000"/>
                  <a:lumOff val="40000"/>
                </a:schemeClr>
              </a:solidFill>
              <a:round/>
            </a:ln>
            <a:effectLst/>
          </c:spPr>
          <c:marker>
            <c:symbol val="star"/>
            <c:size val="3"/>
            <c:spPr>
              <a:solidFill>
                <a:schemeClr val="accent4">
                  <a:alpha val="20000"/>
                </a:schemeClr>
              </a:solidFill>
              <a:ln w="9525">
                <a:solidFill>
                  <a:schemeClr val="accent2">
                    <a:lumMod val="60000"/>
                    <a:lumOff val="40000"/>
                  </a:schemeClr>
                </a:solidFill>
              </a:ln>
              <a:effectLst/>
            </c:spPr>
          </c:marker>
          <c:xVal>
            <c:numRef>
              <c:f>Sheet3!$B$4:$B$39</c:f>
              <c:numCache>
                <c:formatCode>General</c:formatCode>
                <c:ptCount val="36"/>
                <c:pt idx="0">
                  <c:v>2359.89</c:v>
                </c:pt>
                <c:pt idx="1">
                  <c:v>2321.59</c:v>
                </c:pt>
                <c:pt idx="2">
                  <c:v>2290.59</c:v>
                </c:pt>
                <c:pt idx="3">
                  <c:v>2260.29</c:v>
                </c:pt>
                <c:pt idx="4">
                  <c:v>2208.39</c:v>
                </c:pt>
                <c:pt idx="5">
                  <c:v>2122.89</c:v>
                </c:pt>
                <c:pt idx="6">
                  <c:v>1964.89</c:v>
                </c:pt>
                <c:pt idx="7">
                  <c:v>1831.39</c:v>
                </c:pt>
                <c:pt idx="8">
                  <c:v>1755.59</c:v>
                </c:pt>
                <c:pt idx="9">
                  <c:v>1681.59</c:v>
                </c:pt>
                <c:pt idx="10">
                  <c:v>1631.39</c:v>
                </c:pt>
                <c:pt idx="11">
                  <c:v>1564.99</c:v>
                </c:pt>
                <c:pt idx="12">
                  <c:v>1487.59</c:v>
                </c:pt>
                <c:pt idx="13">
                  <c:v>1418.59</c:v>
                </c:pt>
                <c:pt idx="14">
                  <c:v>1365.79</c:v>
                </c:pt>
                <c:pt idx="15">
                  <c:v>1179.19</c:v>
                </c:pt>
                <c:pt idx="16">
                  <c:v>1001.19</c:v>
                </c:pt>
                <c:pt idx="17">
                  <c:v>955.89</c:v>
                </c:pt>
                <c:pt idx="18">
                  <c:v>909.49</c:v>
                </c:pt>
                <c:pt idx="19">
                  <c:v>754.1</c:v>
                </c:pt>
                <c:pt idx="20">
                  <c:v>673.4</c:v>
                </c:pt>
                <c:pt idx="21">
                  <c:v>558</c:v>
                </c:pt>
                <c:pt idx="22">
                  <c:v>455.6</c:v>
                </c:pt>
                <c:pt idx="23">
                  <c:v>434.1</c:v>
                </c:pt>
                <c:pt idx="24">
                  <c:v>413.7</c:v>
                </c:pt>
                <c:pt idx="25">
                  <c:v>393</c:v>
                </c:pt>
                <c:pt idx="26">
                  <c:v>357.5</c:v>
                </c:pt>
                <c:pt idx="27">
                  <c:v>324</c:v>
                </c:pt>
                <c:pt idx="28">
                  <c:v>295.5</c:v>
                </c:pt>
                <c:pt idx="29">
                  <c:v>273.3</c:v>
                </c:pt>
                <c:pt idx="30">
                  <c:v>242</c:v>
                </c:pt>
                <c:pt idx="31">
                  <c:v>180.6</c:v>
                </c:pt>
                <c:pt idx="32">
                  <c:v>123.6</c:v>
                </c:pt>
                <c:pt idx="33">
                  <c:v>81</c:v>
                </c:pt>
                <c:pt idx="34">
                  <c:v>32.799999999999997</c:v>
                </c:pt>
                <c:pt idx="35">
                  <c:v>0</c:v>
                </c:pt>
              </c:numCache>
            </c:numRef>
          </c:xVal>
          <c:yVal>
            <c:numRef>
              <c:f>Sheet3!$D$4:$D$39</c:f>
              <c:numCache>
                <c:formatCode>General</c:formatCode>
                <c:ptCount val="36"/>
                <c:pt idx="0">
                  <c:v>1.02</c:v>
                </c:pt>
                <c:pt idx="1">
                  <c:v>0.66</c:v>
                </c:pt>
                <c:pt idx="2">
                  <c:v>1.02</c:v>
                </c:pt>
                <c:pt idx="3">
                  <c:v>1.77</c:v>
                </c:pt>
                <c:pt idx="4">
                  <c:v>0.34</c:v>
                </c:pt>
                <c:pt idx="5">
                  <c:v>1.01</c:v>
                </c:pt>
                <c:pt idx="6">
                  <c:v>0.19</c:v>
                </c:pt>
                <c:pt idx="7">
                  <c:v>0.73</c:v>
                </c:pt>
                <c:pt idx="8">
                  <c:v>1</c:v>
                </c:pt>
                <c:pt idx="9">
                  <c:v>0.78</c:v>
                </c:pt>
                <c:pt idx="10">
                  <c:v>0.84</c:v>
                </c:pt>
                <c:pt idx="11">
                  <c:v>0.62</c:v>
                </c:pt>
                <c:pt idx="12">
                  <c:v>0.33</c:v>
                </c:pt>
                <c:pt idx="13">
                  <c:v>1.01</c:v>
                </c:pt>
                <c:pt idx="14">
                  <c:v>0.16</c:v>
                </c:pt>
                <c:pt idx="15">
                  <c:v>0.28999999999999998</c:v>
                </c:pt>
                <c:pt idx="16">
                  <c:v>0.56000000000000005</c:v>
                </c:pt>
                <c:pt idx="17">
                  <c:v>0.42</c:v>
                </c:pt>
                <c:pt idx="18">
                  <c:v>1.01</c:v>
                </c:pt>
                <c:pt idx="19">
                  <c:v>1.32</c:v>
                </c:pt>
                <c:pt idx="20">
                  <c:v>1.67</c:v>
                </c:pt>
                <c:pt idx="21">
                  <c:v>0.21</c:v>
                </c:pt>
                <c:pt idx="22">
                  <c:v>7.0000000000000007E-2</c:v>
                </c:pt>
                <c:pt idx="23">
                  <c:v>0.28000000000000003</c:v>
                </c:pt>
                <c:pt idx="24">
                  <c:v>0.22</c:v>
                </c:pt>
                <c:pt idx="25">
                  <c:v>0.43</c:v>
                </c:pt>
                <c:pt idx="26">
                  <c:v>1.01</c:v>
                </c:pt>
                <c:pt idx="27">
                  <c:v>0.64</c:v>
                </c:pt>
                <c:pt idx="28">
                  <c:v>0.24</c:v>
                </c:pt>
                <c:pt idx="29">
                  <c:v>0.08</c:v>
                </c:pt>
                <c:pt idx="30">
                  <c:v>0.06</c:v>
                </c:pt>
                <c:pt idx="31">
                  <c:v>1.01</c:v>
                </c:pt>
                <c:pt idx="32">
                  <c:v>1.67</c:v>
                </c:pt>
                <c:pt idx="33">
                  <c:v>1.41</c:v>
                </c:pt>
                <c:pt idx="34">
                  <c:v>1.1100000000000001</c:v>
                </c:pt>
                <c:pt idx="35">
                  <c:v>1.74</c:v>
                </c:pt>
              </c:numCache>
            </c:numRef>
          </c:yVal>
          <c:smooth val="0"/>
          <c:extLst>
            <c:ext xmlns:c16="http://schemas.microsoft.com/office/drawing/2014/chart" uri="{C3380CC4-5D6E-409C-BE32-E72D297353CC}">
              <c16:uniqueId val="{00000001-019A-496C-82A6-F89418640247}"/>
            </c:ext>
          </c:extLst>
        </c:ser>
        <c:ser>
          <c:idx val="2"/>
          <c:order val="2"/>
          <c:tx>
            <c:strRef>
              <c:f>Sheet3!$E$3</c:f>
              <c:strCache>
                <c:ptCount val="1"/>
                <c:pt idx="0">
                  <c:v>W (m)</c:v>
                </c:pt>
              </c:strCache>
            </c:strRef>
          </c:tx>
          <c:spPr>
            <a:ln w="9525" cap="rnd">
              <a:solidFill>
                <a:srgbClr val="92D050"/>
              </a:solidFill>
              <a:round/>
            </a:ln>
            <a:effectLst/>
          </c:spPr>
          <c:marker>
            <c:symbol val="square"/>
            <c:size val="3"/>
            <c:spPr>
              <a:solidFill>
                <a:srgbClr val="92D050">
                  <a:alpha val="20000"/>
                </a:srgbClr>
              </a:solidFill>
              <a:ln w="9525" cap="sq">
                <a:solidFill>
                  <a:srgbClr val="92D050"/>
                </a:solidFill>
                <a:bevel/>
              </a:ln>
              <a:effectLst/>
            </c:spPr>
          </c:marker>
          <c:xVal>
            <c:numRef>
              <c:f>Sheet3!$B$4:$B$39</c:f>
              <c:numCache>
                <c:formatCode>General</c:formatCode>
                <c:ptCount val="36"/>
                <c:pt idx="0">
                  <c:v>2359.89</c:v>
                </c:pt>
                <c:pt idx="1">
                  <c:v>2321.59</c:v>
                </c:pt>
                <c:pt idx="2">
                  <c:v>2290.59</c:v>
                </c:pt>
                <c:pt idx="3">
                  <c:v>2260.29</c:v>
                </c:pt>
                <c:pt idx="4">
                  <c:v>2208.39</c:v>
                </c:pt>
                <c:pt idx="5">
                  <c:v>2122.89</c:v>
                </c:pt>
                <c:pt idx="6">
                  <c:v>1964.89</c:v>
                </c:pt>
                <c:pt idx="7">
                  <c:v>1831.39</c:v>
                </c:pt>
                <c:pt idx="8">
                  <c:v>1755.59</c:v>
                </c:pt>
                <c:pt idx="9">
                  <c:v>1681.59</c:v>
                </c:pt>
                <c:pt idx="10">
                  <c:v>1631.39</c:v>
                </c:pt>
                <c:pt idx="11">
                  <c:v>1564.99</c:v>
                </c:pt>
                <c:pt idx="12">
                  <c:v>1487.59</c:v>
                </c:pt>
                <c:pt idx="13">
                  <c:v>1418.59</c:v>
                </c:pt>
                <c:pt idx="14">
                  <c:v>1365.79</c:v>
                </c:pt>
                <c:pt idx="15">
                  <c:v>1179.19</c:v>
                </c:pt>
                <c:pt idx="16">
                  <c:v>1001.19</c:v>
                </c:pt>
                <c:pt idx="17">
                  <c:v>955.89</c:v>
                </c:pt>
                <c:pt idx="18">
                  <c:v>909.49</c:v>
                </c:pt>
                <c:pt idx="19">
                  <c:v>754.1</c:v>
                </c:pt>
                <c:pt idx="20">
                  <c:v>673.4</c:v>
                </c:pt>
                <c:pt idx="21">
                  <c:v>558</c:v>
                </c:pt>
                <c:pt idx="22">
                  <c:v>455.6</c:v>
                </c:pt>
                <c:pt idx="23">
                  <c:v>434.1</c:v>
                </c:pt>
                <c:pt idx="24">
                  <c:v>413.7</c:v>
                </c:pt>
                <c:pt idx="25">
                  <c:v>393</c:v>
                </c:pt>
                <c:pt idx="26">
                  <c:v>357.5</c:v>
                </c:pt>
                <c:pt idx="27">
                  <c:v>324</c:v>
                </c:pt>
                <c:pt idx="28">
                  <c:v>295.5</c:v>
                </c:pt>
                <c:pt idx="29">
                  <c:v>273.3</c:v>
                </c:pt>
                <c:pt idx="30">
                  <c:v>242</c:v>
                </c:pt>
                <c:pt idx="31">
                  <c:v>180.6</c:v>
                </c:pt>
                <c:pt idx="32">
                  <c:v>123.6</c:v>
                </c:pt>
                <c:pt idx="33">
                  <c:v>81</c:v>
                </c:pt>
                <c:pt idx="34">
                  <c:v>32.799999999999997</c:v>
                </c:pt>
                <c:pt idx="35">
                  <c:v>0</c:v>
                </c:pt>
              </c:numCache>
            </c:numRef>
          </c:xVal>
          <c:yVal>
            <c:numRef>
              <c:f>Sheet3!$E$4:$E$39</c:f>
              <c:numCache>
                <c:formatCode>General</c:formatCode>
                <c:ptCount val="36"/>
                <c:pt idx="0">
                  <c:v>3.76</c:v>
                </c:pt>
                <c:pt idx="1">
                  <c:v>4.1100000000000003</c:v>
                </c:pt>
                <c:pt idx="2">
                  <c:v>2.98</c:v>
                </c:pt>
                <c:pt idx="3">
                  <c:v>2.92</c:v>
                </c:pt>
                <c:pt idx="4">
                  <c:v>3.5</c:v>
                </c:pt>
                <c:pt idx="5">
                  <c:v>4.34</c:v>
                </c:pt>
                <c:pt idx="6">
                  <c:v>5.23</c:v>
                </c:pt>
                <c:pt idx="7">
                  <c:v>4.96</c:v>
                </c:pt>
                <c:pt idx="8">
                  <c:v>4.87</c:v>
                </c:pt>
                <c:pt idx="9">
                  <c:v>3.2</c:v>
                </c:pt>
                <c:pt idx="10">
                  <c:v>3.19</c:v>
                </c:pt>
                <c:pt idx="11">
                  <c:v>4.3499999999999996</c:v>
                </c:pt>
                <c:pt idx="12">
                  <c:v>5.47</c:v>
                </c:pt>
                <c:pt idx="13">
                  <c:v>5.33</c:v>
                </c:pt>
                <c:pt idx="14">
                  <c:v>4.3</c:v>
                </c:pt>
                <c:pt idx="15">
                  <c:v>4.0199999999999996</c:v>
                </c:pt>
                <c:pt idx="16">
                  <c:v>5.23</c:v>
                </c:pt>
                <c:pt idx="17">
                  <c:v>5.0999999999999996</c:v>
                </c:pt>
                <c:pt idx="18">
                  <c:v>4.0199999999999996</c:v>
                </c:pt>
                <c:pt idx="19">
                  <c:v>4.21</c:v>
                </c:pt>
                <c:pt idx="20">
                  <c:v>3.6</c:v>
                </c:pt>
                <c:pt idx="21">
                  <c:v>2.85</c:v>
                </c:pt>
                <c:pt idx="22">
                  <c:v>2.48</c:v>
                </c:pt>
                <c:pt idx="23">
                  <c:v>2.83</c:v>
                </c:pt>
                <c:pt idx="24">
                  <c:v>3.42</c:v>
                </c:pt>
                <c:pt idx="25">
                  <c:v>2.81</c:v>
                </c:pt>
                <c:pt idx="26">
                  <c:v>3.05</c:v>
                </c:pt>
                <c:pt idx="27">
                  <c:v>3.82</c:v>
                </c:pt>
                <c:pt idx="28">
                  <c:v>3.95</c:v>
                </c:pt>
                <c:pt idx="29">
                  <c:v>4.96</c:v>
                </c:pt>
                <c:pt idx="30">
                  <c:v>4.7699999999999996</c:v>
                </c:pt>
                <c:pt idx="31">
                  <c:v>4.9400000000000004</c:v>
                </c:pt>
                <c:pt idx="32">
                  <c:v>4.42</c:v>
                </c:pt>
                <c:pt idx="33">
                  <c:v>4.45</c:v>
                </c:pt>
                <c:pt idx="34">
                  <c:v>3.45</c:v>
                </c:pt>
                <c:pt idx="35">
                  <c:v>3.74</c:v>
                </c:pt>
              </c:numCache>
            </c:numRef>
          </c:yVal>
          <c:smooth val="0"/>
          <c:extLst>
            <c:ext xmlns:c16="http://schemas.microsoft.com/office/drawing/2014/chart" uri="{C3380CC4-5D6E-409C-BE32-E72D297353CC}">
              <c16:uniqueId val="{00000002-019A-496C-82A6-F89418640247}"/>
            </c:ext>
          </c:extLst>
        </c:ser>
        <c:ser>
          <c:idx val="3"/>
          <c:order val="3"/>
          <c:tx>
            <c:strRef>
              <c:f>Sheet3!$F$3</c:f>
              <c:strCache>
                <c:ptCount val="1"/>
                <c:pt idx="0">
                  <c:v>H (m)</c:v>
                </c:pt>
              </c:strCache>
            </c:strRef>
          </c:tx>
          <c:spPr>
            <a:ln w="9525" cap="rnd">
              <a:solidFill>
                <a:srgbClr val="FF0000"/>
              </a:solidFill>
              <a:round/>
            </a:ln>
            <a:effectLst/>
          </c:spPr>
          <c:marker>
            <c:symbol val="circle"/>
            <c:size val="3"/>
            <c:spPr>
              <a:solidFill>
                <a:srgbClr val="FF0000">
                  <a:alpha val="20000"/>
                </a:srgbClr>
              </a:solidFill>
              <a:ln w="9525">
                <a:solidFill>
                  <a:srgbClr val="FF0000"/>
                </a:solidFill>
              </a:ln>
              <a:effectLst/>
            </c:spPr>
          </c:marker>
          <c:xVal>
            <c:numRef>
              <c:f>Sheet3!$B$4:$B$39</c:f>
              <c:numCache>
                <c:formatCode>General</c:formatCode>
                <c:ptCount val="36"/>
                <c:pt idx="0">
                  <c:v>2359.89</c:v>
                </c:pt>
                <c:pt idx="1">
                  <c:v>2321.59</c:v>
                </c:pt>
                <c:pt idx="2">
                  <c:v>2290.59</c:v>
                </c:pt>
                <c:pt idx="3">
                  <c:v>2260.29</c:v>
                </c:pt>
                <c:pt idx="4">
                  <c:v>2208.39</c:v>
                </c:pt>
                <c:pt idx="5">
                  <c:v>2122.89</c:v>
                </c:pt>
                <c:pt idx="6">
                  <c:v>1964.89</c:v>
                </c:pt>
                <c:pt idx="7">
                  <c:v>1831.39</c:v>
                </c:pt>
                <c:pt idx="8">
                  <c:v>1755.59</c:v>
                </c:pt>
                <c:pt idx="9">
                  <c:v>1681.59</c:v>
                </c:pt>
                <c:pt idx="10">
                  <c:v>1631.39</c:v>
                </c:pt>
                <c:pt idx="11">
                  <c:v>1564.99</c:v>
                </c:pt>
                <c:pt idx="12">
                  <c:v>1487.59</c:v>
                </c:pt>
                <c:pt idx="13">
                  <c:v>1418.59</c:v>
                </c:pt>
                <c:pt idx="14">
                  <c:v>1365.79</c:v>
                </c:pt>
                <c:pt idx="15">
                  <c:v>1179.19</c:v>
                </c:pt>
                <c:pt idx="16">
                  <c:v>1001.19</c:v>
                </c:pt>
                <c:pt idx="17">
                  <c:v>955.89</c:v>
                </c:pt>
                <c:pt idx="18">
                  <c:v>909.49</c:v>
                </c:pt>
                <c:pt idx="19">
                  <c:v>754.1</c:v>
                </c:pt>
                <c:pt idx="20">
                  <c:v>673.4</c:v>
                </c:pt>
                <c:pt idx="21">
                  <c:v>558</c:v>
                </c:pt>
                <c:pt idx="22">
                  <c:v>455.6</c:v>
                </c:pt>
                <c:pt idx="23">
                  <c:v>434.1</c:v>
                </c:pt>
                <c:pt idx="24">
                  <c:v>413.7</c:v>
                </c:pt>
                <c:pt idx="25">
                  <c:v>393</c:v>
                </c:pt>
                <c:pt idx="26">
                  <c:v>357.5</c:v>
                </c:pt>
                <c:pt idx="27">
                  <c:v>324</c:v>
                </c:pt>
                <c:pt idx="28">
                  <c:v>295.5</c:v>
                </c:pt>
                <c:pt idx="29">
                  <c:v>273.3</c:v>
                </c:pt>
                <c:pt idx="30">
                  <c:v>242</c:v>
                </c:pt>
                <c:pt idx="31">
                  <c:v>180.6</c:v>
                </c:pt>
                <c:pt idx="32">
                  <c:v>123.6</c:v>
                </c:pt>
                <c:pt idx="33">
                  <c:v>81</c:v>
                </c:pt>
                <c:pt idx="34">
                  <c:v>32.799999999999997</c:v>
                </c:pt>
                <c:pt idx="35">
                  <c:v>0</c:v>
                </c:pt>
              </c:numCache>
            </c:numRef>
          </c:xVal>
          <c:yVal>
            <c:numRef>
              <c:f>Sheet3!$F$4:$F$39</c:f>
              <c:numCache>
                <c:formatCode>General</c:formatCode>
                <c:ptCount val="36"/>
                <c:pt idx="0">
                  <c:v>0.09</c:v>
                </c:pt>
                <c:pt idx="1">
                  <c:v>0.12</c:v>
                </c:pt>
                <c:pt idx="2">
                  <c:v>0.11</c:v>
                </c:pt>
                <c:pt idx="3">
                  <c:v>0.08</c:v>
                </c:pt>
                <c:pt idx="4">
                  <c:v>0.21</c:v>
                </c:pt>
                <c:pt idx="5">
                  <c:v>0.09</c:v>
                </c:pt>
                <c:pt idx="6">
                  <c:v>0.26</c:v>
                </c:pt>
                <c:pt idx="7">
                  <c:v>0.11</c:v>
                </c:pt>
                <c:pt idx="8">
                  <c:v>0.09</c:v>
                </c:pt>
                <c:pt idx="9">
                  <c:v>0.15</c:v>
                </c:pt>
                <c:pt idx="10">
                  <c:v>0.14000000000000001</c:v>
                </c:pt>
                <c:pt idx="11">
                  <c:v>0.15</c:v>
                </c:pt>
                <c:pt idx="12">
                  <c:v>0.21</c:v>
                </c:pt>
                <c:pt idx="13">
                  <c:v>0.1</c:v>
                </c:pt>
                <c:pt idx="14">
                  <c:v>0.41</c:v>
                </c:pt>
                <c:pt idx="15">
                  <c:v>0.31</c:v>
                </c:pt>
                <c:pt idx="16">
                  <c:v>0.18</c:v>
                </c:pt>
                <c:pt idx="17">
                  <c:v>0.22</c:v>
                </c:pt>
                <c:pt idx="18">
                  <c:v>0.14000000000000001</c:v>
                </c:pt>
                <c:pt idx="19">
                  <c:v>0.12</c:v>
                </c:pt>
                <c:pt idx="20">
                  <c:v>0.11</c:v>
                </c:pt>
                <c:pt idx="21">
                  <c:v>0.52</c:v>
                </c:pt>
                <c:pt idx="22">
                  <c:v>1.23</c:v>
                </c:pt>
                <c:pt idx="23">
                  <c:v>0.44</c:v>
                </c:pt>
                <c:pt idx="24">
                  <c:v>0.45</c:v>
                </c:pt>
                <c:pt idx="25">
                  <c:v>0.33</c:v>
                </c:pt>
                <c:pt idx="26">
                  <c:v>0.18</c:v>
                </c:pt>
                <c:pt idx="27">
                  <c:v>0.21</c:v>
                </c:pt>
                <c:pt idx="28">
                  <c:v>0.39</c:v>
                </c:pt>
                <c:pt idx="29">
                  <c:v>0.68</c:v>
                </c:pt>
                <c:pt idx="30">
                  <c:v>0.91</c:v>
                </c:pt>
                <c:pt idx="31">
                  <c:v>0.13</c:v>
                </c:pt>
                <c:pt idx="32">
                  <c:v>0.1</c:v>
                </c:pt>
                <c:pt idx="33">
                  <c:v>0.11</c:v>
                </c:pt>
                <c:pt idx="34">
                  <c:v>0.15</c:v>
                </c:pt>
                <c:pt idx="35">
                  <c:v>0.11</c:v>
                </c:pt>
              </c:numCache>
            </c:numRef>
          </c:yVal>
          <c:smooth val="0"/>
          <c:extLst>
            <c:ext xmlns:c16="http://schemas.microsoft.com/office/drawing/2014/chart" uri="{C3380CC4-5D6E-409C-BE32-E72D297353CC}">
              <c16:uniqueId val="{00000003-019A-496C-82A6-F89418640247}"/>
            </c:ext>
          </c:extLst>
        </c:ser>
        <c:ser>
          <c:idx val="4"/>
          <c:order val="4"/>
          <c:tx>
            <c:strRef>
              <c:f>Sheet3!$G$1</c:f>
              <c:strCache>
                <c:ptCount val="1"/>
                <c:pt idx="0">
                  <c:v>Q river (cms)</c:v>
                </c:pt>
              </c:strCache>
            </c:strRef>
          </c:tx>
          <c:spPr>
            <a:ln w="9525" cap="rnd">
              <a:solidFill>
                <a:srgbClr val="00B0F0"/>
              </a:solidFill>
              <a:round/>
            </a:ln>
            <a:effectLst/>
          </c:spPr>
          <c:marker>
            <c:symbol val="star"/>
            <c:size val="3"/>
            <c:spPr>
              <a:solidFill>
                <a:srgbClr val="00B0F0">
                  <a:alpha val="20000"/>
                </a:srgbClr>
              </a:solidFill>
              <a:ln w="9525">
                <a:solidFill>
                  <a:srgbClr val="00B0F0"/>
                </a:solidFill>
              </a:ln>
              <a:effectLst/>
            </c:spPr>
          </c:marker>
          <c:xVal>
            <c:numRef>
              <c:f>Sheet3!$B$4:$B$39</c:f>
              <c:numCache>
                <c:formatCode>General</c:formatCode>
                <c:ptCount val="36"/>
                <c:pt idx="0">
                  <c:v>2359.89</c:v>
                </c:pt>
                <c:pt idx="1">
                  <c:v>2321.59</c:v>
                </c:pt>
                <c:pt idx="2">
                  <c:v>2290.59</c:v>
                </c:pt>
                <c:pt idx="3">
                  <c:v>2260.29</c:v>
                </c:pt>
                <c:pt idx="4">
                  <c:v>2208.39</c:v>
                </c:pt>
                <c:pt idx="5">
                  <c:v>2122.89</c:v>
                </c:pt>
                <c:pt idx="6">
                  <c:v>1964.89</c:v>
                </c:pt>
                <c:pt idx="7">
                  <c:v>1831.39</c:v>
                </c:pt>
                <c:pt idx="8">
                  <c:v>1755.59</c:v>
                </c:pt>
                <c:pt idx="9">
                  <c:v>1681.59</c:v>
                </c:pt>
                <c:pt idx="10">
                  <c:v>1631.39</c:v>
                </c:pt>
                <c:pt idx="11">
                  <c:v>1564.99</c:v>
                </c:pt>
                <c:pt idx="12">
                  <c:v>1487.59</c:v>
                </c:pt>
                <c:pt idx="13">
                  <c:v>1418.59</c:v>
                </c:pt>
                <c:pt idx="14">
                  <c:v>1365.79</c:v>
                </c:pt>
                <c:pt idx="15">
                  <c:v>1179.19</c:v>
                </c:pt>
                <c:pt idx="16">
                  <c:v>1001.19</c:v>
                </c:pt>
                <c:pt idx="17">
                  <c:v>955.89</c:v>
                </c:pt>
                <c:pt idx="18">
                  <c:v>909.49</c:v>
                </c:pt>
                <c:pt idx="19">
                  <c:v>754.1</c:v>
                </c:pt>
                <c:pt idx="20">
                  <c:v>673.4</c:v>
                </c:pt>
                <c:pt idx="21">
                  <c:v>558</c:v>
                </c:pt>
                <c:pt idx="22">
                  <c:v>455.6</c:v>
                </c:pt>
                <c:pt idx="23">
                  <c:v>434.1</c:v>
                </c:pt>
                <c:pt idx="24">
                  <c:v>413.7</c:v>
                </c:pt>
                <c:pt idx="25">
                  <c:v>393</c:v>
                </c:pt>
                <c:pt idx="26">
                  <c:v>357.5</c:v>
                </c:pt>
                <c:pt idx="27">
                  <c:v>324</c:v>
                </c:pt>
                <c:pt idx="28">
                  <c:v>295.5</c:v>
                </c:pt>
                <c:pt idx="29">
                  <c:v>273.3</c:v>
                </c:pt>
                <c:pt idx="30">
                  <c:v>242</c:v>
                </c:pt>
                <c:pt idx="31">
                  <c:v>180.6</c:v>
                </c:pt>
                <c:pt idx="32">
                  <c:v>123.6</c:v>
                </c:pt>
                <c:pt idx="33">
                  <c:v>81</c:v>
                </c:pt>
                <c:pt idx="34">
                  <c:v>32.799999999999997</c:v>
                </c:pt>
                <c:pt idx="35">
                  <c:v>0</c:v>
                </c:pt>
              </c:numCache>
            </c:numRef>
          </c:xVal>
          <c:yVal>
            <c:numRef>
              <c:f>Sheet3!$G$4:$G$39</c:f>
              <c:numCache>
                <c:formatCode>General</c:formatCode>
                <c:ptCount val="36"/>
                <c:pt idx="0">
                  <c:v>0.35</c:v>
                </c:pt>
                <c:pt idx="1">
                  <c:v>0.35</c:v>
                </c:pt>
                <c:pt idx="2">
                  <c:v>0.35</c:v>
                </c:pt>
                <c:pt idx="3">
                  <c:v>0.35</c:v>
                </c:pt>
                <c:pt idx="4">
                  <c:v>0.37</c:v>
                </c:pt>
                <c:pt idx="5">
                  <c:v>0.4</c:v>
                </c:pt>
                <c:pt idx="6">
                  <c:v>0.43</c:v>
                </c:pt>
                <c:pt idx="7">
                  <c:v>0.43</c:v>
                </c:pt>
                <c:pt idx="8">
                  <c:v>0.43</c:v>
                </c:pt>
                <c:pt idx="9">
                  <c:v>0.43</c:v>
                </c:pt>
                <c:pt idx="10">
                  <c:v>0.46</c:v>
                </c:pt>
                <c:pt idx="11">
                  <c:v>0.5</c:v>
                </c:pt>
                <c:pt idx="12">
                  <c:v>0.54</c:v>
                </c:pt>
                <c:pt idx="13">
                  <c:v>0.54</c:v>
                </c:pt>
                <c:pt idx="14">
                  <c:v>0.56999999999999995</c:v>
                </c:pt>
                <c:pt idx="15">
                  <c:v>0.62</c:v>
                </c:pt>
                <c:pt idx="16">
                  <c:v>0.67</c:v>
                </c:pt>
                <c:pt idx="17">
                  <c:v>0.69</c:v>
                </c:pt>
                <c:pt idx="18">
                  <c:v>0.69</c:v>
                </c:pt>
                <c:pt idx="19">
                  <c:v>0.69</c:v>
                </c:pt>
                <c:pt idx="20">
                  <c:v>0.7</c:v>
                </c:pt>
                <c:pt idx="21">
                  <c:v>0.7</c:v>
                </c:pt>
                <c:pt idx="22">
                  <c:v>0.7</c:v>
                </c:pt>
                <c:pt idx="23">
                  <c:v>0.71</c:v>
                </c:pt>
                <c:pt idx="24">
                  <c:v>0.72</c:v>
                </c:pt>
                <c:pt idx="25">
                  <c:v>0.72</c:v>
                </c:pt>
                <c:pt idx="26">
                  <c:v>0.72</c:v>
                </c:pt>
                <c:pt idx="27">
                  <c:v>0.72</c:v>
                </c:pt>
                <c:pt idx="28">
                  <c:v>0.72</c:v>
                </c:pt>
                <c:pt idx="29">
                  <c:v>0.72</c:v>
                </c:pt>
                <c:pt idx="30">
                  <c:v>0.72</c:v>
                </c:pt>
                <c:pt idx="31">
                  <c:v>0.72</c:v>
                </c:pt>
                <c:pt idx="32">
                  <c:v>0.72</c:v>
                </c:pt>
                <c:pt idx="33">
                  <c:v>0.72</c:v>
                </c:pt>
                <c:pt idx="34">
                  <c:v>0.72</c:v>
                </c:pt>
                <c:pt idx="35">
                  <c:v>0.72</c:v>
                </c:pt>
              </c:numCache>
            </c:numRef>
          </c:yVal>
          <c:smooth val="0"/>
          <c:extLst>
            <c:ext xmlns:c16="http://schemas.microsoft.com/office/drawing/2014/chart" uri="{C3380CC4-5D6E-409C-BE32-E72D297353CC}">
              <c16:uniqueId val="{00000004-019A-496C-82A6-F89418640247}"/>
            </c:ext>
          </c:extLst>
        </c:ser>
        <c:dLbls>
          <c:showLegendKey val="0"/>
          <c:showVal val="0"/>
          <c:showCatName val="0"/>
          <c:showSerName val="0"/>
          <c:showPercent val="0"/>
          <c:showBubbleSize val="0"/>
        </c:dLbls>
        <c:axId val="235630815"/>
        <c:axId val="299565439"/>
      </c:scatterChart>
      <c:valAx>
        <c:axId val="235630815"/>
        <c:scaling>
          <c:orientation val="minMax"/>
          <c:max val="236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GB"/>
                  <a:t>Distance from Downstream (m)</a:t>
                </a:r>
              </a:p>
            </c:rich>
          </c:tx>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99565439"/>
        <c:crosses val="autoZero"/>
        <c:crossBetween val="midCat"/>
      </c:valAx>
      <c:valAx>
        <c:axId val="29956543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GB"/>
                  <a:t>Hydraulic Parameter Generated</a:t>
                </a:r>
              </a:p>
            </c:rich>
          </c:tx>
          <c:overlay val="0"/>
          <c:spPr>
            <a:noFill/>
            <a:ln>
              <a:noFill/>
            </a:ln>
            <a:effectLst/>
          </c:spPr>
          <c:txPr>
            <a:bodyPr rot="-540000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35630815"/>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700">
          <a:latin typeface="Arial" panose="020B0604020202020204" pitchFamily="34" charset="0"/>
          <a:cs typeface="Arial" panose="020B0604020202020204" pitchFamily="34" charset="0"/>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Sheet3!$C$3</c:f>
              <c:strCache>
                <c:ptCount val="1"/>
                <c:pt idx="0">
                  <c:v>ux (m/s)</c:v>
                </c:pt>
              </c:strCache>
            </c:strRef>
          </c:tx>
          <c:spPr>
            <a:ln w="9525" cap="rnd">
              <a:solidFill>
                <a:schemeClr val="tx1"/>
              </a:solidFill>
              <a:round/>
            </a:ln>
            <a:effectLst/>
          </c:spPr>
          <c:marker>
            <c:symbol val="diamond"/>
            <c:size val="3"/>
            <c:spPr>
              <a:solidFill>
                <a:schemeClr val="tx1"/>
              </a:solidFill>
              <a:ln w="9525">
                <a:solidFill>
                  <a:schemeClr val="tx1"/>
                </a:solidFill>
              </a:ln>
              <a:effectLst/>
            </c:spPr>
          </c:marker>
          <c:xVal>
            <c:numRef>
              <c:f>Sheet3!$B$4:$B$39</c:f>
              <c:numCache>
                <c:formatCode>General</c:formatCode>
                <c:ptCount val="36"/>
                <c:pt idx="0">
                  <c:v>2359.89</c:v>
                </c:pt>
                <c:pt idx="1">
                  <c:v>2321.59</c:v>
                </c:pt>
                <c:pt idx="2">
                  <c:v>2290.59</c:v>
                </c:pt>
                <c:pt idx="3">
                  <c:v>2260.29</c:v>
                </c:pt>
                <c:pt idx="4">
                  <c:v>2208.39</c:v>
                </c:pt>
                <c:pt idx="5">
                  <c:v>2122.89</c:v>
                </c:pt>
                <c:pt idx="6">
                  <c:v>1964.89</c:v>
                </c:pt>
                <c:pt idx="7">
                  <c:v>1831.39</c:v>
                </c:pt>
                <c:pt idx="8">
                  <c:v>1755.59</c:v>
                </c:pt>
                <c:pt idx="9">
                  <c:v>1681.59</c:v>
                </c:pt>
                <c:pt idx="10">
                  <c:v>1631.39</c:v>
                </c:pt>
                <c:pt idx="11">
                  <c:v>1564.99</c:v>
                </c:pt>
                <c:pt idx="12">
                  <c:v>1487.59</c:v>
                </c:pt>
                <c:pt idx="13">
                  <c:v>1418.59</c:v>
                </c:pt>
                <c:pt idx="14">
                  <c:v>1365.79</c:v>
                </c:pt>
                <c:pt idx="15">
                  <c:v>1179.19</c:v>
                </c:pt>
                <c:pt idx="16">
                  <c:v>1001.19</c:v>
                </c:pt>
                <c:pt idx="17">
                  <c:v>955.89</c:v>
                </c:pt>
                <c:pt idx="18">
                  <c:v>909.49</c:v>
                </c:pt>
                <c:pt idx="19">
                  <c:v>754.1</c:v>
                </c:pt>
                <c:pt idx="20">
                  <c:v>673.4</c:v>
                </c:pt>
                <c:pt idx="21">
                  <c:v>558</c:v>
                </c:pt>
                <c:pt idx="22">
                  <c:v>455.6</c:v>
                </c:pt>
                <c:pt idx="23">
                  <c:v>434.1</c:v>
                </c:pt>
                <c:pt idx="24">
                  <c:v>413.7</c:v>
                </c:pt>
                <c:pt idx="25">
                  <c:v>393</c:v>
                </c:pt>
                <c:pt idx="26">
                  <c:v>357.5</c:v>
                </c:pt>
                <c:pt idx="27">
                  <c:v>324</c:v>
                </c:pt>
                <c:pt idx="28">
                  <c:v>295.5</c:v>
                </c:pt>
                <c:pt idx="29">
                  <c:v>273.3</c:v>
                </c:pt>
                <c:pt idx="30">
                  <c:v>242</c:v>
                </c:pt>
                <c:pt idx="31">
                  <c:v>180.6</c:v>
                </c:pt>
                <c:pt idx="32">
                  <c:v>123.6</c:v>
                </c:pt>
                <c:pt idx="33">
                  <c:v>81</c:v>
                </c:pt>
                <c:pt idx="34">
                  <c:v>32.799999999999997</c:v>
                </c:pt>
                <c:pt idx="35">
                  <c:v>0</c:v>
                </c:pt>
              </c:numCache>
            </c:numRef>
          </c:xVal>
          <c:yVal>
            <c:numRef>
              <c:f>Sheet3!$I$4:$I$39</c:f>
              <c:numCache>
                <c:formatCode>General</c:formatCode>
                <c:ptCount val="36"/>
                <c:pt idx="0">
                  <c:v>0.91</c:v>
                </c:pt>
                <c:pt idx="1">
                  <c:v>0.64</c:v>
                </c:pt>
                <c:pt idx="2">
                  <c:v>0.97</c:v>
                </c:pt>
                <c:pt idx="3">
                  <c:v>1.4</c:v>
                </c:pt>
                <c:pt idx="4">
                  <c:v>0.43</c:v>
                </c:pt>
                <c:pt idx="5">
                  <c:v>0.9</c:v>
                </c:pt>
                <c:pt idx="6">
                  <c:v>0.27</c:v>
                </c:pt>
                <c:pt idx="7">
                  <c:v>0.71</c:v>
                </c:pt>
                <c:pt idx="8">
                  <c:v>0.84</c:v>
                </c:pt>
                <c:pt idx="9">
                  <c:v>0.87</c:v>
                </c:pt>
                <c:pt idx="10">
                  <c:v>0.87</c:v>
                </c:pt>
                <c:pt idx="11">
                  <c:v>0.71</c:v>
                </c:pt>
                <c:pt idx="12">
                  <c:v>0.42</c:v>
                </c:pt>
                <c:pt idx="13">
                  <c:v>0.9</c:v>
                </c:pt>
                <c:pt idx="14">
                  <c:v>0.28000000000000003</c:v>
                </c:pt>
                <c:pt idx="15">
                  <c:v>0.45</c:v>
                </c:pt>
                <c:pt idx="16">
                  <c:v>0.68</c:v>
                </c:pt>
                <c:pt idx="17">
                  <c:v>0.55000000000000004</c:v>
                </c:pt>
                <c:pt idx="18">
                  <c:v>1.1200000000000001</c:v>
                </c:pt>
                <c:pt idx="19">
                  <c:v>1.26</c:v>
                </c:pt>
                <c:pt idx="20">
                  <c:v>1.63</c:v>
                </c:pt>
                <c:pt idx="21">
                  <c:v>0.4</c:v>
                </c:pt>
                <c:pt idx="22">
                  <c:v>0.18</c:v>
                </c:pt>
                <c:pt idx="23">
                  <c:v>0.49</c:v>
                </c:pt>
                <c:pt idx="24">
                  <c:v>0.39</c:v>
                </c:pt>
                <c:pt idx="25">
                  <c:v>0.66</c:v>
                </c:pt>
                <c:pt idx="26">
                  <c:v>1.21</c:v>
                </c:pt>
                <c:pt idx="27">
                  <c:v>0.81</c:v>
                </c:pt>
                <c:pt idx="28">
                  <c:v>0.38</c:v>
                </c:pt>
                <c:pt idx="29">
                  <c:v>0.17</c:v>
                </c:pt>
                <c:pt idx="30">
                  <c:v>0.13</c:v>
                </c:pt>
                <c:pt idx="31">
                  <c:v>1.03</c:v>
                </c:pt>
                <c:pt idx="32">
                  <c:v>1.46</c:v>
                </c:pt>
                <c:pt idx="33">
                  <c:v>1.06</c:v>
                </c:pt>
                <c:pt idx="34">
                  <c:v>1.47</c:v>
                </c:pt>
                <c:pt idx="35">
                  <c:v>1.4</c:v>
                </c:pt>
              </c:numCache>
            </c:numRef>
          </c:yVal>
          <c:smooth val="0"/>
          <c:extLst>
            <c:ext xmlns:c16="http://schemas.microsoft.com/office/drawing/2014/chart" uri="{C3380CC4-5D6E-409C-BE32-E72D297353CC}">
              <c16:uniqueId val="{00000000-7B01-43B7-9842-5DCA47F30538}"/>
            </c:ext>
          </c:extLst>
        </c:ser>
        <c:ser>
          <c:idx val="1"/>
          <c:order val="1"/>
          <c:tx>
            <c:strRef>
              <c:f>Sheet3!$D$3</c:f>
              <c:strCache>
                <c:ptCount val="1"/>
                <c:pt idx="0">
                  <c:v>Fr</c:v>
                </c:pt>
              </c:strCache>
            </c:strRef>
          </c:tx>
          <c:spPr>
            <a:ln w="9525" cap="rnd">
              <a:solidFill>
                <a:schemeClr val="accent2">
                  <a:lumMod val="60000"/>
                  <a:lumOff val="40000"/>
                </a:schemeClr>
              </a:solidFill>
              <a:round/>
            </a:ln>
            <a:effectLst/>
          </c:spPr>
          <c:marker>
            <c:symbol val="star"/>
            <c:size val="3"/>
            <c:spPr>
              <a:solidFill>
                <a:schemeClr val="accent4">
                  <a:alpha val="20000"/>
                </a:schemeClr>
              </a:solidFill>
              <a:ln w="9525">
                <a:solidFill>
                  <a:schemeClr val="accent2">
                    <a:lumMod val="60000"/>
                    <a:lumOff val="40000"/>
                  </a:schemeClr>
                </a:solidFill>
              </a:ln>
              <a:effectLst/>
            </c:spPr>
          </c:marker>
          <c:xVal>
            <c:numRef>
              <c:f>Sheet3!$B$4:$B$39</c:f>
              <c:numCache>
                <c:formatCode>General</c:formatCode>
                <c:ptCount val="36"/>
                <c:pt idx="0">
                  <c:v>2359.89</c:v>
                </c:pt>
                <c:pt idx="1">
                  <c:v>2321.59</c:v>
                </c:pt>
                <c:pt idx="2">
                  <c:v>2290.59</c:v>
                </c:pt>
                <c:pt idx="3">
                  <c:v>2260.29</c:v>
                </c:pt>
                <c:pt idx="4">
                  <c:v>2208.39</c:v>
                </c:pt>
                <c:pt idx="5">
                  <c:v>2122.89</c:v>
                </c:pt>
                <c:pt idx="6">
                  <c:v>1964.89</c:v>
                </c:pt>
                <c:pt idx="7">
                  <c:v>1831.39</c:v>
                </c:pt>
                <c:pt idx="8">
                  <c:v>1755.59</c:v>
                </c:pt>
                <c:pt idx="9">
                  <c:v>1681.59</c:v>
                </c:pt>
                <c:pt idx="10">
                  <c:v>1631.39</c:v>
                </c:pt>
                <c:pt idx="11">
                  <c:v>1564.99</c:v>
                </c:pt>
                <c:pt idx="12">
                  <c:v>1487.59</c:v>
                </c:pt>
                <c:pt idx="13">
                  <c:v>1418.59</c:v>
                </c:pt>
                <c:pt idx="14">
                  <c:v>1365.79</c:v>
                </c:pt>
                <c:pt idx="15">
                  <c:v>1179.19</c:v>
                </c:pt>
                <c:pt idx="16">
                  <c:v>1001.19</c:v>
                </c:pt>
                <c:pt idx="17">
                  <c:v>955.89</c:v>
                </c:pt>
                <c:pt idx="18">
                  <c:v>909.49</c:v>
                </c:pt>
                <c:pt idx="19">
                  <c:v>754.1</c:v>
                </c:pt>
                <c:pt idx="20">
                  <c:v>673.4</c:v>
                </c:pt>
                <c:pt idx="21">
                  <c:v>558</c:v>
                </c:pt>
                <c:pt idx="22">
                  <c:v>455.6</c:v>
                </c:pt>
                <c:pt idx="23">
                  <c:v>434.1</c:v>
                </c:pt>
                <c:pt idx="24">
                  <c:v>413.7</c:v>
                </c:pt>
                <c:pt idx="25">
                  <c:v>393</c:v>
                </c:pt>
                <c:pt idx="26">
                  <c:v>357.5</c:v>
                </c:pt>
                <c:pt idx="27">
                  <c:v>324</c:v>
                </c:pt>
                <c:pt idx="28">
                  <c:v>295.5</c:v>
                </c:pt>
                <c:pt idx="29">
                  <c:v>273.3</c:v>
                </c:pt>
                <c:pt idx="30">
                  <c:v>242</c:v>
                </c:pt>
                <c:pt idx="31">
                  <c:v>180.6</c:v>
                </c:pt>
                <c:pt idx="32">
                  <c:v>123.6</c:v>
                </c:pt>
                <c:pt idx="33">
                  <c:v>81</c:v>
                </c:pt>
                <c:pt idx="34">
                  <c:v>32.799999999999997</c:v>
                </c:pt>
                <c:pt idx="35">
                  <c:v>0</c:v>
                </c:pt>
              </c:numCache>
            </c:numRef>
          </c:xVal>
          <c:yVal>
            <c:numRef>
              <c:f>Sheet3!$J$4:$J$39</c:f>
              <c:numCache>
                <c:formatCode>General</c:formatCode>
                <c:ptCount val="36"/>
                <c:pt idx="0">
                  <c:v>1.03</c:v>
                </c:pt>
                <c:pt idx="1">
                  <c:v>0.64</c:v>
                </c:pt>
                <c:pt idx="2">
                  <c:v>1.01</c:v>
                </c:pt>
                <c:pt idx="3">
                  <c:v>1.7</c:v>
                </c:pt>
                <c:pt idx="4">
                  <c:v>0.33</c:v>
                </c:pt>
                <c:pt idx="5">
                  <c:v>1.02</c:v>
                </c:pt>
                <c:pt idx="6">
                  <c:v>0.18</c:v>
                </c:pt>
                <c:pt idx="7">
                  <c:v>0.73</c:v>
                </c:pt>
                <c:pt idx="8">
                  <c:v>0.94</c:v>
                </c:pt>
                <c:pt idx="9">
                  <c:v>0.8</c:v>
                </c:pt>
                <c:pt idx="10">
                  <c:v>0.78</c:v>
                </c:pt>
                <c:pt idx="11">
                  <c:v>0.63</c:v>
                </c:pt>
                <c:pt idx="12">
                  <c:v>0.32</c:v>
                </c:pt>
                <c:pt idx="13">
                  <c:v>1</c:v>
                </c:pt>
                <c:pt idx="14">
                  <c:v>0.15</c:v>
                </c:pt>
                <c:pt idx="15">
                  <c:v>0.28000000000000003</c:v>
                </c:pt>
                <c:pt idx="16">
                  <c:v>0.56999999999999995</c:v>
                </c:pt>
                <c:pt idx="17">
                  <c:v>0.4</c:v>
                </c:pt>
                <c:pt idx="18">
                  <c:v>1.01</c:v>
                </c:pt>
                <c:pt idx="19">
                  <c:v>1.26</c:v>
                </c:pt>
                <c:pt idx="20">
                  <c:v>1.68</c:v>
                </c:pt>
                <c:pt idx="21">
                  <c:v>0.19</c:v>
                </c:pt>
                <c:pt idx="22">
                  <c:v>0.05</c:v>
                </c:pt>
                <c:pt idx="23">
                  <c:v>0.25</c:v>
                </c:pt>
                <c:pt idx="24">
                  <c:v>0.19</c:v>
                </c:pt>
                <c:pt idx="25">
                  <c:v>0.39</c:v>
                </c:pt>
                <c:pt idx="26">
                  <c:v>1.01</c:v>
                </c:pt>
                <c:pt idx="27">
                  <c:v>0.62</c:v>
                </c:pt>
                <c:pt idx="28">
                  <c:v>0.21</c:v>
                </c:pt>
                <c:pt idx="29">
                  <c:v>7.0000000000000007E-2</c:v>
                </c:pt>
                <c:pt idx="30">
                  <c:v>0.04</c:v>
                </c:pt>
                <c:pt idx="31">
                  <c:v>1.01</c:v>
                </c:pt>
                <c:pt idx="32">
                  <c:v>1.62</c:v>
                </c:pt>
                <c:pt idx="33">
                  <c:v>1</c:v>
                </c:pt>
                <c:pt idx="34">
                  <c:v>1.44</c:v>
                </c:pt>
                <c:pt idx="35">
                  <c:v>1.38</c:v>
                </c:pt>
              </c:numCache>
            </c:numRef>
          </c:yVal>
          <c:smooth val="0"/>
          <c:extLst>
            <c:ext xmlns:c16="http://schemas.microsoft.com/office/drawing/2014/chart" uri="{C3380CC4-5D6E-409C-BE32-E72D297353CC}">
              <c16:uniqueId val="{00000001-7B01-43B7-9842-5DCA47F30538}"/>
            </c:ext>
          </c:extLst>
        </c:ser>
        <c:ser>
          <c:idx val="2"/>
          <c:order val="2"/>
          <c:tx>
            <c:strRef>
              <c:f>Sheet3!$E$3</c:f>
              <c:strCache>
                <c:ptCount val="1"/>
                <c:pt idx="0">
                  <c:v>W (m)</c:v>
                </c:pt>
              </c:strCache>
            </c:strRef>
          </c:tx>
          <c:spPr>
            <a:ln w="9525" cap="rnd">
              <a:solidFill>
                <a:schemeClr val="accent3"/>
              </a:solidFill>
              <a:round/>
            </a:ln>
            <a:effectLst/>
          </c:spPr>
          <c:marker>
            <c:symbol val="square"/>
            <c:size val="3"/>
            <c:spPr>
              <a:solidFill>
                <a:srgbClr val="92D050">
                  <a:alpha val="20000"/>
                </a:srgbClr>
              </a:solidFill>
              <a:ln w="9525" cap="sq">
                <a:solidFill>
                  <a:srgbClr val="92D050"/>
                </a:solidFill>
                <a:bevel/>
              </a:ln>
              <a:effectLst/>
            </c:spPr>
          </c:marker>
          <c:xVal>
            <c:numRef>
              <c:f>Sheet3!$B$4:$B$39</c:f>
              <c:numCache>
                <c:formatCode>General</c:formatCode>
                <c:ptCount val="36"/>
                <c:pt idx="0">
                  <c:v>2359.89</c:v>
                </c:pt>
                <c:pt idx="1">
                  <c:v>2321.59</c:v>
                </c:pt>
                <c:pt idx="2">
                  <c:v>2290.59</c:v>
                </c:pt>
                <c:pt idx="3">
                  <c:v>2260.29</c:v>
                </c:pt>
                <c:pt idx="4">
                  <c:v>2208.39</c:v>
                </c:pt>
                <c:pt idx="5">
                  <c:v>2122.89</c:v>
                </c:pt>
                <c:pt idx="6">
                  <c:v>1964.89</c:v>
                </c:pt>
                <c:pt idx="7">
                  <c:v>1831.39</c:v>
                </c:pt>
                <c:pt idx="8">
                  <c:v>1755.59</c:v>
                </c:pt>
                <c:pt idx="9">
                  <c:v>1681.59</c:v>
                </c:pt>
                <c:pt idx="10">
                  <c:v>1631.39</c:v>
                </c:pt>
                <c:pt idx="11">
                  <c:v>1564.99</c:v>
                </c:pt>
                <c:pt idx="12">
                  <c:v>1487.59</c:v>
                </c:pt>
                <c:pt idx="13">
                  <c:v>1418.59</c:v>
                </c:pt>
                <c:pt idx="14">
                  <c:v>1365.79</c:v>
                </c:pt>
                <c:pt idx="15">
                  <c:v>1179.19</c:v>
                </c:pt>
                <c:pt idx="16">
                  <c:v>1001.19</c:v>
                </c:pt>
                <c:pt idx="17">
                  <c:v>955.89</c:v>
                </c:pt>
                <c:pt idx="18">
                  <c:v>909.49</c:v>
                </c:pt>
                <c:pt idx="19">
                  <c:v>754.1</c:v>
                </c:pt>
                <c:pt idx="20">
                  <c:v>673.4</c:v>
                </c:pt>
                <c:pt idx="21">
                  <c:v>558</c:v>
                </c:pt>
                <c:pt idx="22">
                  <c:v>455.6</c:v>
                </c:pt>
                <c:pt idx="23">
                  <c:v>434.1</c:v>
                </c:pt>
                <c:pt idx="24">
                  <c:v>413.7</c:v>
                </c:pt>
                <c:pt idx="25">
                  <c:v>393</c:v>
                </c:pt>
                <c:pt idx="26">
                  <c:v>357.5</c:v>
                </c:pt>
                <c:pt idx="27">
                  <c:v>324</c:v>
                </c:pt>
                <c:pt idx="28">
                  <c:v>295.5</c:v>
                </c:pt>
                <c:pt idx="29">
                  <c:v>273.3</c:v>
                </c:pt>
                <c:pt idx="30">
                  <c:v>242</c:v>
                </c:pt>
                <c:pt idx="31">
                  <c:v>180.6</c:v>
                </c:pt>
                <c:pt idx="32">
                  <c:v>123.6</c:v>
                </c:pt>
                <c:pt idx="33">
                  <c:v>81</c:v>
                </c:pt>
                <c:pt idx="34">
                  <c:v>32.799999999999997</c:v>
                </c:pt>
                <c:pt idx="35">
                  <c:v>0</c:v>
                </c:pt>
              </c:numCache>
            </c:numRef>
          </c:xVal>
          <c:yVal>
            <c:numRef>
              <c:f>Sheet3!$K$4:$K$39</c:f>
              <c:numCache>
                <c:formatCode>General</c:formatCode>
                <c:ptCount val="36"/>
                <c:pt idx="0">
                  <c:v>3.5</c:v>
                </c:pt>
                <c:pt idx="1">
                  <c:v>3.88</c:v>
                </c:pt>
                <c:pt idx="2">
                  <c:v>2.79</c:v>
                </c:pt>
                <c:pt idx="3">
                  <c:v>2.6</c:v>
                </c:pt>
                <c:pt idx="4">
                  <c:v>3.48</c:v>
                </c:pt>
                <c:pt idx="5">
                  <c:v>4.08</c:v>
                </c:pt>
                <c:pt idx="6">
                  <c:v>5.04</c:v>
                </c:pt>
                <c:pt idx="7">
                  <c:v>4.6500000000000004</c:v>
                </c:pt>
                <c:pt idx="8">
                  <c:v>4.6100000000000003</c:v>
                </c:pt>
                <c:pt idx="9">
                  <c:v>2.97</c:v>
                </c:pt>
                <c:pt idx="10">
                  <c:v>3.03</c:v>
                </c:pt>
                <c:pt idx="11">
                  <c:v>4.0199999999999996</c:v>
                </c:pt>
                <c:pt idx="12">
                  <c:v>5.42</c:v>
                </c:pt>
                <c:pt idx="13">
                  <c:v>5.23</c:v>
                </c:pt>
                <c:pt idx="14">
                  <c:v>4.28</c:v>
                </c:pt>
                <c:pt idx="15">
                  <c:v>3.99</c:v>
                </c:pt>
                <c:pt idx="16">
                  <c:v>5.22</c:v>
                </c:pt>
                <c:pt idx="17">
                  <c:v>5.08</c:v>
                </c:pt>
                <c:pt idx="18">
                  <c:v>3.78</c:v>
                </c:pt>
                <c:pt idx="19">
                  <c:v>4.0599999999999996</c:v>
                </c:pt>
                <c:pt idx="20">
                  <c:v>3.34</c:v>
                </c:pt>
                <c:pt idx="21">
                  <c:v>2.81</c:v>
                </c:pt>
                <c:pt idx="22">
                  <c:v>2.46</c:v>
                </c:pt>
                <c:pt idx="23">
                  <c:v>2.81</c:v>
                </c:pt>
                <c:pt idx="24">
                  <c:v>3.32</c:v>
                </c:pt>
                <c:pt idx="25">
                  <c:v>2.8</c:v>
                </c:pt>
                <c:pt idx="26">
                  <c:v>3.04</c:v>
                </c:pt>
                <c:pt idx="27">
                  <c:v>3.8</c:v>
                </c:pt>
                <c:pt idx="28">
                  <c:v>3.94</c:v>
                </c:pt>
                <c:pt idx="29">
                  <c:v>4.95</c:v>
                </c:pt>
                <c:pt idx="30">
                  <c:v>4.75</c:v>
                </c:pt>
                <c:pt idx="31">
                  <c:v>4.93</c:v>
                </c:pt>
                <c:pt idx="32">
                  <c:v>4.41</c:v>
                </c:pt>
                <c:pt idx="33">
                  <c:v>4.45</c:v>
                </c:pt>
                <c:pt idx="34">
                  <c:v>3.44</c:v>
                </c:pt>
                <c:pt idx="35">
                  <c:v>3.7</c:v>
                </c:pt>
              </c:numCache>
            </c:numRef>
          </c:yVal>
          <c:smooth val="0"/>
          <c:extLst>
            <c:ext xmlns:c16="http://schemas.microsoft.com/office/drawing/2014/chart" uri="{C3380CC4-5D6E-409C-BE32-E72D297353CC}">
              <c16:uniqueId val="{00000002-7B01-43B7-9842-5DCA47F30538}"/>
            </c:ext>
          </c:extLst>
        </c:ser>
        <c:ser>
          <c:idx val="3"/>
          <c:order val="3"/>
          <c:tx>
            <c:strRef>
              <c:f>Sheet3!$F$3</c:f>
              <c:strCache>
                <c:ptCount val="1"/>
                <c:pt idx="0">
                  <c:v>H (m)</c:v>
                </c:pt>
              </c:strCache>
            </c:strRef>
          </c:tx>
          <c:spPr>
            <a:ln w="9525" cap="rnd">
              <a:solidFill>
                <a:srgbClr val="FF0000"/>
              </a:solidFill>
              <a:round/>
            </a:ln>
            <a:effectLst/>
          </c:spPr>
          <c:marker>
            <c:symbol val="circle"/>
            <c:size val="3"/>
            <c:spPr>
              <a:solidFill>
                <a:srgbClr val="FF0000">
                  <a:alpha val="20000"/>
                </a:srgbClr>
              </a:solidFill>
              <a:ln w="9525">
                <a:solidFill>
                  <a:srgbClr val="FF0000"/>
                </a:solidFill>
              </a:ln>
              <a:effectLst/>
            </c:spPr>
          </c:marker>
          <c:xVal>
            <c:numRef>
              <c:f>Sheet3!$B$4:$B$39</c:f>
              <c:numCache>
                <c:formatCode>General</c:formatCode>
                <c:ptCount val="36"/>
                <c:pt idx="0">
                  <c:v>2359.89</c:v>
                </c:pt>
                <c:pt idx="1">
                  <c:v>2321.59</c:v>
                </c:pt>
                <c:pt idx="2">
                  <c:v>2290.59</c:v>
                </c:pt>
                <c:pt idx="3">
                  <c:v>2260.29</c:v>
                </c:pt>
                <c:pt idx="4">
                  <c:v>2208.39</c:v>
                </c:pt>
                <c:pt idx="5">
                  <c:v>2122.89</c:v>
                </c:pt>
                <c:pt idx="6">
                  <c:v>1964.89</c:v>
                </c:pt>
                <c:pt idx="7">
                  <c:v>1831.39</c:v>
                </c:pt>
                <c:pt idx="8">
                  <c:v>1755.59</c:v>
                </c:pt>
                <c:pt idx="9">
                  <c:v>1681.59</c:v>
                </c:pt>
                <c:pt idx="10">
                  <c:v>1631.39</c:v>
                </c:pt>
                <c:pt idx="11">
                  <c:v>1564.99</c:v>
                </c:pt>
                <c:pt idx="12">
                  <c:v>1487.59</c:v>
                </c:pt>
                <c:pt idx="13">
                  <c:v>1418.59</c:v>
                </c:pt>
                <c:pt idx="14">
                  <c:v>1365.79</c:v>
                </c:pt>
                <c:pt idx="15">
                  <c:v>1179.19</c:v>
                </c:pt>
                <c:pt idx="16">
                  <c:v>1001.19</c:v>
                </c:pt>
                <c:pt idx="17">
                  <c:v>955.89</c:v>
                </c:pt>
                <c:pt idx="18">
                  <c:v>909.49</c:v>
                </c:pt>
                <c:pt idx="19">
                  <c:v>754.1</c:v>
                </c:pt>
                <c:pt idx="20">
                  <c:v>673.4</c:v>
                </c:pt>
                <c:pt idx="21">
                  <c:v>558</c:v>
                </c:pt>
                <c:pt idx="22">
                  <c:v>455.6</c:v>
                </c:pt>
                <c:pt idx="23">
                  <c:v>434.1</c:v>
                </c:pt>
                <c:pt idx="24">
                  <c:v>413.7</c:v>
                </c:pt>
                <c:pt idx="25">
                  <c:v>393</c:v>
                </c:pt>
                <c:pt idx="26">
                  <c:v>357.5</c:v>
                </c:pt>
                <c:pt idx="27">
                  <c:v>324</c:v>
                </c:pt>
                <c:pt idx="28">
                  <c:v>295.5</c:v>
                </c:pt>
                <c:pt idx="29">
                  <c:v>273.3</c:v>
                </c:pt>
                <c:pt idx="30">
                  <c:v>242</c:v>
                </c:pt>
                <c:pt idx="31">
                  <c:v>180.6</c:v>
                </c:pt>
                <c:pt idx="32">
                  <c:v>123.6</c:v>
                </c:pt>
                <c:pt idx="33">
                  <c:v>81</c:v>
                </c:pt>
                <c:pt idx="34">
                  <c:v>32.799999999999997</c:v>
                </c:pt>
                <c:pt idx="35">
                  <c:v>0</c:v>
                </c:pt>
              </c:numCache>
            </c:numRef>
          </c:xVal>
          <c:yVal>
            <c:numRef>
              <c:f>Sheet3!$L$4:$L$39</c:f>
              <c:numCache>
                <c:formatCode>General</c:formatCode>
                <c:ptCount val="36"/>
                <c:pt idx="0">
                  <c:v>0.08</c:v>
                </c:pt>
                <c:pt idx="1">
                  <c:v>0.1</c:v>
                </c:pt>
                <c:pt idx="2">
                  <c:v>0.09</c:v>
                </c:pt>
                <c:pt idx="3">
                  <c:v>7.0000000000000007E-2</c:v>
                </c:pt>
                <c:pt idx="4">
                  <c:v>0.18</c:v>
                </c:pt>
                <c:pt idx="5">
                  <c:v>0.08</c:v>
                </c:pt>
                <c:pt idx="6">
                  <c:v>0.23</c:v>
                </c:pt>
                <c:pt idx="7">
                  <c:v>0.1</c:v>
                </c:pt>
                <c:pt idx="8">
                  <c:v>0.08</c:v>
                </c:pt>
                <c:pt idx="9">
                  <c:v>0.12</c:v>
                </c:pt>
                <c:pt idx="10">
                  <c:v>0.13</c:v>
                </c:pt>
                <c:pt idx="11">
                  <c:v>0.13</c:v>
                </c:pt>
                <c:pt idx="12">
                  <c:v>0.18</c:v>
                </c:pt>
                <c:pt idx="13">
                  <c:v>0.08</c:v>
                </c:pt>
                <c:pt idx="14">
                  <c:v>0.35</c:v>
                </c:pt>
                <c:pt idx="15">
                  <c:v>0.26</c:v>
                </c:pt>
                <c:pt idx="16">
                  <c:v>0.14000000000000001</c:v>
                </c:pt>
                <c:pt idx="17">
                  <c:v>0.19</c:v>
                </c:pt>
                <c:pt idx="18">
                  <c:v>0.12</c:v>
                </c:pt>
                <c:pt idx="19">
                  <c:v>0.1</c:v>
                </c:pt>
                <c:pt idx="20">
                  <c:v>0.1</c:v>
                </c:pt>
                <c:pt idx="21">
                  <c:v>0.47</c:v>
                </c:pt>
                <c:pt idx="22">
                  <c:v>1.19</c:v>
                </c:pt>
                <c:pt idx="23">
                  <c:v>0.39</c:v>
                </c:pt>
                <c:pt idx="24">
                  <c:v>0.41</c:v>
                </c:pt>
                <c:pt idx="25">
                  <c:v>0.28999999999999998</c:v>
                </c:pt>
                <c:pt idx="26">
                  <c:v>0.15</c:v>
                </c:pt>
                <c:pt idx="27">
                  <c:v>0.17</c:v>
                </c:pt>
                <c:pt idx="28">
                  <c:v>0.36</c:v>
                </c:pt>
                <c:pt idx="29">
                  <c:v>0.65</c:v>
                </c:pt>
                <c:pt idx="30">
                  <c:v>0.88</c:v>
                </c:pt>
                <c:pt idx="31">
                  <c:v>0.11</c:v>
                </c:pt>
                <c:pt idx="32">
                  <c:v>0.08</c:v>
                </c:pt>
                <c:pt idx="33">
                  <c:v>0.11</c:v>
                </c:pt>
                <c:pt idx="34">
                  <c:v>0.11</c:v>
                </c:pt>
                <c:pt idx="35">
                  <c:v>0.1</c:v>
                </c:pt>
              </c:numCache>
            </c:numRef>
          </c:yVal>
          <c:smooth val="0"/>
          <c:extLst>
            <c:ext xmlns:c16="http://schemas.microsoft.com/office/drawing/2014/chart" uri="{C3380CC4-5D6E-409C-BE32-E72D297353CC}">
              <c16:uniqueId val="{00000003-7B01-43B7-9842-5DCA47F30538}"/>
            </c:ext>
          </c:extLst>
        </c:ser>
        <c:ser>
          <c:idx val="4"/>
          <c:order val="4"/>
          <c:tx>
            <c:strRef>
              <c:f>Sheet3!$G$1</c:f>
              <c:strCache>
                <c:ptCount val="1"/>
                <c:pt idx="0">
                  <c:v>Q river (cms)</c:v>
                </c:pt>
              </c:strCache>
            </c:strRef>
          </c:tx>
          <c:spPr>
            <a:ln w="6350" cap="rnd">
              <a:solidFill>
                <a:schemeClr val="accent5"/>
              </a:solidFill>
              <a:round/>
            </a:ln>
            <a:effectLst/>
          </c:spPr>
          <c:marker>
            <c:symbol val="star"/>
            <c:size val="3"/>
            <c:spPr>
              <a:solidFill>
                <a:srgbClr val="00B0F0">
                  <a:alpha val="20000"/>
                </a:srgbClr>
              </a:solidFill>
              <a:ln w="6350">
                <a:solidFill>
                  <a:srgbClr val="00B0F0"/>
                </a:solidFill>
              </a:ln>
              <a:effectLst/>
            </c:spPr>
          </c:marker>
          <c:xVal>
            <c:numRef>
              <c:f>Sheet3!$B$4:$B$39</c:f>
              <c:numCache>
                <c:formatCode>General</c:formatCode>
                <c:ptCount val="36"/>
                <c:pt idx="0">
                  <c:v>2359.89</c:v>
                </c:pt>
                <c:pt idx="1">
                  <c:v>2321.59</c:v>
                </c:pt>
                <c:pt idx="2">
                  <c:v>2290.59</c:v>
                </c:pt>
                <c:pt idx="3">
                  <c:v>2260.29</c:v>
                </c:pt>
                <c:pt idx="4">
                  <c:v>2208.39</c:v>
                </c:pt>
                <c:pt idx="5">
                  <c:v>2122.89</c:v>
                </c:pt>
                <c:pt idx="6">
                  <c:v>1964.89</c:v>
                </c:pt>
                <c:pt idx="7">
                  <c:v>1831.39</c:v>
                </c:pt>
                <c:pt idx="8">
                  <c:v>1755.59</c:v>
                </c:pt>
                <c:pt idx="9">
                  <c:v>1681.59</c:v>
                </c:pt>
                <c:pt idx="10">
                  <c:v>1631.39</c:v>
                </c:pt>
                <c:pt idx="11">
                  <c:v>1564.99</c:v>
                </c:pt>
                <c:pt idx="12">
                  <c:v>1487.59</c:v>
                </c:pt>
                <c:pt idx="13">
                  <c:v>1418.59</c:v>
                </c:pt>
                <c:pt idx="14">
                  <c:v>1365.79</c:v>
                </c:pt>
                <c:pt idx="15">
                  <c:v>1179.19</c:v>
                </c:pt>
                <c:pt idx="16">
                  <c:v>1001.19</c:v>
                </c:pt>
                <c:pt idx="17">
                  <c:v>955.89</c:v>
                </c:pt>
                <c:pt idx="18">
                  <c:v>909.49</c:v>
                </c:pt>
                <c:pt idx="19">
                  <c:v>754.1</c:v>
                </c:pt>
                <c:pt idx="20">
                  <c:v>673.4</c:v>
                </c:pt>
                <c:pt idx="21">
                  <c:v>558</c:v>
                </c:pt>
                <c:pt idx="22">
                  <c:v>455.6</c:v>
                </c:pt>
                <c:pt idx="23">
                  <c:v>434.1</c:v>
                </c:pt>
                <c:pt idx="24">
                  <c:v>413.7</c:v>
                </c:pt>
                <c:pt idx="25">
                  <c:v>393</c:v>
                </c:pt>
                <c:pt idx="26">
                  <c:v>357.5</c:v>
                </c:pt>
                <c:pt idx="27">
                  <c:v>324</c:v>
                </c:pt>
                <c:pt idx="28">
                  <c:v>295.5</c:v>
                </c:pt>
                <c:pt idx="29">
                  <c:v>273.3</c:v>
                </c:pt>
                <c:pt idx="30">
                  <c:v>242</c:v>
                </c:pt>
                <c:pt idx="31">
                  <c:v>180.6</c:v>
                </c:pt>
                <c:pt idx="32">
                  <c:v>123.6</c:v>
                </c:pt>
                <c:pt idx="33">
                  <c:v>81</c:v>
                </c:pt>
                <c:pt idx="34">
                  <c:v>32.799999999999997</c:v>
                </c:pt>
                <c:pt idx="35">
                  <c:v>0</c:v>
                </c:pt>
              </c:numCache>
            </c:numRef>
          </c:xVal>
          <c:yVal>
            <c:numRef>
              <c:f>Sheet3!$M$4:$M$39</c:f>
              <c:numCache>
                <c:formatCode>General</c:formatCode>
                <c:ptCount val="36"/>
                <c:pt idx="0">
                  <c:v>0.252</c:v>
                </c:pt>
                <c:pt idx="1">
                  <c:v>0.252</c:v>
                </c:pt>
                <c:pt idx="2">
                  <c:v>0.252</c:v>
                </c:pt>
                <c:pt idx="3">
                  <c:v>0.252</c:v>
                </c:pt>
                <c:pt idx="4">
                  <c:v>0.27500000000000002</c:v>
                </c:pt>
                <c:pt idx="5">
                  <c:v>0.30100000000000005</c:v>
                </c:pt>
                <c:pt idx="6">
                  <c:v>0.33600000000000008</c:v>
                </c:pt>
                <c:pt idx="7">
                  <c:v>0.33600000000000008</c:v>
                </c:pt>
                <c:pt idx="8">
                  <c:v>0.33600000000000008</c:v>
                </c:pt>
                <c:pt idx="9">
                  <c:v>0.33600000000000008</c:v>
                </c:pt>
                <c:pt idx="10">
                  <c:v>0.3640000000000001</c:v>
                </c:pt>
                <c:pt idx="11">
                  <c:v>0.39900000000000013</c:v>
                </c:pt>
                <c:pt idx="12">
                  <c:v>0.43900000000000011</c:v>
                </c:pt>
                <c:pt idx="13">
                  <c:v>0.43900000000000011</c:v>
                </c:pt>
                <c:pt idx="14">
                  <c:v>0.47400000000000009</c:v>
                </c:pt>
                <c:pt idx="15">
                  <c:v>0.52700000000000014</c:v>
                </c:pt>
                <c:pt idx="16">
                  <c:v>0.57500000000000018</c:v>
                </c:pt>
                <c:pt idx="17">
                  <c:v>0.59400000000000019</c:v>
                </c:pt>
                <c:pt idx="18">
                  <c:v>0.59400000000000019</c:v>
                </c:pt>
                <c:pt idx="19">
                  <c:v>0.5970000000000002</c:v>
                </c:pt>
                <c:pt idx="20">
                  <c:v>0.5980000000000002</c:v>
                </c:pt>
                <c:pt idx="21">
                  <c:v>0.5990000000000002</c:v>
                </c:pt>
                <c:pt idx="22">
                  <c:v>0.60700000000000021</c:v>
                </c:pt>
                <c:pt idx="23">
                  <c:v>0.61200000000000021</c:v>
                </c:pt>
                <c:pt idx="24">
                  <c:v>0.61800000000000022</c:v>
                </c:pt>
                <c:pt idx="25">
                  <c:v>0.61800000000000022</c:v>
                </c:pt>
                <c:pt idx="26">
                  <c:v>0.61800000000000022</c:v>
                </c:pt>
                <c:pt idx="27">
                  <c:v>0.61800000000000022</c:v>
                </c:pt>
                <c:pt idx="28">
                  <c:v>0.61800000000000022</c:v>
                </c:pt>
                <c:pt idx="29">
                  <c:v>0.61800000000000022</c:v>
                </c:pt>
                <c:pt idx="30">
                  <c:v>0.61800000000000022</c:v>
                </c:pt>
                <c:pt idx="31">
                  <c:v>0.61800000000000022</c:v>
                </c:pt>
                <c:pt idx="32">
                  <c:v>0.61800000000000022</c:v>
                </c:pt>
                <c:pt idx="33">
                  <c:v>0.61800000000000022</c:v>
                </c:pt>
                <c:pt idx="34">
                  <c:v>0.61800000000000022</c:v>
                </c:pt>
                <c:pt idx="35">
                  <c:v>0.61800000000000022</c:v>
                </c:pt>
              </c:numCache>
            </c:numRef>
          </c:yVal>
          <c:smooth val="0"/>
          <c:extLst>
            <c:ext xmlns:c16="http://schemas.microsoft.com/office/drawing/2014/chart" uri="{C3380CC4-5D6E-409C-BE32-E72D297353CC}">
              <c16:uniqueId val="{00000004-7B01-43B7-9842-5DCA47F30538}"/>
            </c:ext>
          </c:extLst>
        </c:ser>
        <c:dLbls>
          <c:showLegendKey val="0"/>
          <c:showVal val="0"/>
          <c:showCatName val="0"/>
          <c:showSerName val="0"/>
          <c:showPercent val="0"/>
          <c:showBubbleSize val="0"/>
        </c:dLbls>
        <c:axId val="235630815"/>
        <c:axId val="299565439"/>
      </c:scatterChart>
      <c:valAx>
        <c:axId val="235630815"/>
        <c:scaling>
          <c:orientation val="minMax"/>
          <c:max val="236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GB"/>
                  <a:t>Distance from Downstream (m)</a:t>
                </a:r>
              </a:p>
            </c:rich>
          </c:tx>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99565439"/>
        <c:crosses val="autoZero"/>
        <c:crossBetween val="midCat"/>
      </c:valAx>
      <c:valAx>
        <c:axId val="29956543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GB"/>
                  <a:t>Hydraulic Parameter Generated</a:t>
                </a:r>
              </a:p>
            </c:rich>
          </c:tx>
          <c:overlay val="0"/>
          <c:spPr>
            <a:noFill/>
            <a:ln>
              <a:noFill/>
            </a:ln>
            <a:effectLst/>
          </c:spPr>
          <c:txPr>
            <a:bodyPr rot="-540000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35630815"/>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700">
          <a:latin typeface="Arial" panose="020B0604020202020204" pitchFamily="34" charset="0"/>
          <a:cs typeface="Arial" panose="020B0604020202020204" pitchFamily="34" charset="0"/>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Cu Results</c:v>
          </c:tx>
          <c:spPr>
            <a:ln w="6350" cap="rnd">
              <a:solidFill>
                <a:sysClr val="windowText" lastClr="000000"/>
              </a:solidFill>
              <a:round/>
            </a:ln>
            <a:effectLst/>
          </c:spPr>
          <c:marker>
            <c:symbol val="none"/>
          </c:marker>
          <c:xVal>
            <c:numRef>
              <c:f>Cu_R1!$I$4:$I$39</c:f>
              <c:numCache>
                <c:formatCode>General</c:formatCode>
                <c:ptCount val="36"/>
                <c:pt idx="0">
                  <c:v>2359.89</c:v>
                </c:pt>
                <c:pt idx="1">
                  <c:v>2321.59</c:v>
                </c:pt>
                <c:pt idx="2">
                  <c:v>2290.59</c:v>
                </c:pt>
                <c:pt idx="3">
                  <c:v>2260.29</c:v>
                </c:pt>
                <c:pt idx="4">
                  <c:v>2208.39</c:v>
                </c:pt>
                <c:pt idx="5">
                  <c:v>2122.89</c:v>
                </c:pt>
                <c:pt idx="6">
                  <c:v>1964.89</c:v>
                </c:pt>
                <c:pt idx="7">
                  <c:v>1831.39</c:v>
                </c:pt>
                <c:pt idx="8">
                  <c:v>1755.59</c:v>
                </c:pt>
                <c:pt idx="9">
                  <c:v>1681.59</c:v>
                </c:pt>
                <c:pt idx="10">
                  <c:v>1631.39</c:v>
                </c:pt>
                <c:pt idx="11">
                  <c:v>1564.99</c:v>
                </c:pt>
                <c:pt idx="12">
                  <c:v>1487.59</c:v>
                </c:pt>
                <c:pt idx="13">
                  <c:v>1418.59</c:v>
                </c:pt>
                <c:pt idx="14">
                  <c:v>1365.79</c:v>
                </c:pt>
                <c:pt idx="15">
                  <c:v>1179.19</c:v>
                </c:pt>
                <c:pt idx="16">
                  <c:v>1001.19</c:v>
                </c:pt>
                <c:pt idx="17">
                  <c:v>955.89</c:v>
                </c:pt>
                <c:pt idx="18">
                  <c:v>909.49</c:v>
                </c:pt>
                <c:pt idx="19">
                  <c:v>754.1</c:v>
                </c:pt>
                <c:pt idx="20">
                  <c:v>673.4</c:v>
                </c:pt>
                <c:pt idx="21">
                  <c:v>558</c:v>
                </c:pt>
                <c:pt idx="22">
                  <c:v>455.6</c:v>
                </c:pt>
                <c:pt idx="23">
                  <c:v>434.1</c:v>
                </c:pt>
                <c:pt idx="24">
                  <c:v>413.7</c:v>
                </c:pt>
                <c:pt idx="25">
                  <c:v>393</c:v>
                </c:pt>
                <c:pt idx="26">
                  <c:v>357.5</c:v>
                </c:pt>
                <c:pt idx="27">
                  <c:v>324</c:v>
                </c:pt>
                <c:pt idx="28">
                  <c:v>295.5</c:v>
                </c:pt>
                <c:pt idx="29">
                  <c:v>273.3</c:v>
                </c:pt>
                <c:pt idx="30">
                  <c:v>242</c:v>
                </c:pt>
                <c:pt idx="31">
                  <c:v>180.6</c:v>
                </c:pt>
                <c:pt idx="32">
                  <c:v>123.6</c:v>
                </c:pt>
                <c:pt idx="33">
                  <c:v>81</c:v>
                </c:pt>
                <c:pt idx="34">
                  <c:v>32.799999999999997</c:v>
                </c:pt>
                <c:pt idx="35">
                  <c:v>0</c:v>
                </c:pt>
              </c:numCache>
            </c:numRef>
          </c:xVal>
          <c:yVal>
            <c:numRef>
              <c:f>Cu_R1!$II$4:$II$39</c:f>
              <c:numCache>
                <c:formatCode>General</c:formatCode>
                <c:ptCount val="36"/>
                <c:pt idx="0">
                  <c:v>0.23499999999999999</c:v>
                </c:pt>
                <c:pt idx="1">
                  <c:v>0.2306275532738</c:v>
                </c:pt>
                <c:pt idx="2">
                  <c:v>0.22753453045557001</c:v>
                </c:pt>
                <c:pt idx="3">
                  <c:v>0.223585907206651</c:v>
                </c:pt>
                <c:pt idx="4">
                  <c:v>0.20730206719213801</c:v>
                </c:pt>
                <c:pt idx="5">
                  <c:v>0.19236669119535399</c:v>
                </c:pt>
                <c:pt idx="6">
                  <c:v>0.164422844128607</c:v>
                </c:pt>
                <c:pt idx="7">
                  <c:v>0.157766633404271</c:v>
                </c:pt>
                <c:pt idx="8">
                  <c:v>0.15273859823112701</c:v>
                </c:pt>
                <c:pt idx="9">
                  <c:v>0.149236712790875</c:v>
                </c:pt>
                <c:pt idx="10">
                  <c:v>0.14509872884370201</c:v>
                </c:pt>
                <c:pt idx="11">
                  <c:v>0.13933812521335301</c:v>
                </c:pt>
                <c:pt idx="12">
                  <c:v>0.13315607269701199</c:v>
                </c:pt>
                <c:pt idx="13">
                  <c:v>0.13109610360598001</c:v>
                </c:pt>
                <c:pt idx="14">
                  <c:v>0.12991290590107199</c:v>
                </c:pt>
                <c:pt idx="15">
                  <c:v>0.13607723336521299</c:v>
                </c:pt>
                <c:pt idx="16">
                  <c:v>0.137716672830246</c:v>
                </c:pt>
                <c:pt idx="17">
                  <c:v>0.14025333646364199</c:v>
                </c:pt>
                <c:pt idx="18">
                  <c:v>0.14461574789599199</c:v>
                </c:pt>
                <c:pt idx="19">
                  <c:v>0.14678795776234899</c:v>
                </c:pt>
                <c:pt idx="20">
                  <c:v>0.149582873665079</c:v>
                </c:pt>
                <c:pt idx="21">
                  <c:v>0.15887130714924799</c:v>
                </c:pt>
                <c:pt idx="22">
                  <c:v>0.16238629821110001</c:v>
                </c:pt>
                <c:pt idx="23">
                  <c:v>0.164187114522062</c:v>
                </c:pt>
                <c:pt idx="24">
                  <c:v>0.166335237604717</c:v>
                </c:pt>
                <c:pt idx="25">
                  <c:v>0.168437169312115</c:v>
                </c:pt>
                <c:pt idx="26">
                  <c:v>0.169708032589661</c:v>
                </c:pt>
                <c:pt idx="27">
                  <c:v>0.17160433846137499</c:v>
                </c:pt>
                <c:pt idx="28">
                  <c:v>0.17571877610825001</c:v>
                </c:pt>
                <c:pt idx="29">
                  <c:v>0.18401361606818101</c:v>
                </c:pt>
                <c:pt idx="30">
                  <c:v>0.19407838614759801</c:v>
                </c:pt>
                <c:pt idx="31">
                  <c:v>0.19601928197210899</c:v>
                </c:pt>
                <c:pt idx="32">
                  <c:v>0.19710783002965299</c:v>
                </c:pt>
                <c:pt idx="33">
                  <c:v>0.198419149441982</c:v>
                </c:pt>
                <c:pt idx="34">
                  <c:v>0.19953328054691799</c:v>
                </c:pt>
                <c:pt idx="35">
                  <c:v>0.20215903271435701</c:v>
                </c:pt>
              </c:numCache>
            </c:numRef>
          </c:yVal>
          <c:smooth val="0"/>
          <c:extLst>
            <c:ext xmlns:c16="http://schemas.microsoft.com/office/drawing/2014/chart" uri="{C3380CC4-5D6E-409C-BE32-E72D297353CC}">
              <c16:uniqueId val="{00000000-ED8D-43A9-9F28-64EAC7DFDE66}"/>
            </c:ext>
          </c:extLst>
        </c:ser>
        <c:ser>
          <c:idx val="1"/>
          <c:order val="1"/>
          <c:tx>
            <c:v>Cu Obs</c:v>
          </c:tx>
          <c:spPr>
            <a:ln w="25400" cap="rnd">
              <a:noFill/>
              <a:round/>
            </a:ln>
            <a:effectLst/>
          </c:spPr>
          <c:marker>
            <c:symbol val="circle"/>
            <c:size val="5"/>
            <c:spPr>
              <a:solidFill>
                <a:srgbClr val="FF0000"/>
              </a:solidFill>
              <a:ln w="9525">
                <a:solidFill>
                  <a:srgbClr val="FF0000"/>
                </a:solidFill>
              </a:ln>
              <a:effectLst/>
            </c:spPr>
          </c:marker>
          <c:xVal>
            <c:numRef>
              <c:f>Cu_R1!$B$8:$B$11</c:f>
              <c:numCache>
                <c:formatCode>General</c:formatCode>
                <c:ptCount val="4"/>
                <c:pt idx="0">
                  <c:v>2260.29</c:v>
                </c:pt>
                <c:pt idx="1">
                  <c:v>1631.39</c:v>
                </c:pt>
                <c:pt idx="2">
                  <c:v>909.49</c:v>
                </c:pt>
                <c:pt idx="3">
                  <c:v>434.1</c:v>
                </c:pt>
              </c:numCache>
            </c:numRef>
          </c:xVal>
          <c:yVal>
            <c:numRef>
              <c:f>Cu_R1!$C$8:$C$11</c:f>
              <c:numCache>
                <c:formatCode>General</c:formatCode>
                <c:ptCount val="4"/>
                <c:pt idx="0">
                  <c:v>0.23499999999999999</c:v>
                </c:pt>
                <c:pt idx="2">
                  <c:v>0.13</c:v>
                </c:pt>
                <c:pt idx="3">
                  <c:v>0.17499999999999999</c:v>
                </c:pt>
              </c:numCache>
            </c:numRef>
          </c:yVal>
          <c:smooth val="0"/>
          <c:extLst>
            <c:ext xmlns:c16="http://schemas.microsoft.com/office/drawing/2014/chart" uri="{C3380CC4-5D6E-409C-BE32-E72D297353CC}">
              <c16:uniqueId val="{00000001-ED8D-43A9-9F28-64EAC7DFDE66}"/>
            </c:ext>
          </c:extLst>
        </c:ser>
        <c:dLbls>
          <c:showLegendKey val="0"/>
          <c:showVal val="0"/>
          <c:showCatName val="0"/>
          <c:showSerName val="0"/>
          <c:showPercent val="0"/>
          <c:showBubbleSize val="0"/>
        </c:dLbls>
        <c:axId val="722297856"/>
        <c:axId val="726123248"/>
      </c:scatterChart>
      <c:valAx>
        <c:axId val="722297856"/>
        <c:scaling>
          <c:orientation val="minMax"/>
          <c:max val="236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GB"/>
                  <a:t>Distance from Downstream (m)</a:t>
                </a:r>
              </a:p>
            </c:rich>
          </c:tx>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726123248"/>
        <c:crosses val="autoZero"/>
        <c:crossBetween val="midCat"/>
      </c:valAx>
      <c:valAx>
        <c:axId val="7261232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GB"/>
                  <a:t>Cu (mg/L)</a:t>
                </a:r>
              </a:p>
            </c:rich>
          </c:tx>
          <c:overlay val="0"/>
          <c:spPr>
            <a:noFill/>
            <a:ln>
              <a:noFill/>
            </a:ln>
            <a:effectLst/>
          </c:spPr>
          <c:txPr>
            <a:bodyPr rot="-540000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722297856"/>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700">
          <a:latin typeface="Arial" panose="020B0604020202020204" pitchFamily="34" charset="0"/>
          <a:cs typeface="Arial" panose="020B0604020202020204" pitchFamily="34" charset="0"/>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Cu Results</c:v>
          </c:tx>
          <c:spPr>
            <a:ln w="6350" cap="rnd">
              <a:solidFill>
                <a:sysClr val="windowText" lastClr="000000"/>
              </a:solidFill>
              <a:round/>
            </a:ln>
            <a:effectLst/>
          </c:spPr>
          <c:marker>
            <c:symbol val="none"/>
          </c:marker>
          <c:xVal>
            <c:numRef>
              <c:f>Cu_D1!$I$4:$I$39</c:f>
              <c:numCache>
                <c:formatCode>General</c:formatCode>
                <c:ptCount val="36"/>
                <c:pt idx="0">
                  <c:v>2359.89</c:v>
                </c:pt>
                <c:pt idx="1">
                  <c:v>2321.59</c:v>
                </c:pt>
                <c:pt idx="2">
                  <c:v>2290.59</c:v>
                </c:pt>
                <c:pt idx="3">
                  <c:v>2260.29</c:v>
                </c:pt>
                <c:pt idx="4">
                  <c:v>2208.39</c:v>
                </c:pt>
                <c:pt idx="5">
                  <c:v>2122.89</c:v>
                </c:pt>
                <c:pt idx="6">
                  <c:v>1964.89</c:v>
                </c:pt>
                <c:pt idx="7">
                  <c:v>1831.39</c:v>
                </c:pt>
                <c:pt idx="8">
                  <c:v>1755.59</c:v>
                </c:pt>
                <c:pt idx="9">
                  <c:v>1681.59</c:v>
                </c:pt>
                <c:pt idx="10">
                  <c:v>1631.39</c:v>
                </c:pt>
                <c:pt idx="11">
                  <c:v>1564.99</c:v>
                </c:pt>
                <c:pt idx="12">
                  <c:v>1487.59</c:v>
                </c:pt>
                <c:pt idx="13">
                  <c:v>1418.59</c:v>
                </c:pt>
                <c:pt idx="14">
                  <c:v>1365.79</c:v>
                </c:pt>
                <c:pt idx="15">
                  <c:v>1179.19</c:v>
                </c:pt>
                <c:pt idx="16">
                  <c:v>1001.19</c:v>
                </c:pt>
                <c:pt idx="17">
                  <c:v>955.89</c:v>
                </c:pt>
                <c:pt idx="18">
                  <c:v>909.49</c:v>
                </c:pt>
                <c:pt idx="19">
                  <c:v>754.1</c:v>
                </c:pt>
                <c:pt idx="20">
                  <c:v>673.4</c:v>
                </c:pt>
                <c:pt idx="21">
                  <c:v>558</c:v>
                </c:pt>
                <c:pt idx="22">
                  <c:v>455.6</c:v>
                </c:pt>
                <c:pt idx="23">
                  <c:v>434.1</c:v>
                </c:pt>
                <c:pt idx="24">
                  <c:v>413.7</c:v>
                </c:pt>
                <c:pt idx="25">
                  <c:v>393</c:v>
                </c:pt>
                <c:pt idx="26">
                  <c:v>357.5</c:v>
                </c:pt>
                <c:pt idx="27">
                  <c:v>324</c:v>
                </c:pt>
                <c:pt idx="28">
                  <c:v>295.5</c:v>
                </c:pt>
                <c:pt idx="29">
                  <c:v>273.3</c:v>
                </c:pt>
                <c:pt idx="30">
                  <c:v>242</c:v>
                </c:pt>
                <c:pt idx="31">
                  <c:v>180.6</c:v>
                </c:pt>
                <c:pt idx="32">
                  <c:v>123.6</c:v>
                </c:pt>
                <c:pt idx="33">
                  <c:v>81</c:v>
                </c:pt>
                <c:pt idx="34">
                  <c:v>32.799999999999997</c:v>
                </c:pt>
                <c:pt idx="35">
                  <c:v>0</c:v>
                </c:pt>
              </c:numCache>
            </c:numRef>
          </c:xVal>
          <c:yVal>
            <c:numRef>
              <c:f>Cu_D1!$IN$4:$IN$39</c:f>
              <c:numCache>
                <c:formatCode>General</c:formatCode>
                <c:ptCount val="36"/>
                <c:pt idx="0">
                  <c:v>0.155</c:v>
                </c:pt>
                <c:pt idx="1">
                  <c:v>0.15181679336867901</c:v>
                </c:pt>
                <c:pt idx="2">
                  <c:v>0.149594737357787</c:v>
                </c:pt>
                <c:pt idx="3">
                  <c:v>0.14675343334573601</c:v>
                </c:pt>
                <c:pt idx="4">
                  <c:v>0.13455482027504201</c:v>
                </c:pt>
                <c:pt idx="5">
                  <c:v>0.124125142296772</c:v>
                </c:pt>
                <c:pt idx="6">
                  <c:v>0.10364891103201899</c:v>
                </c:pt>
                <c:pt idx="7">
                  <c:v>9.8952173003488395E-2</c:v>
                </c:pt>
                <c:pt idx="8">
                  <c:v>9.5265924753246703E-2</c:v>
                </c:pt>
                <c:pt idx="9">
                  <c:v>9.2802872374410206E-2</c:v>
                </c:pt>
                <c:pt idx="10">
                  <c:v>8.9676272104733501E-2</c:v>
                </c:pt>
                <c:pt idx="11">
                  <c:v>8.5489665265172099E-2</c:v>
                </c:pt>
                <c:pt idx="12">
                  <c:v>8.0539008101647103E-2</c:v>
                </c:pt>
                <c:pt idx="13">
                  <c:v>7.8148246592347106E-2</c:v>
                </c:pt>
                <c:pt idx="14">
                  <c:v>7.1718417281144906E-2</c:v>
                </c:pt>
                <c:pt idx="15">
                  <c:v>7.2579856882198507E-2</c:v>
                </c:pt>
                <c:pt idx="16">
                  <c:v>7.3038552551335706E-2</c:v>
                </c:pt>
                <c:pt idx="17">
                  <c:v>7.3992524685276603E-2</c:v>
                </c:pt>
                <c:pt idx="18">
                  <c:v>7.58139879230528E-2</c:v>
                </c:pt>
                <c:pt idx="19">
                  <c:v>7.6847505921121995E-2</c:v>
                </c:pt>
                <c:pt idx="20">
                  <c:v>7.8250271787741299E-2</c:v>
                </c:pt>
                <c:pt idx="21">
                  <c:v>8.4608913967388302E-2</c:v>
                </c:pt>
                <c:pt idx="22">
                  <c:v>8.7289648370550102E-2</c:v>
                </c:pt>
                <c:pt idx="23">
                  <c:v>8.8666554221368807E-2</c:v>
                </c:pt>
                <c:pt idx="24">
                  <c:v>9.0370249862825505E-2</c:v>
                </c:pt>
                <c:pt idx="25">
                  <c:v>9.2063022707748604E-2</c:v>
                </c:pt>
                <c:pt idx="26">
                  <c:v>9.30710229657951E-2</c:v>
                </c:pt>
                <c:pt idx="27">
                  <c:v>9.4795625407395306E-2</c:v>
                </c:pt>
                <c:pt idx="28">
                  <c:v>9.9079442042153104E-2</c:v>
                </c:pt>
                <c:pt idx="29">
                  <c:v>0.107336863844281</c:v>
                </c:pt>
                <c:pt idx="30">
                  <c:v>0.1170506062652</c:v>
                </c:pt>
                <c:pt idx="31">
                  <c:v>0.118850163958042</c:v>
                </c:pt>
                <c:pt idx="32">
                  <c:v>0.11989884370376799</c:v>
                </c:pt>
                <c:pt idx="33">
                  <c:v>0.121365636552029</c:v>
                </c:pt>
                <c:pt idx="34">
                  <c:v>0.122215419610249</c:v>
                </c:pt>
                <c:pt idx="35">
                  <c:v>0.12401363007496199</c:v>
                </c:pt>
              </c:numCache>
            </c:numRef>
          </c:yVal>
          <c:smooth val="0"/>
          <c:extLst>
            <c:ext xmlns:c16="http://schemas.microsoft.com/office/drawing/2014/chart" uri="{C3380CC4-5D6E-409C-BE32-E72D297353CC}">
              <c16:uniqueId val="{00000000-E5FA-4001-A422-2E6433ECD67B}"/>
            </c:ext>
          </c:extLst>
        </c:ser>
        <c:ser>
          <c:idx val="1"/>
          <c:order val="1"/>
          <c:tx>
            <c:v>Cu Obs</c:v>
          </c:tx>
          <c:spPr>
            <a:ln w="25400" cap="rnd">
              <a:noFill/>
              <a:round/>
            </a:ln>
            <a:effectLst/>
          </c:spPr>
          <c:marker>
            <c:symbol val="circle"/>
            <c:size val="5"/>
            <c:spPr>
              <a:solidFill>
                <a:srgbClr val="FF0000"/>
              </a:solidFill>
              <a:ln w="9525">
                <a:solidFill>
                  <a:srgbClr val="FF0000"/>
                </a:solidFill>
              </a:ln>
              <a:effectLst/>
            </c:spPr>
          </c:marker>
          <c:xVal>
            <c:numRef>
              <c:f>Cu_D1!$B$8:$B$11</c:f>
              <c:numCache>
                <c:formatCode>General</c:formatCode>
                <c:ptCount val="4"/>
                <c:pt idx="0">
                  <c:v>2260.29</c:v>
                </c:pt>
                <c:pt idx="1">
                  <c:v>1631.39</c:v>
                </c:pt>
                <c:pt idx="2">
                  <c:v>909.49</c:v>
                </c:pt>
                <c:pt idx="3">
                  <c:v>434.1</c:v>
                </c:pt>
              </c:numCache>
            </c:numRef>
          </c:xVal>
          <c:yVal>
            <c:numRef>
              <c:f>Cu_D1!$C$8:$C$11</c:f>
              <c:numCache>
                <c:formatCode>General</c:formatCode>
                <c:ptCount val="4"/>
                <c:pt idx="0">
                  <c:v>0.155</c:v>
                </c:pt>
                <c:pt idx="3">
                  <c:v>0.09</c:v>
                </c:pt>
              </c:numCache>
            </c:numRef>
          </c:yVal>
          <c:smooth val="0"/>
          <c:extLst>
            <c:ext xmlns:c16="http://schemas.microsoft.com/office/drawing/2014/chart" uri="{C3380CC4-5D6E-409C-BE32-E72D297353CC}">
              <c16:uniqueId val="{00000001-E5FA-4001-A422-2E6433ECD67B}"/>
            </c:ext>
          </c:extLst>
        </c:ser>
        <c:dLbls>
          <c:showLegendKey val="0"/>
          <c:showVal val="0"/>
          <c:showCatName val="0"/>
          <c:showSerName val="0"/>
          <c:showPercent val="0"/>
          <c:showBubbleSize val="0"/>
        </c:dLbls>
        <c:axId val="722297856"/>
        <c:axId val="726123248"/>
      </c:scatterChart>
      <c:valAx>
        <c:axId val="72229785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GB"/>
                  <a:t>Distance from Downstrem (m)</a:t>
                </a:r>
              </a:p>
            </c:rich>
          </c:tx>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726123248"/>
        <c:crosses val="autoZero"/>
        <c:crossBetween val="midCat"/>
      </c:valAx>
      <c:valAx>
        <c:axId val="7261232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GB"/>
                  <a:t>Cu (mg/L)</a:t>
                </a:r>
              </a:p>
            </c:rich>
          </c:tx>
          <c:overlay val="0"/>
          <c:spPr>
            <a:noFill/>
            <a:ln>
              <a:noFill/>
            </a:ln>
            <a:effectLst/>
          </c:spPr>
          <c:txPr>
            <a:bodyPr rot="-540000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722297856"/>
        <c:crosses val="autoZero"/>
        <c:crossBetween val="midCat"/>
        <c:majorUnit val="4.0000000000000008E-2"/>
      </c:valAx>
      <c:spPr>
        <a:noFill/>
        <a:ln>
          <a:no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700">
          <a:latin typeface="Arial" panose="020B0604020202020204" pitchFamily="34" charset="0"/>
          <a:cs typeface="Arial" panose="020B0604020202020204" pitchFamily="34" charset="0"/>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Cu Results</c:v>
          </c:tx>
          <c:spPr>
            <a:ln w="6350" cap="rnd">
              <a:solidFill>
                <a:sysClr val="windowText" lastClr="000000"/>
              </a:solidFill>
              <a:round/>
            </a:ln>
            <a:effectLst/>
          </c:spPr>
          <c:marker>
            <c:symbol val="none"/>
          </c:marker>
          <c:xVal>
            <c:numRef>
              <c:f>Cu_D2!$I$4:$I$39</c:f>
              <c:numCache>
                <c:formatCode>General</c:formatCode>
                <c:ptCount val="36"/>
                <c:pt idx="0">
                  <c:v>2359.89</c:v>
                </c:pt>
                <c:pt idx="1">
                  <c:v>2321.59</c:v>
                </c:pt>
                <c:pt idx="2">
                  <c:v>2290.59</c:v>
                </c:pt>
                <c:pt idx="3">
                  <c:v>2260.29</c:v>
                </c:pt>
                <c:pt idx="4">
                  <c:v>2208.39</c:v>
                </c:pt>
                <c:pt idx="5">
                  <c:v>2122.89</c:v>
                </c:pt>
                <c:pt idx="6">
                  <c:v>1964.89</c:v>
                </c:pt>
                <c:pt idx="7">
                  <c:v>1831.39</c:v>
                </c:pt>
                <c:pt idx="8">
                  <c:v>1755.59</c:v>
                </c:pt>
                <c:pt idx="9">
                  <c:v>1681.59</c:v>
                </c:pt>
                <c:pt idx="10">
                  <c:v>1631.39</c:v>
                </c:pt>
                <c:pt idx="11">
                  <c:v>1564.99</c:v>
                </c:pt>
                <c:pt idx="12">
                  <c:v>1487.59</c:v>
                </c:pt>
                <c:pt idx="13">
                  <c:v>1418.59</c:v>
                </c:pt>
                <c:pt idx="14">
                  <c:v>1365.79</c:v>
                </c:pt>
                <c:pt idx="15">
                  <c:v>1179.19</c:v>
                </c:pt>
                <c:pt idx="16">
                  <c:v>1001.19</c:v>
                </c:pt>
                <c:pt idx="17">
                  <c:v>955.89</c:v>
                </c:pt>
                <c:pt idx="18">
                  <c:v>909.49</c:v>
                </c:pt>
                <c:pt idx="19">
                  <c:v>754.1</c:v>
                </c:pt>
                <c:pt idx="20">
                  <c:v>673.4</c:v>
                </c:pt>
                <c:pt idx="21">
                  <c:v>558</c:v>
                </c:pt>
                <c:pt idx="22">
                  <c:v>455.6</c:v>
                </c:pt>
                <c:pt idx="23">
                  <c:v>434.1</c:v>
                </c:pt>
                <c:pt idx="24">
                  <c:v>413.7</c:v>
                </c:pt>
                <c:pt idx="25">
                  <c:v>393</c:v>
                </c:pt>
                <c:pt idx="26">
                  <c:v>357.5</c:v>
                </c:pt>
                <c:pt idx="27">
                  <c:v>324</c:v>
                </c:pt>
                <c:pt idx="28">
                  <c:v>295.5</c:v>
                </c:pt>
                <c:pt idx="29">
                  <c:v>273.3</c:v>
                </c:pt>
                <c:pt idx="30">
                  <c:v>242</c:v>
                </c:pt>
                <c:pt idx="31">
                  <c:v>180.6</c:v>
                </c:pt>
                <c:pt idx="32">
                  <c:v>123.6</c:v>
                </c:pt>
                <c:pt idx="33">
                  <c:v>81</c:v>
                </c:pt>
                <c:pt idx="34">
                  <c:v>32.799999999999997</c:v>
                </c:pt>
                <c:pt idx="35">
                  <c:v>0</c:v>
                </c:pt>
              </c:numCache>
            </c:numRef>
          </c:xVal>
          <c:yVal>
            <c:numRef>
              <c:f>Cu_D2!$KJ$4:$KJ$39</c:f>
              <c:numCache>
                <c:formatCode>General</c:formatCode>
                <c:ptCount val="36"/>
                <c:pt idx="0">
                  <c:v>0.42</c:v>
                </c:pt>
                <c:pt idx="1">
                  <c:v>0.411374533099645</c:v>
                </c:pt>
                <c:pt idx="2">
                  <c:v>0.40535345970766101</c:v>
                </c:pt>
                <c:pt idx="3">
                  <c:v>0.39765424606571098</c:v>
                </c:pt>
                <c:pt idx="4">
                  <c:v>0.36459456710100602</c:v>
                </c:pt>
                <c:pt idx="5">
                  <c:v>0.33630008064843098</c:v>
                </c:pt>
                <c:pt idx="6">
                  <c:v>0.28024343681852598</c:v>
                </c:pt>
                <c:pt idx="7">
                  <c:v>0.26733500615925698</c:v>
                </c:pt>
                <c:pt idx="8">
                  <c:v>0.25716529664636101</c:v>
                </c:pt>
                <c:pt idx="9">
                  <c:v>0.25034526348181702</c:v>
                </c:pt>
                <c:pt idx="10">
                  <c:v>0.241634150793965</c:v>
                </c:pt>
                <c:pt idx="11">
                  <c:v>0.22974906512458301</c:v>
                </c:pt>
                <c:pt idx="12">
                  <c:v>0.21455779589291299</c:v>
                </c:pt>
                <c:pt idx="13">
                  <c:v>0.20370037242354</c:v>
                </c:pt>
                <c:pt idx="14">
                  <c:v>0.15743965258828399</c:v>
                </c:pt>
                <c:pt idx="15">
                  <c:v>0.134032745711435</c:v>
                </c:pt>
                <c:pt idx="16">
                  <c:v>0.129768358821271</c:v>
                </c:pt>
                <c:pt idx="17">
                  <c:v>0.124370936621764</c:v>
                </c:pt>
                <c:pt idx="18">
                  <c:v>0.116959960542001</c:v>
                </c:pt>
                <c:pt idx="19">
                  <c:v>0.113574995016631</c:v>
                </c:pt>
                <c:pt idx="20">
                  <c:v>0.109830647813123</c:v>
                </c:pt>
                <c:pt idx="21">
                  <c:v>9.8636195880402594E-2</c:v>
                </c:pt>
                <c:pt idx="22">
                  <c:v>9.4655876725322205E-2</c:v>
                </c:pt>
                <c:pt idx="23">
                  <c:v>9.2780390603391896E-2</c:v>
                </c:pt>
                <c:pt idx="24">
                  <c:v>9.0595223467921801E-2</c:v>
                </c:pt>
                <c:pt idx="25">
                  <c:v>8.8501611030864402E-2</c:v>
                </c:pt>
                <c:pt idx="26">
                  <c:v>8.7330501865017104E-2</c:v>
                </c:pt>
                <c:pt idx="27">
                  <c:v>8.5497165587139407E-2</c:v>
                </c:pt>
                <c:pt idx="28">
                  <c:v>8.1365827619726702E-2</c:v>
                </c:pt>
                <c:pt idx="29">
                  <c:v>7.3749412983031407E-2</c:v>
                </c:pt>
                <c:pt idx="30">
                  <c:v>6.5057594390410603E-2</c:v>
                </c:pt>
                <c:pt idx="31">
                  <c:v>6.3505779237652799E-2</c:v>
                </c:pt>
                <c:pt idx="32">
                  <c:v>6.2629013315596296E-2</c:v>
                </c:pt>
                <c:pt idx="33">
                  <c:v>6.1406592191429403E-2</c:v>
                </c:pt>
                <c:pt idx="34">
                  <c:v>6.08243207895664E-2</c:v>
                </c:pt>
                <c:pt idx="35">
                  <c:v>6.0824325044431103E-2</c:v>
                </c:pt>
              </c:numCache>
            </c:numRef>
          </c:yVal>
          <c:smooth val="0"/>
          <c:extLst>
            <c:ext xmlns:c16="http://schemas.microsoft.com/office/drawing/2014/chart" uri="{C3380CC4-5D6E-409C-BE32-E72D297353CC}">
              <c16:uniqueId val="{00000000-C5FF-4936-9FF0-0B7EDDE81997}"/>
            </c:ext>
          </c:extLst>
        </c:ser>
        <c:ser>
          <c:idx val="1"/>
          <c:order val="1"/>
          <c:tx>
            <c:v>Cu Obs</c:v>
          </c:tx>
          <c:spPr>
            <a:ln w="25400" cap="rnd">
              <a:noFill/>
              <a:round/>
            </a:ln>
            <a:effectLst/>
          </c:spPr>
          <c:marker>
            <c:symbol val="circle"/>
            <c:size val="5"/>
            <c:spPr>
              <a:solidFill>
                <a:srgbClr val="FF0000"/>
              </a:solidFill>
              <a:ln w="9525">
                <a:solidFill>
                  <a:srgbClr val="FF0000"/>
                </a:solidFill>
              </a:ln>
              <a:effectLst/>
            </c:spPr>
          </c:marker>
          <c:xVal>
            <c:numRef>
              <c:f>Cu_D2!$B$8:$B$11</c:f>
              <c:numCache>
                <c:formatCode>General</c:formatCode>
                <c:ptCount val="4"/>
                <c:pt idx="0">
                  <c:v>2260.29</c:v>
                </c:pt>
                <c:pt idx="1">
                  <c:v>1631.39</c:v>
                </c:pt>
                <c:pt idx="2">
                  <c:v>909.49</c:v>
                </c:pt>
                <c:pt idx="3">
                  <c:v>434.1</c:v>
                </c:pt>
              </c:numCache>
            </c:numRef>
          </c:xVal>
          <c:yVal>
            <c:numRef>
              <c:f>Cu_D2!$C$8:$C$11</c:f>
              <c:numCache>
                <c:formatCode>General</c:formatCode>
                <c:ptCount val="4"/>
                <c:pt idx="0">
                  <c:v>0.42</c:v>
                </c:pt>
                <c:pt idx="2">
                  <c:v>0.18</c:v>
                </c:pt>
                <c:pt idx="3">
                  <c:v>0.09</c:v>
                </c:pt>
              </c:numCache>
            </c:numRef>
          </c:yVal>
          <c:smooth val="0"/>
          <c:extLst>
            <c:ext xmlns:c16="http://schemas.microsoft.com/office/drawing/2014/chart" uri="{C3380CC4-5D6E-409C-BE32-E72D297353CC}">
              <c16:uniqueId val="{00000001-C5FF-4936-9FF0-0B7EDDE81997}"/>
            </c:ext>
          </c:extLst>
        </c:ser>
        <c:dLbls>
          <c:showLegendKey val="0"/>
          <c:showVal val="0"/>
          <c:showCatName val="0"/>
          <c:showSerName val="0"/>
          <c:showPercent val="0"/>
          <c:showBubbleSize val="0"/>
        </c:dLbls>
        <c:axId val="722297856"/>
        <c:axId val="726123248"/>
      </c:scatterChart>
      <c:valAx>
        <c:axId val="722297856"/>
        <c:scaling>
          <c:orientation val="minMax"/>
          <c:max val="236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GB"/>
                  <a:t>Distance from Downstream (m)</a:t>
                </a:r>
              </a:p>
            </c:rich>
          </c:tx>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726123248"/>
        <c:crosses val="autoZero"/>
        <c:crossBetween val="midCat"/>
      </c:valAx>
      <c:valAx>
        <c:axId val="7261232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GB"/>
                  <a:t>Cu (mg/L)</a:t>
                </a:r>
              </a:p>
            </c:rich>
          </c:tx>
          <c:overlay val="0"/>
          <c:spPr>
            <a:noFill/>
            <a:ln>
              <a:noFill/>
            </a:ln>
            <a:effectLst/>
          </c:spPr>
          <c:txPr>
            <a:bodyPr rot="-540000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722297856"/>
        <c:crosses val="autoZero"/>
        <c:crossBetween val="midCat"/>
        <c:majorUnit val="0.1"/>
      </c:valAx>
      <c:spPr>
        <a:noFill/>
        <a:ln>
          <a:no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700">
          <a:latin typeface="Arial" panose="020B0604020202020204" pitchFamily="34" charset="0"/>
          <a:cs typeface="Arial" panose="020B060402020202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0F432A1DB4CF412BA9449F084CA5D0F7"/>
        <w:category>
          <w:name w:val="General"/>
          <w:gallery w:val="placeholder"/>
        </w:category>
        <w:types>
          <w:type w:val="bbPlcHdr"/>
        </w:types>
        <w:behaviors>
          <w:behavior w:val="content"/>
        </w:behaviors>
        <w:guid w:val="{0D8D382B-96C1-485D-98C4-2B63652E7B1A}"/>
      </w:docPartPr>
      <w:docPartBody>
        <w:p w:rsidR="00262156" w:rsidRDefault="00546F63" w:rsidP="00546F63">
          <w:pPr>
            <w:pStyle w:val="0F432A1DB4CF412BA9449F084CA5D0F7"/>
          </w:pPr>
          <w:r w:rsidRPr="0038218E">
            <w:rPr>
              <w:rStyle w:val="PlaceholderText"/>
            </w:rPr>
            <w:t>Click or tap here to enter text.</w:t>
          </w:r>
        </w:p>
      </w:docPartBody>
    </w:docPart>
    <w:docPart>
      <w:docPartPr>
        <w:name w:val="7A44FB88993F4F0C8DD6E2E68224F32A"/>
        <w:category>
          <w:name w:val="General"/>
          <w:gallery w:val="placeholder"/>
        </w:category>
        <w:types>
          <w:type w:val="bbPlcHdr"/>
        </w:types>
        <w:behaviors>
          <w:behavior w:val="content"/>
        </w:behaviors>
        <w:guid w:val="{5FF4D682-95CF-4000-AA5B-2F9E157C86C7}"/>
      </w:docPartPr>
      <w:docPartBody>
        <w:p w:rsidR="00262156" w:rsidRDefault="00546F63" w:rsidP="00546F63">
          <w:pPr>
            <w:pStyle w:val="7A44FB88993F4F0C8DD6E2E68224F32A"/>
          </w:pPr>
          <w:r w:rsidRPr="0038218E">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38143E72-7468-488A-8EC0-9D255CA7025F}"/>
      </w:docPartPr>
      <w:docPartBody>
        <w:p w:rsidR="00B77A8A" w:rsidRDefault="00262156">
          <w:r w:rsidRPr="004A6F1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F63"/>
    <w:rsid w:val="001D37CB"/>
    <w:rsid w:val="00217838"/>
    <w:rsid w:val="002416C9"/>
    <w:rsid w:val="00262156"/>
    <w:rsid w:val="003B3F15"/>
    <w:rsid w:val="003F3AC4"/>
    <w:rsid w:val="00456913"/>
    <w:rsid w:val="00546F63"/>
    <w:rsid w:val="0060563D"/>
    <w:rsid w:val="006308A2"/>
    <w:rsid w:val="006750B6"/>
    <w:rsid w:val="007046C4"/>
    <w:rsid w:val="007A70D8"/>
    <w:rsid w:val="00801F5B"/>
    <w:rsid w:val="00811138"/>
    <w:rsid w:val="008F2BBD"/>
    <w:rsid w:val="009F0987"/>
    <w:rsid w:val="00A03061"/>
    <w:rsid w:val="00A169BC"/>
    <w:rsid w:val="00B77A8A"/>
    <w:rsid w:val="00D45D68"/>
    <w:rsid w:val="00E72B21"/>
    <w:rsid w:val="00FF53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62156"/>
    <w:rPr>
      <w:color w:val="666666"/>
    </w:rPr>
  </w:style>
  <w:style w:type="paragraph" w:customStyle="1" w:styleId="0F432A1DB4CF412BA9449F084CA5D0F7">
    <w:name w:val="0F432A1DB4CF412BA9449F084CA5D0F7"/>
    <w:rsid w:val="00546F63"/>
  </w:style>
  <w:style w:type="paragraph" w:customStyle="1" w:styleId="7A44FB88993F4F0C8DD6E2E68224F32A">
    <w:name w:val="7A44FB88993F4F0C8DD6E2E68224F32A"/>
    <w:rsid w:val="00546F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694"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070E415-CA63-4292-9525-3277302695C2}">
  <we:reference id="wa104382081" version="1.55.1.0" store="en-US" storeType="OMEX"/>
  <we:alternateReferences>
    <we:reference id="wa104382081" version="1.55.1.0" store="" storeType="OMEX"/>
  </we:alternateReferences>
  <we:properties>
    <we:property name="MENDELEY_CITATIONS" value="[{&quot;citationID&quot;:&quot;MENDELEY_CITATION_68a75903-ad5d-4974-a3af-13fd79eb5f1d&quot;,&quot;properties&quot;:{&quot;noteIndex&quot;:0},&quot;isEdited&quot;:false,&quot;manualOverride&quot;:{&quot;isManuallyOverridden&quot;:false,&quot;citeprocText&quot;:&quot;[1]&quot;,&quot;manualOverrideText&quot;:&quot;&quot;},&quot;citationTag&quot;:&quot;MENDELEY_CITATION_v3_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&quot;,&quot;citationItems&quot;:[{&quot;id&quot;:&quot;9ca91485-115f-3471-b1fd-880721d6b674&quot;,&quot;itemData&quot;:{&quot;type&quot;:&quot;article-journal&quot;,&quot;id&quot;:&quot;9ca91485-115f-3471-b1fd-880721d6b674&quot;,&quot;title&quot;:&quot;The Assessment of Citarum River Water Quality in Majalaya District, Bandung Regency&quot;,&quot;author&quot;:[{&quot;family&quot;:&quot;Fitriana&quot;,&quot;given&quot;:&quot;Finna Fitriana&quot;,&quot;parse-names&quot;:false,&quot;dropping-particle&quot;:&quot;&quot;,&quot;non-dropping-particle&quot;:&quot;&quot;},{&quot;family&quot;:&quot;Yudianto&quot;,&quot;given&quot;:&quot;Doddi&quot;,&quot;parse-names&quot;:false,&quot;dropping-particle&quot;:&quot;&quot;,&quot;non-dropping-particle&quot;:&quot;&quot;},{&quot;family&quot;:&quot;Sanjaya&quot;,&quot;given&quot;:&quot;S&quot;,&quot;parse-names&quot;:false,&quot;dropping-particle&quot;:&quot;&quot;,&quot;non-dropping-particle&quot;:&quot;&quot;},{&quot;family&quot;:&quot;Roy&quot;,&quot;given&quot;:&quot;Andreas F&quot;,&quot;parse-names&quot;:false,&quot;dropping-particle&quot;:&quot;V&quot;,&quot;non-dropping-particle&quot;:&quot;&quot;},{&quot;family&quot;:&quot;Seo&quot;,&quot;given&quot;:&quot;Yong Chan&quot;,&quot;parse-names&quot;:false,&quot;dropping-particle&quot;:&quot;&quot;,&quot;non-dropping-particle&quot;:&quot;&quot;}],&quot;container-title&quot;:&quot;Rekayasa Sipil&quot;,&quot;DOI&quot;:&quot;10.21776/ub.rekayasasipil.2023.017.01.6&quot;,&quot;ISSN&quot;:&quot;19785658&quot;,&quot;URL&quot;:&quot;https://rekayasasipil.ub.ac.id/index.php/rs/article/view/980&quot;,&quot;issued&quot;:{&quot;date-parts&quot;:[[2023,1,3]]},&quot;page&quot;:&quot;37-46&quot;,&quot;abstract&quot;:&quot;&lt;p&gt;Citarum River is one of the biggest rivers in Java Island and the primary source of Jakarta's water supply. Named the dirtiest river globally in 2013, the Indonesian government is committed to improving the Citarum River's water quality by 2025. However, the Majalaya District, the center of the textile industry area in the upstream part of the Citarum River, is indicated to have significantly contributed to the river pollution. Hence, it is essential to conduct a study to evaluate the water quality in the Citarum River, especially in the Majalaya District. The results showed a considerable decrease in water quality from upstream to downstream of the Citarum River in 2013-2021. Concurrently, it was also found that the factory effluent far exceeded the permissible limit.&lt;/p&gt;&quot;,&quot;issue&quot;:&quot;1&quot;,&quot;volume&quot;:&quot;17&quot;,&quot;container-title-short&quot;:&quot;&quot;},&quot;isTemporary&quot;:false}]},{&quot;citationID&quot;:&quot;MENDELEY_CITATION_eb0ecedb-5139-45f8-8239-6801b4bbcd6e&quot;,&quot;properties&quot;:{&quot;noteIndex&quot;:0},&quot;isEdited&quot;:false,&quot;manualOverride&quot;:{&quot;isManuallyOverridden&quot;:false,&quot;citeprocText&quot;:&quot;[2]&quot;,&quot;manualOverrideText&quot;:&quot;&quot;},&quot;citationTag&quot;:&quot;MENDELEY_CITATION_v3_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&quot;,&quot;citationItems&quot;:[{&quot;id&quot;:&quot;8ad3057d-cbda-355d-a192-4a09529bb48c&quot;,&quot;itemData&quot;:{&quot;type&quot;:&quot;paper-conference&quot;,&quot;id&quot;:&quot;8ad3057d-cbda-355d-a192-4a09529bb48c&quot;,&quot;title&quot;:&quot;Health assessment of the Upper Citarum Watershed, West Java, Indonesia&quot;,&quot;author&quot;:[{&quot;family&quot;:&quot;Sapan&quot;,&quot;given&quot;:&quot;E. G.A.&quot;,&quot;parse-names&quot;:false,&quot;dropping-particle&quot;:&quot;&quot;,&quot;non-dropping-particle&quot;:&quot;&quot;},{&quot;family&quot;:&quot;Riandasenya&quot;,&quot;given&quot;:&quot;S. A.R.&quot;,&quot;parse-names&quot;:false,&quot;dropping-particle&quot;:&quot;&quot;,&quot;non-dropping-particle&quot;:&quot;&quot;},{&quot;family&quot;:&quot;Yulianingsani&quot;,&quot;given&quot;:&quot;&quot;,&quot;parse-names&quot;:false,&quot;dropping-particle&quot;:&quot;&quot;,&quot;non-dropping-particle&quot;:&quot;&quot;},{&quot;family&quot;:&quot;Anisah&quot;,&quot;given&quot;:&quot;&quot;,&quot;parse-names&quot;:false,&quot;dropping-particle&quot;:&quot;&quot;,&quot;non-dropping-particle&quot;:&quot;&quot;},{&quot;family&quot;:&quot;Ilmi&quot;,&quot;given&quot;:&quot;M. K.&quot;,&quot;parse-names&quot;:false,&quot;dropping-particle&quot;:&quot;&quot;,&quot;non-dropping-particle&quot;:&quot;&quot;},{&quot;family&quot;:&quot;Habibie&quot;,&quot;given&quot;:&quot;M. I.&quot;,&quot;parse-names&quot;:false,&quot;dropping-particle&quot;:&quot;&quot;,&quot;non-dropping-particle&quot;:&quot;&quot;}],&quot;container-title&quot;:&quot;IOP Conference Series: Earth and Environmental Science&quot;,&quot;container-title-short&quot;:&quot;IOP Conf Ser Earth Environ Sci&quot;,&quot;DOI&quot;:&quot;10.1088/1755-1315/1109/1/012082&quot;,&quot;ISSN&quot;:&quot;17551315&quot;,&quot;issued&quot;:{&quot;date-parts&quot;:[[2022]]},&quot;abstract&quot;:&quot;Citarum watershed is one of the national priority watersheds. Watershed health assessment activities are used as a reference in efforts to restore watershed conditions and improve watershed management planning. The watershed health was assessed for the Upper Citarum watershed in West Java, Indonesia. Three indicators, including hydrology and land cover were used to assess the watershed health. Hydrology indicators include the Annual Flow Coefficient (KAT) and River Regime Coefficient (KRA). Watershed health level assessment was conducted using Analytical Hierarchy Process (AHP) scoring method. Watershed health levels such as very unhealthy, unhealthy, moderately unhealthy, healthy, and very healthy were obtained by calculating each indicator total number of scores. From the health assessment result of The Upper Citarum watershed, the Annual Flow Coefficient indicator shows an unhealthy level, and River Regime Coefficient indicator shows very unhealthy level. In addition, the land cover indicator shows unhealthy level. Thus, because of a decreased vegetation cover over ten years. Based on the AHP weighting, it was found that The Upper Citarum watershed is at a very unhealthy level. Therefore, according to government regulations about proper watershed management, land cover vegetation must be managed to increase conservation and water quantity to maintain the Citarum watershed's sustainability.&quot;,&quot;publisher&quot;:&quot;Institute of Physics&quot;,&quot;issue&quot;:&quot;1&quot;,&quot;volume&quot;:&quot;1109&quot;},&quot;isTemporary&quot;:false}]},{&quot;citationID&quot;:&quot;MENDELEY_CITATION_c5d3a726-ae7f-400e-92a4-a332a3b7028f&quot;,&quot;properties&quot;:{&quot;noteIndex&quot;:0},&quot;isEdited&quot;:false,&quot;manualOverride&quot;:{&quot;isManuallyOverridden&quot;:false,&quot;citeprocText&quot;:&quot;[3], [4]&quot;,&quot;manualOverrideText&quot;:&quot;&quot;},&quot;citationTag&quot;:&quot;MENDELEY_CITATION_v3_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&quot;,&quot;citationItems&quot;:[{&quot;id&quot;:&quot;7344de3c-418f-3dc8-a8e7-b12435669659&quot;,&quot;itemData&quot;:{&quot;type&quot;:&quot;article-journal&quot;,&quot;id&quot;:&quot;7344de3c-418f-3dc8-a8e7-b12435669659&quot;,&quot;title&quot;:&quot;The distributions of microplastics (MPs) in the Citarum River Basin, West Java, Indonesia&quot;,&quot;author&quot;:[{&quot;family&quot;:&quot;Jeong&quot;,&quot;given&quot;:&quot;Huiho&quot;,&quot;parse-names&quot;:false,&quot;dropping-particle&quot;:&quot;&quot;,&quot;non-dropping-particle&quot;:&quot;&quot;},{&quot;family&quot;:&quot;Novirsa&quot;,&quot;given&quot;:&quot;Randy&quot;,&quot;parse-names&quot;:false,&quot;dropping-particle&quot;:&quot;&quot;,&quot;non-dropping-particle&quot;:&quot;&quot;},{&quot;family&quot;:&quot;Cahya Nugraha&quot;,&quot;given&quot;:&quot;Willy&quot;,&quot;parse-names&quot;:false,&quot;dropping-particle&quot;:&quot;&quot;,&quot;non-dropping-particle&quot;:&quot;&quot;},{&quot;family&quot;:&quot;Addai-Arhin&quot;,&quot;given&quot;:&quot;Sylvester&quot;,&quot;parse-names&quot;:false,&quot;dropping-particle&quot;:&quot;&quot;,&quot;non-dropping-particle&quot;:&quot;&quot;},{&quot;family&quot;:&quot;Dinh&quot;,&quot;given&quot;:&quot;Quang Phan&quot;,&quot;parse-names&quot;:false,&quot;dropping-particle&quot;:&quot;&quot;,&quot;non-dropping-particle&quot;:&quot;&quot;},{&quot;family&quot;:&quot;Fukushima&quot;,&quot;given&quot;:&quot;Satoshi&quot;,&quot;parse-names&quot;:false,&quot;dropping-particle&quot;:&quot;&quot;,&quot;non-dropping-particle&quot;:&quot;&quot;},{&quot;family&quot;:&quot;Fujita&quot;,&quot;given&quot;:&quot;Emiko&quot;,&quot;parse-names&quot;:false,&quot;dropping-particle&quot;:&quot;&quot;,&quot;non-dropping-particle&quot;:&quot;&quot;},{&quot;family&quot;:&quot;Bambang&quot;,&quot;given&quot;:&quot;Wispriyono&quot;,&quot;parse-names&quot;:false,&quot;dropping-particle&quot;:&quot;&quot;,&quot;non-dropping-particle&quot;:&quot;&quot;},{&quot;family&quot;:&quot;Kameda&quot;,&quot;given&quot;:&quot;Yutaka&quot;,&quot;parse-names&quot;:false,&quot;dropping-particle&quot;:&quot;&quot;,&quot;non-dropping-particle&quot;:&quot;&quot;},{&quot;family&quot;:&quot;Ishibashi&quot;,&quot;given&quot;:&quot;Yasuhiro&quot;,&quot;parse-names&quot;:false,&quot;dropping-particle&quot;:&quot;&quot;,&quot;non-dropping-particle&quot;:&quot;&quot;},{&quot;family&quot;:&quot;Arizono&quot;,&quot;given&quot;:&quot;Koji&quot;,&quot;parse-names&quot;:false,&quot;dropping-particle&quot;:&quot;&quot;,&quot;non-dropping-particle&quot;:&quot;&quot;}],&quot;container-title&quot;:&quot;Journal of Environment and Safety&quot;,&quot;DOI&quot;:&quot;https://doi.org/10.11162/daikankyo.E21RP0102&quot;,&quot;issued&quot;:{&quot;date-parts&quot;:[[2021]]},&quot;page&quot;:&quot;33-43&quot;,&quot;abstract&quot;:&quot;The MPs pollutions in the surface water of the entire Citarum River, which plays a vital role in riparian people in West Java, Indonesia, were firstly studied with an FT-IR microscope for the shape, size and polymer type of MPs. The MPs were collected in the wet season (St.1-6 in Mar. 2018, St.3-5, 3-a in Jan. 2020). Results showed that the MPs numbers decreased in 2020 due to the rainy events, the mean of 4.2 ± 2.6 (n = 6), and 2.8 ± 5.5 (n = 4) particles/20 mL in 2018 and 2020. Notably, the tributary recorded the highest MPs abundance in 2020 with unknown pollutant sources. The upper area (Wagisagara, St.1) was anticipated pristine water, but the MPs pollution was shown, and the alkyd resin and PET were found in this area, unlike other stations in 2018. The Koyod (St.2), which had intensive textile industries, revealed high MPs pollution with a fiber in the 1000-5000 μm group. Additionally, the central part (Cisirung, St.3) of vast Bandung city showed heavy MPs pollution in 2018. The bioaccumulation of fishes inhabiting this river due to dominant PP (61%) and PE (17%) was concerned. Comparison with other studies indicated inadequate wastewater treatment systems affected the MPs abundance in this basin. In conclusion, a wide range of MPs abundances in the Citarum River Basin was caused by the daily precipitation and the local different pollutant sources.&quot;,&quot;container-title-short&quot;:&quot;&quot;},&quot;isTemporary&quot;:false},{&quot;id&quot;:&quot;82278feb-75a5-3169-8a7b-5581511d0935&quot;,&quot;itemData&quot;:{&quot;type&quot;:&quot;paper-conference&quot;,&quot;id&quot;:&quot;82278feb-75a5-3169-8a7b-5581511d0935&quot;,&quot;title&quot;:&quot;Brief overview of allochtonous phosphorus load on cascade reservoirs in Citarum River Basin, West Java Indonesia&quot;,&quot;author&quot;:[{&quot;family&quot;:&quot;Lukman&quot;,&quot;given&quot;:&quot;L.&quot;,&quot;parse-names&quot;:false,&quot;dropping-particle&quot;:&quot;&quot;,&quot;non-dropping-particle&quot;:&quot;&quot;},{&quot;family&quot;:&quot;Kartamihardja&quot;,&quot;given&quot;:&quot;E. S.&quot;,&quot;parse-names&quot;:false,&quot;dropping-particle&quot;:&quot;&quot;,&quot;non-dropping-particle&quot;:&quot;&quot;},{&quot;family&quot;:&quot;Hariyadi&quot;,&quot;given&quot;:&quot;S.&quot;,&quot;parse-names&quot;:false,&quot;dropping-particle&quot;:&quot;&quot;,&quot;non-dropping-particle&quot;:&quot;&quot;},{&quot;family&quot;:&quot;Sunardi&quot;,&quot;given&quot;:&quot;&quot;,&quot;parse-names&quot;:false,&quot;dropping-particle&quot;:&quot;&quot;,&quot;non-dropping-particle&quot;:&quot;&quot;},{&quot;family&quot;:&quot;Sumiarsa&quot;,&quot;given&quot;:&quot;D.&quot;,&quot;parse-names&quot;:false,&quot;dropping-particle&quot;:&quot;&quot;,&quot;non-dropping-particle&quot;:&quot;&quot;}],&quot;container-title&quot;:&quot;IOP Conference Series: Earth and Environmental Science&quot;,&quot;container-title-short&quot;:&quot;IOP Conf Ser Earth Environ Sci&quot;,&quot;DOI&quot;:&quot;10.1088/1755-1315/1062/1/012021&quot;,&quot;ISSN&quot;:&quot;17551315&quot;,&quot;issued&quot;:{&quot;date-parts&quot;:[[2022]]},&quot;abstract&quot;:&quot;The Citarum River, Indonesia, has undergone degradation due to the pollutants, including phosphorus, that enters the river and the reservoirs of Saguling, Cirata, and Juanda (The official name of Jatiluhur Reservoir). The observations of total phosphorus (TP) load instantaneously had been carried out on the three reservoirs and TP measurements from 8 to 12 August 2019. The TP concentration in the inlets was generally very high (&gt; 0.3 mg L-1), whereas the average TP concentration in Saguling, Cirata, and Juanda Reservoirs was 0.378 mg L-1, 0.343 mg L-1, and 0.324 mg L-1, respectively. Based on the trophic criteria, the condition of the waters in the three reservoirs was hypertrophic. Meanwhile, the average TP level in the Saguling showed the highest level compared to other reservoirs, which is in line with the TP concentration that enters the Saguling Reservoir, which is generally very high. Based on the instantaneous inputs, the loading TP to Saguling, Cirata, and Juanda Reservoirs were 26.471 g sec-1, 36.241 g sec-1, and 55.573 g sec-1, respectively. This indicates that the loading of phosphorus from upstream to downstream tends to increase.&quot;,&quot;publisher&quot;:&quot;Institute of Physics&quot;,&quot;issue&quot;:&quot;1&quot;,&quot;volume&quot;:&quot;1062&quot;},&quot;isTemporary&quot;:false}]},{&quot;citationID&quot;:&quot;MENDELEY_CITATION_ea8bec31-482a-4913-8315-1df4e5c1c5e9&quot;,&quot;properties&quot;:{&quot;noteIndex&quot;:0},&quot;isEdited&quot;:false,&quot;manualOverride&quot;:{&quot;isManuallyOverridden&quot;:false,&quot;citeprocText&quot;:&quot;[5]&quot;,&quot;manualOverrideText&quot;:&quot;&quot;},&quot;citationTag&quot;:&quot;MENDELEY_CITATION_v3_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&quot;,&quot;citationItems&quot;:[{&quot;id&quot;:&quot;5f014592-d66b-30e8-be87-7bfd15dfb69d&quot;,&quot;itemData&quot;:{&quot;type&quot;:&quot;article-journal&quot;,&quot;id&quot;:&quot;5f014592-d66b-30e8-be87-7bfd15dfb69d&quot;,&quot;title&quot;:&quot;Improving Water Quality in the Citarum River through Economic Policy Approaches&quot;,&quot;author&quot;:[{&quot;family&quot;:&quot;Yokosawa&quot;,&quot;given&quot;:&quot;Riku&quot;,&quot;parse-names&quot;:false,&quot;dropping-particle&quot;:&quot;&quot;,&quot;non-dropping-particle&quot;:&quot;&quot;},{&quot;family&quot;:&quot;Mizunoya&quot;,&quot;given&quot;:&quot;Takeshi&quot;,&quot;parse-names&quot;:false,&quot;dropping-particle&quot;:&quot;&quot;,&quot;non-dropping-particle&quot;:&quot;&quot;}],&quot;container-title&quot;:&quot;Sustainability (Switzerland)&quot;,&quot;DOI&quot;:&quot;10.3390/su14095038&quot;,&quot;ISSN&quot;:&quot;20711050&quot;,&quot;issued&quot;:{&quot;date-parts&quot;:[[2022,5,1]]},&quot;abstract&quot;:&quot;This study examines the upper basin of the Citarum River in West Java, Indonesia, to analyze the optimal environmental policy and issues affecting the balance between economic activities and water environment conservation, for example, controlling water quality while maximizing economic activities in the region. The quantitative results derived using model simulation analysis clarifies the study’s issues. An integrated model linking two sub-models describing socio-economic activities and the dynamics of water pollutants was simulated. The model incorporates government subsidies for sewerage system maintenance and septic tank installation as economic policy variables for water quality control. Further, the optimal amount of these subsidies and changes in local economic activities according to water pollution load constraints are derived in a time-series structure for each region from 2015 to 2030. The gross regional product (GRP) maximization problem is solved under the inflow constraints of total nitrogen, total phosphorus, and chemical oxygen demand into the river. The results showed that the most favorable balance between water environment conservation and local economic activities can be achieved by setting the inflow constraint for 2030 at +3% of the 2015 level and the maximum annual cost of the measures at 10 times the current environmental budget of the West Java Province.&quot;,&quot;publisher&quot;:&quot;MDPI&quot;,&quot;issue&quot;:&quot;9&quot;,&quot;volume&quot;:&quot;14&quot;,&quot;container-title-short&quot;:&quot;&quot;},&quot;isTemporary&quot;:false}]},{&quot;citationID&quot;:&quot;MENDELEY_CITATION_7dde1095-2805-4d36-821c-6826d7a482f5&quot;,&quot;properties&quot;:{&quot;noteIndex&quot;:0},&quot;isEdited&quot;:false,&quot;manualOverride&quot;:{&quot;isManuallyOverridden&quot;:false,&quot;citeprocText&quot;:&quot;[6]&quot;,&quot;manualOverrideText&quot;:&quot;&quot;},&quot;citationTag&quot;:&quot;MENDELEY_CITATION_v3_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&quot;,&quot;citationItems&quot;:[{&quot;id&quot;:&quot;ef80ec60-f88c-37ac-a4b1-bea04d9d0b76&quot;,&quot;itemData&quot;:{&quot;type&quot;:&quot;paper-conference&quot;,&quot;id&quot;:&quot;ef80ec60-f88c-37ac-a4b1-bea04d9d0b76&quot;,&quot;title&quot;:&quot;Sustainability Analysis of the Upper Citarum Watershed Based on Water quality, Water quantity, and Landuse Indicators&quot;,&quot;author&quot;:[{&quot;family&quot;:&quot;Marselina&quot;,&quot;given&quot;:&quot;M.&quot;,&quot;parse-names&quot;:false,&quot;dropping-particle&quot;:&quot;&quot;,&quot;non-dropping-particle&quot;:&quot;&quot;},{&quot;family&quot;:&quot;Putri&quot;,&quot;given&quot;:&quot;N. M.&quot;,&quot;parse-names&quot;:false,&quot;dropping-particle&quot;:&quot;&quot;,&quot;non-dropping-particle&quot;:&quot;&quot;}],&quot;container-title&quot;:&quot;IOP Conference Series: Earth and Environmental Science&quot;,&quot;container-title-short&quot;:&quot;IOP Conf Ser Earth Environ Sci&quot;,&quot;DOI&quot;:&quot;10.1088/1755-1315/1065/1/012043&quot;,&quot;ISSN&quot;:&quot;17551315&quot;,&quot;issued&quot;:{&quot;date-parts&quot;:[[2022]]},&quot;abstract&quot;:&quot;River is one of the surface water resources used to meet people's need for daily clean water. Along with the population growth, problems related to waste produced are also increasing and causing environmental pollution, including river water pollution. River sustainability is one of the issues that has attracted the attention of various institutions, one of which is the Citarum River which is one of the sources of raw water for people in West Java. In this study, analysis of the sustainability condition from the upstream of the Citarum watershed was carried out in terms of three indicators, namely water quality, water quantity, and land use. The study was conducted using water quality data at four monitoring points, river water discharge, and land use maps around the upstream of the Citarum watershed. The three types of data were processed separately where water quality data were used to determine the status of water quality using the CCME WQI method, river water discharge data were used to calculate the River Regime Coefficient (RRC) value, and land use data were used to calculate the Land Cover Index (LCI). The index values obtained from each calculation were then analyzed and combined into one value for the Upper Citarum Sustainability Index (UCSI) using the composite index method. The results of this study found that the values of UCSI in the period of April - September 2014 are 0.442; 0.419; 0.415; and 0.403. All these values are categorized in the sub-sustainability class with the interpretation that some of the river functions are slightly damaged. The UCSI value also tends to decrease from time to time towards the un-sustainability class with water quality being the indicator that plays the most role in decreasing the UCSI value in this study.&quot;,&quot;publisher&quot;:&quot;Institute of Physics&quot;,&quot;issue&quot;:&quot;1&quot;,&quot;volume&quot;:&quot;1065&quot;},&quot;isTemporary&quot;:false}]},{&quot;citationID&quot;:&quot;MENDELEY_CITATION_78ea7a86-3f63-4b26-995d-e668d148e99b&quot;,&quot;properties&quot;:{&quot;noteIndex&quot;:0},&quot;isEdited&quot;:false,&quot;manualOverride&quot;:{&quot;isManuallyOverridden&quot;:false,&quot;citeprocText&quot;:&quot;[6]&quot;,&quot;manualOverrideText&quot;:&quot;&quot;},&quot;citationTag&quot;:&quot;MENDELEY_CITATION_v3_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&quot;,&quot;citationItems&quot;:[{&quot;id&quot;:&quot;ef80ec60-f88c-37ac-a4b1-bea04d9d0b76&quot;,&quot;itemData&quot;:{&quot;type&quot;:&quot;paper-conference&quot;,&quot;id&quot;:&quot;ef80ec60-f88c-37ac-a4b1-bea04d9d0b76&quot;,&quot;title&quot;:&quot;Sustainability Analysis of the Upper Citarum Watershed Based on Water quality, Water quantity, and Landuse Indicators&quot;,&quot;author&quot;:[{&quot;family&quot;:&quot;Marselina&quot;,&quot;given&quot;:&quot;M.&quot;,&quot;parse-names&quot;:false,&quot;dropping-particle&quot;:&quot;&quot;,&quot;non-dropping-particle&quot;:&quot;&quot;},{&quot;family&quot;:&quot;Putri&quot;,&quot;given&quot;:&quot;N. M.&quot;,&quot;parse-names&quot;:false,&quot;dropping-particle&quot;:&quot;&quot;,&quot;non-dropping-particle&quot;:&quot;&quot;}],&quot;container-title&quot;:&quot;IOP Conference Series: Earth and Environmental Science&quot;,&quot;container-title-short&quot;:&quot;IOP Conf Ser Earth Environ Sci&quot;,&quot;DOI&quot;:&quot;10.1088/1755-1315/1065/1/012043&quot;,&quot;ISSN&quot;:&quot;17551315&quot;,&quot;issued&quot;:{&quot;date-parts&quot;:[[2022]]},&quot;abstract&quot;:&quot;River is one of the surface water resources used to meet people's need for daily clean water. Along with the population growth, problems related to waste produced are also increasing and causing environmental pollution, including river water pollution. River sustainability is one of the issues that has attracted the attention of various institutions, one of which is the Citarum River which is one of the sources of raw water for people in West Java. In this study, analysis of the sustainability condition from the upstream of the Citarum watershed was carried out in terms of three indicators, namely water quality, water quantity, and land use. The study was conducted using water quality data at four monitoring points, river water discharge, and land use maps around the upstream of the Citarum watershed. The three types of data were processed separately where water quality data were used to determine the status of water quality using the CCME WQI method, river water discharge data were used to calculate the River Regime Coefficient (RRC) value, and land use data were used to calculate the Land Cover Index (LCI). The index values obtained from each calculation were then analyzed and combined into one value for the Upper Citarum Sustainability Index (UCSI) using the composite index method. The results of this study found that the values of UCSI in the period of April - September 2014 are 0.442; 0.419; 0.415; and 0.403. All these values are categorized in the sub-sustainability class with the interpretation that some of the river functions are slightly damaged. The UCSI value also tends to decrease from time to time towards the un-sustainability class with water quality being the indicator that plays the most role in decreasing the UCSI value in this study.&quot;,&quot;publisher&quot;:&quot;Institute of Physics&quot;,&quot;issue&quot;:&quot;1&quot;,&quot;volume&quot;:&quot;1065&quot;},&quot;isTemporary&quot;:false}]},{&quot;citationID&quot;:&quot;MENDELEY_CITATION_1450c062-0701-42d6-b983-c2887afc53fb&quot;,&quot;properties&quot;:{&quot;noteIndex&quot;:0},&quot;isEdited&quot;:false,&quot;manualOverride&quot;:{&quot;isManuallyOverridden&quot;:false,&quot;citeprocText&quot;:&quot;[7]&quot;,&quot;manualOverrideText&quot;:&quot;&quot;},&quot;citationTag&quot;:&quot;MENDELEY_CITATION_v3_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&quot;,&quot;citationItems&quot;:[{&quot;id&quot;:&quot;d776c7e0-72f4-3ccf-94cf-a4394d677511&quot;,&quot;itemData&quot;:{&quot;type&quot;:&quot;article-journal&quot;,&quot;id&quot;:&quot;d776c7e0-72f4-3ccf-94cf-a4394d677511&quot;,&quot;title&quot;:&quot;Investigation of Deoxygenation Rate Determination in Cikakembang River, West Java, Indonesia&quot;,&quot;author&quot;:[{&quot;family&quot;:&quot;Fitriana&quot;,&quot;given&quot;:&quot;Finna&quot;,&quot;parse-names&quot;:false,&quot;dropping-particle&quot;:&quot;&quot;,&quot;non-dropping-particle&quot;:&quot;&quot;},{&quot;family&quot;:&quot;Yudianto&quot;,&quot;given&quot;:&quot;Doddi&quot;,&quot;parse-names&quot;:false,&quot;dropping-particle&quot;:&quot;&quot;,&quot;non-dropping-particle&quot;:&quot;&quot;},{&quot;family&quot;:&quot;Polisar&quot;,&quot;given&quot;:&quot;Andrea&quot;,&quot;parse-names&quot;:false,&quot;dropping-particle&quot;:&quot;&quot;,&quot;non-dropping-particle&quot;:&quot;&quot;},{&quot;family&quot;:&quot;Sanjaya&quot;,&quot;given&quot;:&quot;S&quot;,&quot;parse-names&quot;:false,&quot;dropping-particle&quot;:&quot;&quot;,&quot;non-dropping-particle&quot;:&quot;&quot;}],&quot;container-title&quot;:&quot;Journal of the Civil Engineering Forum&quot;,&quot;DOI&quot;:&quot;10.22146/jcef.8377&quot;,&quot;ISSN&quot;:&quot;2581-1037&quot;,&quot;issued&quot;:{&quot;date-parts&quot;:[[2024,1]]},&quot;page&quot;:&quot;49-58&quot;,&quot;abstract&quot;:&quot;Cikakembang River, a tributary of Citarum River, is situated in the densely populated Majalaya District, renowned for textile production. Direct discharges of domestic and industrial pollutants into the river contribute to substantial pollution, making it crucial to manage pollution levels. This implies that controlling pollution is crucial, as it significantly impacts the condition of Citarum River, already infamous as one of the world most polluted rivers. A key indicator for assessing river water quality is Biological Oxygen Demand (BOD), representing the oxygen required for microorganism-mediated decomposition. This parameter is influenced by deoxygenation rate, denoted as kd. Therefore, this study aimed to analyze the most suitable kd value for Cikakembang River using various empirical methods, including Simple, Fujimoto, Sawyer, Thomas, Fair, and Hydroscience. The result showed that Thomas method provided the most accurate prediction for BOD concentration of the river. In rainy season, Root mean square error (RMSE), mean absolute percentage error (MAPE), and coefficient of determination (R2) values were 0.542, 0.035, and 0.981, respectively, and in dry season, the values were 0.117, 0.009, and 0.999. Additionally, kd value effectively simulated the river water quality using HEC-RAS, yielding satisfactory results. RMSE, MAPE, and R2 values for BOD concentration were 3.551, 0.162, and 0.331 in rainy season and 1.071, 0.100, and 0.812 in dry season. Finally, the modeling result showed that Cikakembang River did not meet the Class 2 Water Quality Standard during both rainy and dry seasons. This finding is critical, as it underscores the severity of the pollution problem in the river and the urgent need for comprehensive and effective management strategies to improve its water quality.&quot;,&quot;publisher&quot;:&quot;Universitas Gadjah Mada&quot;,&quot;container-title-short&quot;:&quot;&quot;},&quot;isTemporary&quot;:false}]},{&quot;citationID&quot;:&quot;MENDELEY_CITATION_07b349c7-a6dd-4530-983b-29db4fdd3706&quot;,&quot;properties&quot;:{&quot;noteIndex&quot;:0},&quot;isEdited&quot;:false,&quot;manualOverride&quot;:{&quot;isManuallyOverridden&quot;:false,&quot;citeprocText&quot;:&quot;[8], [9], [10]&quot;,&quot;manualOverrideText&quot;:&quot;&quot;},&quot;citationTag&quot;:&quot;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&quot;,&quot;citationItems&quot;:[{&quot;id&quot;:&quot;12966f4b-6258-3554-ac72-27eacae5ed6d&quot;,&quot;itemData&quot;:{&quot;type&quot;:&quot;article&quot;,&quot;id&quot;:&quot;12966f4b-6258-3554-ac72-27eacae5ed6d&quot;,&quot;title&quot;:&quot;Recent Advances in the Remediation of Textile-Dye-Containing Wastewater: Prioritizing Human Health and Sustainable Wastewater Treatment&quot;,&quot;author&quot;:[{&quot;family&quot;:&quot;Periyasamy&quot;,&quot;given&quot;:&quot;Aravin Prince&quot;,&quot;parse-names&quot;:false,&quot;dropping-particle&quot;:&quot;&quot;,&quot;non-dropping-particle&quot;:&quot;&quot;}],&quot;container-title&quot;:&quot;Sustainability (Switzerland)&quot;,&quot;DOI&quot;:&quot;10.3390/su16020495&quot;,&quot;ISSN&quot;:&quot;20711050&quot;,&quot;issued&quot;:{&quot;date-parts&quot;:[[2024,1,1]]},&quot;abstract&quot;:&quot;Water makes up most of the Earth, although just 0.3% is usable for people and animals. The huge oceans, icecaps, and other non-potable water resources make up the remaining 99.7%. Water quality has declined in recent decades due to pollution from population growth, industry, unplanned urbanization, and poor water management. The textile industry has significant global importance, although it also stands as a major contributor to wastewater generation, leading to water depletion and ecotoxicity. This issue arises from the extensive utilization of harmful chemicals, notably dyes. The main aim of this review article is to combine and assess the impacts of textile wastewater that contains dyes and chemicals, and to examine their potential consequences on human health, aquatic health, and the environment. Moreover, the dedicated section presents an in-depth review of various environmentally sustainable approaches for the management and treatment of wastewater in the textile industry. These approaches encompass bio adsorbents, biological methods, membrane technology, ion exchange, advanced oxidation processes, as well as physicochemical and biochemical processes. Furthermore, this study also evaluates the contemporary progressions in this particular domain, taking into account the corresponding advantages and disadvantages. Finally, this article highlights the significance of recovering and reusing dyes, alkalis, and electrolytes in wastewater treatment. Additionally, it emphasizes the necessity of performing technoeconomic analyses and life cycle assessments (LCA) on wastewater treatment plants.&quot;,&quot;publisher&quot;:&quot;Multidisciplinary Digital Publishing Institute (MDPI)&quot;,&quot;issue&quot;:&quot;2&quot;,&quot;volume&quot;:&quot;16&quot;,&quot;container-title-short&quot;:&quot;&quot;},&quot;isTemporary&quot;:false},{&quot;id&quot;:&quot;d55a1130-e543-3348-be77-00f43b671864&quot;,&quot;itemData&quot;:{&quot;type&quot;:&quot;article&quot;,&quot;id&quot;:&quot;d55a1130-e543-3348-be77-00f43b671864&quot;,&quot;title&quot;:&quot;Reviewing textile wastewater produced by industries: characteristics, environmental impacts, and treatment strategies&quot;,&quot;author&quot;:[{&quot;family&quot;:&quot;Wang&quot;,&quot;given&quot;:&quot;Xiaoxuan&quot;,&quot;parse-names&quot;:false,&quot;dropping-particle&quot;:&quot;&quot;,&quot;non-dropping-particle&quot;:&quot;&quot;},{&quot;family&quot;:&quot;Jiang&quot;,&quot;given&quot;:&quot;Jinming&quot;,&quot;parse-names&quot;:false,&quot;dropping-particle&quot;:&quot;&quot;,&quot;non-dropping-particle&quot;:&quot;&quot;},{&quot;family&quot;:&quot;Gao&quot;,&quot;given&quot;:&quot;Weijun&quot;,&quot;parse-names&quot;:false,&quot;dropping-particle&quot;:&quot;&quot;,&quot;non-dropping-particle&quot;:&quot;&quot;}],&quot;container-title&quot;:&quot;Water Science and Technology&quot;,&quot;DOI&quot;:&quot;10.2166/wst.2022.088&quot;,&quot;ISSN&quot;:&quot;19969732&quot;,&quot;issued&quot;:{&quot;date-parts&quot;:[[2022,4,1]]},&quot;page&quot;:&quot;2076-2096&quot;,&quot;abstract&quot;:&quot;The textile industry is one of the most intensive industries in chemical products whose wastewater contains hazardous dyes, pigments, dissolved/ suspended solids, and heavy metals. Hence, it is important to effectively treat the wastewater generated by this industry before releasing it into the environment. Although the field of textile wastewater treatment has made tremendous progress, the developed treatment methods should be improved further to make them economically viable and friendly. In this review, characteristics of textile wastewater are introduced. We have primarily focused on the environmental impact and toxicity of textile wastewater. Toxic and harmful contaminants must be removed from textile wastewater to reduce the extent of environmental pollution caused when textile wastewater is released into rivers or reused. Hence, various techniques that are used to treat textile wastewater are discussed. Finally, the challenges faced, and prospects of the methods have been discussed in detail.&quot;,&quot;publisher&quot;:&quot;IWA Publishing&quot;,&quot;issue&quot;:&quot;7&quot;,&quot;volume&quot;:&quot;85&quot;,&quot;container-title-short&quot;:&quot;&quot;},&quot;isTemporary&quot;:false},{&quot;id&quot;:&quot;98897680-dfef-338f-9f2f-d74302e03cf3&quot;,&quot;itemData&quot;:{&quot;type&quot;:&quot;article-journal&quot;,&quot;id&quot;:&quot;98897680-dfef-338f-9f2f-d74302e03cf3&quot;,&quot;title&quot;:&quot;Textile effluent treatment methods and eco-friendly resolution of textile wastewater&quot;,&quot;author&quot;:[{&quot;family&quot;:&quot;Azanaw&quot;,&quot;given&quot;:&quot;Aklilu&quot;,&quot;parse-names&quot;:false,&quot;dropping-particle&quot;:&quot;&quot;,&quot;non-dropping-particle&quot;:&quot;&quot;},{&quot;family&quot;:&quot;Birlie&quot;,&quot;given&quot;:&quot;Bantamlak&quot;,&quot;parse-names&quot;:false,&quot;dropping-particle&quot;:&quot;&quot;,&quot;non-dropping-particle&quot;:&quot;&quot;},{&quot;family&quot;:&quot;Teshome&quot;,&quot;given&quot;:&quot;Bayu&quot;,&quot;parse-names&quot;:false,&quot;dropping-particle&quot;:&quot;&quot;,&quot;non-dropping-particle&quot;:&quot;&quot;},{&quot;family&quot;:&quot;Jemberie&quot;,&quot;given&quot;:&quot;Muluken&quot;,&quot;parse-names&quot;:false,&quot;dropping-particle&quot;:&quot;&quot;,&quot;non-dropping-particle&quot;:&quot;&quot;}],&quot;container-title&quot;:&quot;Case Studies in Chemical and Environmental Engineering&quot;,&quot;DOI&quot;:&quot;10.1016/j.cscee.2022.100230&quot;,&quot;ISSN&quot;:&quot;26660164&quot;,&quot;issued&quot;:{&quot;date-parts&quot;:[[2022,12,1]]},&quot;abstract&quot;:&quot;Textile processing is one of the oldest and most technologically complex industries. This industry's fundamental strength stems from its strong production base of a diverse range of fibers/yarns ranging from natural to synthetic fibers and chemicals. Textile mills and their wastewater have grown in proportion to the increase in demand for textile products, causing a major pollution problem around the world. Many chemicals used in the textile wet-processing like dyes and auxiliary chemicals are hazardous to the environment and human health. The global environmental problems associated with the textile industry are typically those related to water pollution caused by the discharge of untreated effluent, and the use of toxic chemicals, during processing. Textile effluent is a critical environmental concern because it reduces oxygen concentrations due to the presence of hydrosulfides and blocks the passage of light through water bodies, both of which are harmful to the water ecosystem. Thus, this review focuses on textile effluent treatment techniques and the physical-chemical treatment parameters taken into consideration during primary, secondary, and tertiary treatment processes. It also discusses effluent of biological-oxygen-demand (BOD) and chemical-oxygen-demand (COD), pH, total dissolved solids (TDS), total suspended solids (TSS), and turbidity. With more severe restrictions expected in the future, control measures must be implemented to minimize effluent pollution. Textile manufacturing processes encompass pretreatments, dyeing, printing, and finishing operations. These production processes not only consume large amounts of energy and water but also produce a significant amount of waste products. To reduce the impact of textile process pollution, practices like sustainable dyeing, the use of new and less polluting technologies, effective treatment of effluent, and recycling waste processes need to be adapted. Finally, future perspectives, and a summary of the present article are given.&quot;,&quot;publisher&quot;:&quot;Elsevier Ltd&quot;,&quot;volume&quot;:&quot;6&quot;,&quot;container-title-short&quot;:&quot;&quot;},&quot;isTemporary&quot;:false}]},{&quot;citationID&quot;:&quot;MENDELEY_CITATION_633a9c09-ea82-4a5e-8773-eb8dcc54e607&quot;,&quot;properties&quot;:{&quot;noteIndex&quot;:0},&quot;isEdited&quot;:false,&quot;manualOverride&quot;:{&quot;isManuallyOverridden&quot;:false,&quot;citeprocText&quot;:&quot;[11], [12]&quot;,&quot;manualOverrideText&quot;:&quot;&quot;},&quot;citationTag&quot;:&quot;MENDELEY_CITATION_v3_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&quot;,&quot;citationItems&quot;:[{&quot;id&quot;:&quot;466c73a5-c8be-3f59-91b0-4518c51e7a86&quot;,&quot;itemData&quot;:{&quot;type&quot;:&quot;article-journal&quot;,&quot;id&quot;:&quot;466c73a5-c8be-3f59-91b0-4518c51e7a86&quot;,&quot;title&quot;:&quot;Evaluation of Textile Industry Wastewater Treatment as an Effort to Control River Water Pollution in Central Java&quot;,&quot;author&quot;:[{&quot;family&quot;:&quot;Khalish&quot;,&quot;given&quot;:&quot;Marwan&quot;,&quot;parse-names&quot;:false,&quot;dropping-particle&quot;:&quot;&quot;,&quot;non-dropping-particle&quot;:&quot;&quot;},{&quot;family&quot;:&quot;Utami&quot;,&quot;given&quot;:&quot;Ayu&quot;,&quot;parse-names&quot;:false,&quot;dropping-particle&quot;:&quot;&quot;,&quot;non-dropping-particle&quot;:&quot;&quot;},{&quot;family&quot;:&quot;Lukito&quot;,&quot;given&quot;:&quot;Herwin&quot;,&quot;parse-names&quot;:false,&quot;dropping-particle&quot;:&quot;&quot;,&quot;non-dropping-particle&quot;:&quot;&quot;},{&quot;family&quot;:&quot;Herlambang&quot;,&quot;given&quot;:&quot;Susila&quot;,&quot;parse-names&quot;:false,&quot;dropping-particle&quot;:&quot;&quot;,&quot;non-dropping-particle&quot;:&quot;&quot;}],&quot;container-title&quot;:&quot;KnE Life Sciences&quot;,&quot;DOI&quot;:&quot;10.18502/kls.v7i3.11106&quot;,&quot;issued&quot;:{&quot;date-parts&quot;:[[2022,6,7]]},&quot;abstract&quot;:&quot;There is an increasing need for clean water because of the growing population. However, the amount of clean water is decreasing due to poor water resource management. Several textile industry processes result in waste. Color, alkalinity, high TSS, high BOD, and some dyes are known to contain chromium elements and are all common characteristics of liquid waste produced by the textile industry. The goal of this study was to assess the performance of textile waste treatment units in Pringsurat Subdistrict, Magelang Regency, Central Java Province, as part of an effort to reduce river water pollution. Quantitative and qualitative methods were used including through surveys and mapping. Groundwater flow maps, and river water and wastewater levels of BOD, COD, TSS, phenol, chromium, ammonia, and sulfide were used as primary data. Unpleasant odors and discoloration of the river were observed. It is recommended that, to reduce the impact of the wastewater, a constructed wetland with a combination of two types of plants, Iris pseudacorus and Thypa angustifolia, should be used.\r Keywords: Pollution Control, River Pollution, Textile Industry, Wastewater treatment, and Wetland&quot;,&quot;publisher&quot;:&quot;Knowledge E DMCC&quot;,&quot;container-title-short&quot;:&quot;&quot;},&quot;isTemporary&quot;:false},{&quot;id&quot;:&quot;9ba6ff6f-5e15-39c7-91cb-61ae431dbb3c&quot;,&quot;itemData&quot;:{&quot;type&quot;:&quot;article-journal&quot;,&quot;id&quot;:&quot;9ba6ff6f-5e15-39c7-91cb-61ae431dbb3c&quot;,&quot;title&quot;:&quot;Current status of textile wastewater management practices and effluent characteristics in Tanzania&quot;,&quot;author&quot;:[{&quot;family&quot;:&quot;Bidu&quot;,&quot;given&quot;:&quot;J. M.&quot;,&quot;parse-names&quot;:false,&quot;dropping-particle&quot;:&quot;&quot;,&quot;non-dropping-particle&quot;:&quot;&quot;},{&quot;family&quot;:&quot;Bruggen&quot;,&quot;given&quot;:&quot;B.&quot;,&quot;parse-names&quot;:false,&quot;dropping-particle&quot;:&quot;&quot;,&quot;non-dropping-particle&quot;:&quot;van der&quot;},{&quot;family&quot;:&quot;Rwiza&quot;,&quot;given&quot;:&quot;M. J.&quot;,&quot;parse-names&quot;:false,&quot;dropping-particle&quot;:&quot;&quot;,&quot;non-dropping-particle&quot;:&quot;&quot;},{&quot;family&quot;:&quot;Njau&quot;,&quot;given&quot;:&quot;K. N.&quot;,&quot;parse-names&quot;:false,&quot;dropping-particle&quot;:&quot;&quot;,&quot;non-dropping-particle&quot;:&quot;&quot;}],&quot;container-title&quot;:&quot;Water Science and Technology&quot;,&quot;DOI&quot;:&quot;10.2166/wst.2021.133&quot;,&quot;ISSN&quot;:&quot;19969732&quot;,&quot;PMID&quot;:&quot;34032615&quot;,&quot;issued&quot;:{&quot;date-parts&quot;:[[2021,5,15]]},&quot;page&quot;:&quot;2363-2376&quot;,&quot;abstract&quot;:&quot;Textile wastewater from wet processing units is a major environmental problem. Most chemicals, including dyes, are only partly consumed, resulting in highly colored wastewater containing a variety of chemicals released into the environment. This paper gives information on the current management of textile wastewater in Tanzania. A semiquantitative analysis was done to identify the main types of chemicals used in wet processing units, wastewater characteristics and existing wastewater treatment methods in the textile industry. The performance evaluation of the existing wastewater treatment plants is also discussed. The advantages of integrating constructed wetlands with the existing treatment facilities for textile wastewater are explained. It has been observed that pretreatment and dying/printing of the fabrics are the main two processes that produce wastewater in many textile companies. Main pollutants are chemicals used from pretreatment and materials removed from de-sizing, bleaching and scouring processes. Dyes, printing pigments and dye auxiliaries are the main pollutants from the dyeing/printing process. Most of the textile companies in Tanzania are equipped with effluent treatment plants. Wastewater treatment plants have basically similar units, which are coagulation-flocculation, sedimentation through clarifiers and aerobic reactor. However, their effluents do not meet discharge limits stipulated by the Tanzania Bureau of Standards (TBS).&quot;,&quot;publisher&quot;:&quot;IWA Publishing&quot;,&quot;issue&quot;:&quot;10&quot;,&quot;volume&quot;:&quot;83&quot;,&quot;container-title-short&quot;:&quot;&quot;},&quot;isTemporary&quot;:false}]},{&quot;citationID&quot;:&quot;MENDELEY_CITATION_7d57257c-3cf6-414e-a147-bbac66ea11d0&quot;,&quot;properties&quot;:{&quot;noteIndex&quot;:0},&quot;isEdited&quot;:false,&quot;manualOverride&quot;:{&quot;isManuallyOverridden&quot;:false,&quot;citeprocText&quot;:&quot;[13], [14]&quot;,&quot;manualOverrideText&quot;:&quot;&quot;},&quot;citationItems&quot;:[{&quot;id&quot;:&quot;345799a3-5fab-3118-943a-180b12d17af0&quot;,&quot;itemData&quot;:{&quot;type&quot;:&quot;article&quot;,&quot;id&quot;:&quot;345799a3-5fab-3118-943a-180b12d17af0&quot;,&quot;title&quot;:&quot;A critical review of textile industry wastewater: green technologies for the removal of indigo dyes&quot;,&quot;author&quot;:[{&quot;family&quot;:&quot;Castillo-Suárez&quot;,&quot;given&quot;:&quot;L. A.&quot;,&quot;parse-names&quot;:false,&quot;dropping-particle&quot;:&quot;&quot;,&quot;non-dropping-particle&quot;:&quot;&quot;},{&quot;family&quot;:&quot;Sierra-Sánchez&quot;,&quot;given&quot;:&quot;A. G.&quot;,&quot;parse-names&quot;:false,&quot;dropping-particle&quot;:&quot;&quot;,&quot;non-dropping-particle&quot;:&quot;&quot;},{&quot;family&quot;:&quot;Linares-Hernández&quot;,&quot;given&quot;:&quot;I.&quot;,&quot;parse-names&quot;:false,&quot;dropping-particle&quot;:&quot;&quot;,&quot;non-dropping-particle&quot;:&quot;&quot;},{&quot;family&quot;:&quot;Martínez-Miranda&quot;,&quot;given&quot;:&quot;V.&quot;,&quot;parse-names&quot;:false,&quot;dropping-particle&quot;:&quot;&quot;,&quot;non-dropping-particle&quot;:&quot;&quot;},{&quot;family&quot;:&quot;Teutli-Sequeira&quot;,&quot;given&quot;:&quot;E. A.&quot;,&quot;parse-names&quot;:false,&quot;dropping-particle&quot;:&quot;&quot;,&quot;non-dropping-particle&quot;:&quot;&quot;}],&quot;container-title&quot;:&quot;International Journal of Environmental Science and Technology&quot;,&quot;DOI&quot;:&quot;10.1007/s13762-023-04810-2&quot;,&quot;ISSN&quot;:&quot;17352630&quot;,&quot;issued&quot;:{&quot;date-parts&quot;:[[2023,9,1]]},&quot;page&quot;:&quot;10553-10590&quot;,&quot;abstract&quot;:&quot;The denim textile industry represents an important productive sector. It generates wastewater with low biodegradability due to the presence of persistent pollutants, which can produce toxic and carcinogenic compounds; therefore, wastewater treatment reduces risks to aquatic life and public health. This paper presents a review of 172 papers regarding textile industry wastewater treatment for the removal of contaminants, especially indigo dyes used in the denim industry, in the context of green technologies. The physicochemical characteristics of textile wastewater, its environmental and health impacts, and the permissible limit regulations in different countries were reviewed. Biological, physicochemical and advanced oxidation processes for the removal of indigo dyes were reviewed. The goal of this study was to analyze the characteristics of green technologies; however, the research does not clearly demonstrate an effect on energy consumption savings, carbon footprint decreases, and/or waste generation. Advanced oxidation processes showed the highest color removal efficiency (95 and 97% in synthetic or real wastewater, respectively). Photocatalysis and Fenton reactions were the most efficient processes. None of the revised works presented results regarding upscaling for industrial application, and the results should be discussed in terms of the guidelines and maximum permissible limits established by international legislation. New technologies need to be developed and evaluated in a sustainable context with real wastewater.&quot;,&quot;publisher&quot;:&quot;Institute for Ionics&quot;,&quot;issue&quot;:&quot;9&quot;,&quot;volume&quot;:&quot;20&quot;,&quot;container-title-short&quot;:&quot;&quot;},&quot;isTemporary&quot;:false},{&quot;id&quot;:&quot;1a28310b-2c9a-3e6d-b759-cc6d71c5b285&quot;,&quot;itemData&quot;:{&quot;type&quot;:&quot;article-journal&quot;,&quot;id&quot;:&quot;1a28310b-2c9a-3e6d-b759-cc6d71c5b285&quot;,&quot;title&quot;:&quot;Impact of heavy metals on the environment and human health: Novel therapeutic insights to counter the toxicity&quot;,&quot;author&quot;:[{&quot;family&quot;:&quot;Mitra&quot;,&quot;given&quot;:&quot;Saikat&quot;,&quot;parse-names&quot;:false,&quot;dropping-particle&quot;:&quot;&quot;,&quot;non-dropping-particle&quot;:&quot;&quot;},{&quot;family&quot;:&quot;Chakraborty&quot;,&quot;given&quot;:&quot;Arka Jyoti&quot;,&quot;parse-names&quot;:false,&quot;dropping-particle&quot;:&quot;&quot;,&quot;non-dropping-particle&quot;:&quot;&quot;},{&quot;family&quot;:&quot;Tareq&quot;,&quot;given&quot;:&quot;Abu Montakim&quot;,&quot;parse-names&quot;:false,&quot;dropping-particle&quot;:&quot;&quot;,&quot;non-dropping-particle&quot;:&quot;&quot;},{&quot;family&quot;:&quot;Emran&quot;,&quot;given&quot;:&quot;Talha&quot;,&quot;parse-names&quot;:false,&quot;dropping-particle&quot;:&quot;Bin&quot;,&quot;non-dropping-particle&quot;:&quot;&quot;},{&quot;family&quot;:&quot;Nainu&quot;,&quot;given&quot;:&quot;Firzan&quot;,&quot;parse-names&quot;:false,&quot;dropping-particle&quot;:&quot;&quot;,&quot;non-dropping-particle&quot;:&quot;&quot;},{&quot;family&quot;:&quot;Khusro&quot;,&quot;given&quot;:&quot;Ameer&quot;,&quot;parse-names&quot;:false,&quot;dropping-particle&quot;:&quot;&quot;,&quot;non-dropping-particle&quot;:&quot;&quot;},{&quot;family&quot;:&quot;Idris&quot;,&quot;given&quot;:&quot;Abubakr M.&quot;,&quot;parse-names&quot;:false,&quot;dropping-particle&quot;:&quot;&quot;,&quot;non-dropping-particle&quot;:&quot;&quot;},{&quot;family&quot;:&quot;Khandaker&quot;,&quot;given&quot;:&quot;Mayeen Uddin&quot;,&quot;parse-names&quot;:false,&quot;dropping-particle&quot;:&quot;&quot;,&quot;non-dropping-particle&quot;:&quot;&quot;},{&quot;family&quot;:&quot;Osman&quot;,&quot;given&quot;:&quot;Hamid&quot;,&quot;parse-names&quot;:false,&quot;dropping-particle&quot;:&quot;&quot;,&quot;non-dropping-particle&quot;:&quot;&quot;},{&quot;family&quot;:&quot;Alhumaydhi&quot;,&quot;given&quot;:&quot;Fahad A.&quot;,&quot;parse-names&quot;:false,&quot;dropping-particle&quot;:&quot;&quot;,&quot;non-dropping-particle&quot;:&quot;&quot;},{&quot;family&quot;:&quot;Simal-Gandara&quot;,&quot;given&quot;:&quot;Jesus&quot;,&quot;parse-names&quot;:false,&quot;dropping-particle&quot;:&quot;&quot;,&quot;non-dropping-particle&quot;:&quot;&quot;}],&quot;container-title&quot;:&quot;Journal of King Saud University - Science&quot;,&quot;container-title-short&quot;:&quot;J King Saud Univ Sci&quot;,&quot;DOI&quot;:&quot;10.1016/j.jksus.2022.101865&quot;,&quot;ISSN&quot;:&quot;10183647&quot;,&quot;issued&quot;:{&quot;date-parts&quot;:[[2022,4,1]]},&quot;abstract&quot;:&quot;Heavy metals are well-known environmental pollutants owing to their toxicity, longevity in the atmosphere, and ability to accumulate in the human body via bioaccumulation. The pollution of terrestrial and aquatic ecosystems with toxic heavy metals is a major environmental concern that has consequences for public health. Most heavy metals occur naturally, but a few are derived from anthropogenic sources. Heavy metals are characterized by their high atomic mass and toxicity to living organisms. Most heavy metals cause environmental and atmospheric pollution, and may be lethal to humans. Heavy metals can become strongly toxic by mixing with different environmental elements, such as water, soil, and air, and humans and other living organisms can be exposed to them through the food chain. Plenty of experimental studies were performed to appraise the promising treatment options from natural products. Additionally, nanotechnology based treatment options are being constantly developed. As an emerging field, nanotechnology is making substantial advances in the analysis and removal of heavy metals from complicated matrices. Removal of heavy metal has been accomplished by the use of a variety of nanomaterials, including graphene and its derivatives, magnetic nanoparticles, metal oxide nanoparticles, and carbon nanotubes, to name a few. Using nanotechnology for heavy metal analysis and removal from food and water resources provides many benefits over traditional methods. These advantages include a broad linear range, low detection and quantification limits, a high sensitivity, and high selectivity. Therefore this review aimed to explore the environmental consequences of the heavy metals, toxicity to the human health, as well as novel therapeutics development from the natural resources. Additionally, nanotechnological and nanomedicinal applications to treat heavy metal toxicity are also highlighted in this review.&quot;,&quot;publisher&quot;:&quot;Elsevier B.V.&quot;,&quot;issue&quot;:&quot;3&quot;,&quot;volume&quot;:&quot;34&quot;},&quot;isTemporary&quot;:false}],&quot;citationTag&quot;:&quot;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&quot;},{&quot;citationID&quot;:&quot;MENDELEY_CITATION_ff5b8ce0-45aa-44b9-b6aa-6976e3249c1b&quot;,&quot;properties&quot;:{&quot;noteIndex&quot;:0},&quot;isEdited&quot;:false,&quot;manualOverride&quot;:{&quot;isManuallyOverridden&quot;:false,&quot;citeprocText&quot;:&quot;[15]&quot;,&quot;manualOverrideText&quot;:&quot;&quot;},&quot;citationTag&quot;:&quot;MENDELEY_CITATION_v3_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&quot;,&quot;citationItems&quot;:[{&quot;id&quot;:&quot;bf6e9f95-ad49-3c6b-accd-a1020e157054&quot;,&quot;itemData&quot;:{&quot;type&quot;:&quot;article-journal&quot;,&quot;id&quot;:&quot;bf6e9f95-ad49-3c6b-accd-a1020e157054&quot;,&quot;title&quot;:&quot;Water Quality Modelling with Industrial and Domestic Point Source Pollution : a Study Case of Cikakembang River, Majalaya District&quot;,&quot;author&quot;:[{&quot;family&quot;:&quot;Kent&quot;,&quot;given&quot;:&quot;Steven&quot;,&quot;parse-names&quot;:false,&quot;dropping-particle&quot;:&quot;&quot;,&quot;non-dropping-particle&quot;:&quot;&quot;},{&quot;family&quot;:&quot;Yudianto&quot;,&quot;given&quot;:&quot;Doddi&quot;,&quot;parse-names&quot;:false,&quot;dropping-particle&quot;:&quot;&quot;,&quot;non-dropping-particle&quot;:&quot;&quot;},{&quot;family&quot;:&quot;Gao&quot;,&quot;given&quot;:&quot;Cheng&quot;,&quot;parse-names&quot;:false,&quot;dropping-particle&quot;:&quot;&quot;,&quot;non-dropping-particle&quot;:&quot;&quot;},{&quot;family&quot;:&quot;Fitriana&quot;,&quot;given&quot;:&quot;Finna&quot;,&quot;parse-names&quot;:false,&quot;dropping-particle&quot;:&quot;&quot;,&quot;non-dropping-particle&quot;:&quot;&quot;},{&quot;family&quot;:&quot;Wang&quot;,&quot;given&quot;:&quot;Qian&quot;,&quot;parse-names&quot;:false,&quot;dropping-particle&quot;:&quot;&quot;,&quot;non-dropping-particle&quot;:&quot;&quot;}],&quot;container-title&quot;:&quot;Journal of the Civil Engineering Forum&quot;,&quot;DOI&quot;:&quot;10.22146/jcef.11807&quot;,&quot;ISSN&quot;:&quot;2581-1037&quot;,&quot;issued&quot;:{&quot;date-parts&quot;:[[2024,3,28]]},&quot;page&quot;:&quot;151-162&quot;,&quot;abstract&quot;:&quot;Rapid industrial development is one of the leading causes of environmental degradation. The textile industries and the domestic activities in Majalaya District produce wastewater directly discharged into the Cikakembang River. As a result, the Cikakembang River’s water quality has decreased to the point that the water quality cannot be used for daily needs. This study modeled three main parameters in water quality modelling, namely Dissolved Oxygen (DO), Biological Oxygen Demand (BOD), and Chemical Oxygen Demand (COD). Using MATLAB, the three-water quality governing equations originating from the Advection-Dispersion Equation were solved using the Runge Kutte-4 discretization scheme. The numerical modelling was carried out along 2.36 km of the Cikakembang River. All water quality coefficients, such as the DO Saturation (DOsat), the Reaeration Rate (ka), the Dispersion Coefficient (D), the Deoxygenation Rate (kd), and the Decomposition Rate (kc), for the Cikakembang River were estimated using equations developed by existing studies. The estimation of ka and D coefficients requires hydraulic parameters, which in this study were estimated using the HEC-RAS simulation. Meanwhile, kd and kc values were obtained from the calibration and verification process. The Relative Root Mean Square Error (RRMSE) objective function was used to evaluate the results of water quality modelling at three sampling points. In the calibration process, the resultsof water quality modelling produced RRMSE values for the DO, BOD, and COD parameters of 1.99%, 0.36% and 0.92%, respectively. Meanwhile, for the verification process, the RRMSE values for the DO, BOD, and COD parameters are 1.95%, 1.02% and 1.86%. All water quality parameters produce small RRMSE values in the calibration and verification processes. Hence, the water quality model created has good accuracy and stability.&quot;,&quot;publisher&quot;:&quot;Universitas Gadjah Mada&quot;,&quot;container-title-short&quot;:&quot;&quot;},&quot;isTemporary&quot;:false}]},{&quot;citationID&quot;:&quot;MENDELEY_CITATION_2231feb5-4e43-4d28-b7e0-0990fe54cda1&quot;,&quot;properties&quot;:{&quot;noteIndex&quot;:0},&quot;isEdited&quot;:false,&quot;manualOverride&quot;:{&quot;isManuallyOverridden&quot;:false,&quot;citeprocText&quot;:&quot;[16], [17]&quot;,&quot;manualOverrideText&quot;:&quot;&quot;},&quot;citationTag&quot;:&quot;MENDELEY_CITATION_v3_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&quot;,&quot;citationItems&quot;:[{&quot;id&quot;:&quot;2547ce02-8e7f-3456-903d-5a5f157bcfcf&quot;,&quot;itemData&quot;:{&quot;type&quot;:&quot;article-journal&quot;,&quot;id&quot;:&quot;2547ce02-8e7f-3456-903d-5a5f157bcfcf&quot;,&quot;title&quot;:&quot;Numerical Modelling of Pollutant Transport in a Straight Narrow Channel using Upwind Finite Difference Method&quot;,&quot;author&quot;:[{&quot;family&quot;:&quot;Yip&quot;,&quot;given&quot;:&quot;B F&quot;,&quot;parse-names&quot;:false,&quot;dropping-particle&quot;:&quot;&quot;,&quot;non-dropping-particle&quot;:&quot;&quot;},{&quot;family&quot;:&quot;Alias&quot;,&quot;given&quot;:&quot;N A F&quot;,&quot;parse-names&quot;:false,&quot;dropping-particle&quot;:&quot;&quot;,&quot;non-dropping-particle&quot;:&quot;&quot;},{&quot;family&quot;:&quot;Kasiman&quot;,&quot;given&quot;:&quot;E H&quot;,&quot;parse-names&quot;:false,&quot;dropping-particle&quot;:&quot;&quot;,&quot;non-dropping-particle&quot;:&quot;&quot;}],&quot;container-title&quot;:&quot;IOP Conference Series: Materials Science and Engineering&quot;,&quot;container-title-short&quot;:&quot;IOP Conf Ser Mater Sci Eng&quot;,&quot;DOI&quot;:&quot;10.1088/1757-899x/1153/1/012003&quot;,&quot;ISSN&quot;:&quot;1757-8981&quot;,&quot;issued&quot;:{&quot;date-parts&quot;:[[2021,5,1]]},&quot;page&quot;:&quot;012003&quot;,&quot;abstract&quot;:&quot;River pollution has become an increasingly severe issue, resulting in the rapid depletion of freshwater resources. An accurate prediction of the transport of the pollutants is vital for effective mitigation measures. This paper presents the numerical modelling of pollutant transport in a straight narrow channel. The pollutant transport is modelled using an advection-diffusion equation. The equation is discretized using Finite Difference Method (FDM) with an explicit upwind scheme for the temporal term. The resulting system of simultaneous equations is solved using a direct method. The numerical model is validated against an existing analytical solution, and the results show good agreement between numerical prediction and analytical solution. The validated numerical model is applied to different cases of pollutant release mechanisms involving continuous and instantaneous pollutant releases. In both cases, the numerical model can capture the physics of the problem and able to provide valuable information on the time and spatial evolution of pollutant concentration. The model is extendable to higher dimension owing to its simplicity of discretization.&quot;,&quot;publisher&quot;:&quot;IOP Publishing&quot;,&quot;issue&quot;:&quot;1&quot;,&quot;volume&quot;:&quot;1153&quot;},&quot;isTemporary&quot;:false},{&quot;id&quot;:&quot;41350a29-adbb-3912-8151-60a3f3604e87&quot;,&quot;itemData&quot;:{&quot;type&quot;:&quot;article-journal&quot;,&quot;id&quot;:&quot;41350a29-adbb-3912-8151-60a3f3604e87&quot;,&quot;title&quot;:&quot;Analytical solutions of advection–dispersion equation using fuzzy theory&quot;,&quot;author&quot;:[{&quot;family&quot;:&quot;Tzimopoulos&quot;,&quot;given&quot;:&quot;Christos&quot;,&quot;parse-names&quot;:false,&quot;dropping-particle&quot;:&quot;&quot;,&quot;non-dropping-particle&quot;:&quot;&quot;},{&quot;family&quot;:&quot;Papadopoulos&quot;,&quot;given&quot;:&quot;Kyriakos&quot;,&quot;parse-names&quot;:false,&quot;dropping-particle&quot;:&quot;&quot;,&quot;non-dropping-particle&quot;:&quot;&quot;},{&quot;family&quot;:&quot;Evangelides&quot;,&quot;given&quot;:&quot;Christos&quot;,&quot;parse-names&quot;:false,&quot;dropping-particle&quot;:&quot;&quot;,&quot;non-dropping-particle&quot;:&quot;&quot;},{&quot;family&quot;:&quot;Papadopoulos&quot;,&quot;given&quot;:&quot;Basil&quot;,&quot;parse-names&quot;:false,&quot;dropping-particle&quot;:&quot;&quot;,&quot;non-dropping-particle&quot;:&quot;&quot;}],&quot;container-title&quot;:&quot;Desalination and Water Treatment&quot;,&quot;container-title-short&quot;:&quot;Desalination Water Treat&quot;,&quot;DOI&quot;:&quot;10.5004/dwt.2020.25809&quot;,&quot;ISSN&quot;:&quot;19443986&quot;,&quot;issued&quot;:{&quot;date-parts&quot;:[[2020]]},&quot;page&quot;:&quot;302-312&quot;,&quot;abstract&quot;:&quot;The aim of this research is to apply mathematical models for the solution of the one-dimensional convective–dispersive solute transport equation. For the derivation of the advection–dispersion equation it is assumed that the flow in the medium is unidirectional and that the average velocity is constant throughout the length of the flow field. Moreover, it is assumed that the porous medium is homogeneous and isotropic and that no mass transfer occurs between the solid and liquid phases. Unfortunately, the boundary conditions of the problem are not always intuitively apparent and in many cases convey uncertainties. For that reason, the problem is solved by utilizing fuzzy systems and fuzzy logic. The significance and the main advantage of this research is the introduction of fuzzy logic in order to solve similar problems presenting uncertainties. Since the aforementioned problem involves differential equations, a method of generalized Hukuhara derivative for total derivatives was applied, as well as the extension of the corresponding theory, concerning partial derivatives. So the fuzzy problem was transformed in a system of two classical differential equa-tions, which were resolved with a Laplace transformation. The development of the fuzzy concentration profile is presented, as well as the membership functions of concentration. The results have given some beneficial conclusions for the effects of the uncertainties. In conclusion, it is expected that this conception will help the researchers and the engineers to take the right decision in similar problems. It is a special effort in this research to solve an advection–dispersion equation presenting uncertainties in boundaries and to follow the effect of these uncertainties in time.&quot;,&quot;publisher&quot;:&quot;Desalination Publications&quot;,&quot;volume&quot;:&quot;193&quot;},&quot;isTemporary&quot;:false}]},{&quot;citationID&quot;:&quot;MENDELEY_CITATION_65f0470b-ee34-4463-91ae-d018d1c276b5&quot;,&quot;properties&quot;:{&quot;noteIndex&quot;:0},&quot;isEdited&quot;:false,&quot;manualOverride&quot;:{&quot;isManuallyOverridden&quot;:false,&quot;citeprocText&quot;:&quot;[18]&quot;,&quot;manualOverrideText&quot;:&quot;&quot;},&quot;citationTag&quot;:&quot;MENDELEY_CITATION_v3_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&quot;,&quot;citationItems&quot;:[{&quot;id&quot;:&quot;5cb77919-5a21-3931-8a0e-8614e480e881&quot;,&quot;itemData&quot;:{&quot;type&quot;:&quot;chapter&quot;,&quot;id&quot;:&quot;5cb77919-5a21-3931-8a0e-8614e480e881&quot;,&quot;title&quot;:&quot;Numerical Modelling of Heavy Metals Transport Processes in Riverine Basins&quot;,&quot;author&quot;:[{&quot;family&quot;:&quot;Kashefipour&quot;,&quot;given&quot;:&quot;Seyed Mahmood&quot;,&quot;parse-names&quot;:false,&quot;dropping-particle&quot;:&quot;&quot;,&quot;non-dropping-particle&quot;:&quot;&quot;},{&quot;family&quot;:&quot;Roshanfekr&quot;,&quot;given&quot;:&quot;Ali&quot;,&quot;parse-names&quot;:false,&quot;dropping-particle&quot;:&quot;&quot;,&quot;non-dropping-particle&quot;:&quot;&quot;}],&quot;container-title&quot;:&quot;Numerical Modelling&quot;,&quot;DOI&quot;:&quot;10.5772/35931&quot;,&quot;issued&quot;:{&quot;date-parts&quot;:[[2012,3,23]]},&quot;page&quot;:&quot;91-114&quot;,&quot;publisher&quot;:&quot;InTech&quot;,&quot;container-title-short&quot;:&quot;&quot;},&quot;isTemporary&quot;:false}]},{&quot;citationID&quot;:&quot;MENDELEY_CITATION_54ab174b-a471-4b96-96e7-48e8356f79e8&quot;,&quot;properties&quot;:{&quot;noteIndex&quot;:0},&quot;isEdited&quot;:false,&quot;manualOverride&quot;:{&quot;isManuallyOverridden&quot;:false,&quot;citeprocText&quot;:&quot;[19]&quot;,&quot;manualOverrideText&quot;:&quot;&quot;},&quot;citationTag&quot;:&quot;MENDELEY_CITATION_v3_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&quot;,&quot;citationItems&quot;:[{&quot;id&quot;:&quot;0a68ebc0-609c-322c-ba8b-daf34b71bc75&quot;,&quot;itemData&quot;:{&quot;type&quot;:&quot;article-journal&quot;,&quot;id&quot;:&quot;0a68ebc0-609c-322c-ba8b-daf34b71bc75&quot;,&quot;title&quot;:&quot;Simulation and modelling of heavy metals and water quality parameters in the river&quot;,&quot;author&quot;:[{&quot;family&quot;:&quot;Poshtegal&quot;,&quot;given&quot;:&quot;Maryam Khalilzadeh&quot;,&quot;parse-names&quot;:false,&quot;dropping-particle&quot;:&quot;&quot;,&quot;non-dropping-particle&quot;:&quot;&quot;},{&quot;family&quot;:&quot;Mirbagheri&quot;,&quot;given&quot;:&quot;Seyed Ahmad&quot;,&quot;parse-names&quot;:false,&quot;dropping-particle&quot;:&quot;&quot;,&quot;non-dropping-particle&quot;:&quot;&quot;}],&quot;container-title&quot;:&quot;Scientific Reports&quot;,&quot;container-title-short&quot;:&quot;Sci Rep&quot;,&quot;DOI&quot;:&quot;10.1038/s41598-023-29878-1&quot;,&quot;ISSN&quot;:&quot;20452322&quot;,&quot;PMID&quot;:&quot;36810598&quot;,&quot;issued&quot;:{&quot;date-parts&quot;:[[2023,12,1]]},&quot;abstract&quot;:&quot;A one-dimensional qualitative model was created for this study’s modelling and phase transfer of the heavy metal dissolved in the river. The advection–diffusion equation considers the environmental variables temperature, dissolved oxygen, pH, and electrical conductivity as influencing parameters on the change in the concentration of the dissolved phase of heavy metals lead, cadmium, and zinc in springtime and winter. Hec-Ras hydrodynamic model and Qual2kw qualitative model have been used to determine the hydrodynamic and environmental parameters in the created model. The approach of minimizing simulation errors and Vba coding was employed to identify the constant coefficients for these relations, and the linear relation incorporating all of the parameters is thought to be the final connection. In order to simulate and calculate the concentration of the heavy metals in the dissolved phase at each site, the kinetic coefficient of the reaction corresponding to that point should be employed because the kinetic coefficient of the reaction varies in different portions of the river. Additionally, if the above mentioned environmental parameters are used in the spring and winter term of advection–diffusion equations, the accuracy of the developed model significantly improves, and the effect of other qualitative parameters is negligible, indicating that the model is effective at simulating the dissolved phase of heavy metals in the river.&quot;,&quot;publisher&quot;:&quot;Nature Research&quot;,&quot;issue&quot;:&quot;1&quot;,&quot;volume&quot;:&quot;13&quot;},&quot;isTemporary&quot;:false}]},{&quot;citationID&quot;:&quot;MENDELEY_CITATION_7cd36dc8-b00e-4c51-9274-75a51849adc9&quot;,&quot;properties&quot;:{&quot;noteIndex&quot;:0},&quot;isEdited&quot;:false,&quot;manualOverride&quot;:{&quot;isManuallyOverridden&quot;:false,&quot;citeprocText&quot;:&quot;[20], [21]&quot;,&quot;manualOverrideText&quot;:&quot;&quot;},&quot;citationTag&quot;:&quot;MENDELEY_CITATION_v3_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&quot;,&quot;citationItems&quot;:[{&quot;id&quot;:&quot;2f72210f-ccd8-39eb-a05e-9ae1d6549605&quot;,&quot;itemData&quot;:{&quot;type&quot;:&quot;article-journal&quot;,&quot;id&quot;:&quot;2f72210f-ccd8-39eb-a05e-9ae1d6549605&quot;,&quot;title&quot;:&quot;Efficient Numerical Method for Solving a Quadratic Riccati Differential Equation&quot;,&quot;author&quot;:[{&quot;family&quot;:&quot;Yirga&quot;,&quot;given&quot;:&quot;Wendafrash Seyid&quot;,&quot;parse-names&quot;:false,&quot;dropping-particle&quot;:&quot;&quot;,&quot;non-dropping-particle&quot;:&quot;&quot;},{&quot;family&quot;:&quot;Gelu&quot;,&quot;given&quot;:&quot;Fasika Wondimu&quot;,&quot;parse-names&quot;:false,&quot;dropping-particle&quot;:&quot;&quot;,&quot;non-dropping-particle&quot;:&quot;&quot;},{&quot;family&quot;:&quot;Melesse&quot;,&quot;given&quot;:&quot;Wondwosen Gebeyaw&quot;,&quot;parse-names&quot;:false,&quot;dropping-particle&quot;:&quot;&quot;,&quot;non-dropping-particle&quot;:&quot;&quot;},{&quot;family&quot;:&quot;Duressa&quot;,&quot;given&quot;:&quot;Gemechis File&quot;,&quot;parse-names&quot;:false,&quot;dropping-particle&quot;:&quot;&quot;,&quot;non-dropping-particle&quot;:&quot;&quot;}],&quot;container-title&quot;:&quot;Abstract and Applied Analysis&quot;,&quot;DOI&quot;:&quot;10.1155/2024/1433858&quot;,&quot;ISSN&quot;:&quot;16870409&quot;,&quot;issued&quot;:{&quot;date-parts&quot;:[[2024]]},&quot;abstract&quot;:&quot;This study presents families of the fourth-order Runge-Kutta methods for solving a quadratic Riccati differential equation. From these families, the England version is more efficient than other fourth-order Runge-Kutta methods and practically well-suited for solving initial value problems in general and quadratic Riccati differential equation in particular. The stability analysis of the present method is well-established. In order to verify the accuracy, we compared the numerical solutions obtained using the England version of fourth-order Runge-Kutta method with the recently published works reported in the literature. Several counter examples are solved using the present methods to demonstrate their reliability and efficiency.&quot;,&quot;publisher&quot;:&quot;Hindawi Limited&quot;,&quot;volume&quot;:&quot;2024&quot;,&quot;container-title-short&quot;:&quot;&quot;},&quot;isTemporary&quot;:false},{&quot;id&quot;:&quot;41b9d7d8-05bd-3ef5-968a-ac51dc27eacb&quot;,&quot;itemData&quot;:{&quot;type&quot;:&quot;article-journal&quot;,&quot;id&quot;:&quot;41b9d7d8-05bd-3ef5-968a-ac51dc27eacb&quot;,&quot;title&quot;:&quot;Comparison of Numerical Simulation of Epidemiological Model between Euler Method with 4 th Order Runge Kutta Method&quot;,&quot;author&quot;:[{&quot;family&quot;:&quot;Ashgi&quot;,&quot;given&quot;:&quot;Rizky&quot;,&quot;parse-names&quot;:false,&quot;dropping-particle&quot;:&quot;&quot;,&quot;non-dropping-particle&quot;:&quot;&quot;},{&quot;family&quot;:&quot;Andhika&quot;,&quot;given&quot;:&quot;Mochammad&quot;,&quot;parse-names&quot;:false,&quot;dropping-particle&quot;:&quot;&quot;,&quot;non-dropping-particle&quot;:&quot;&quot;},{&quot;family&quot;:&quot;Pratama&quot;,&quot;given&quot;:&quot;Aji&quot;,&quot;parse-names&quot;:false,&quot;dropping-particle&quot;:&quot;&quot;,&quot;non-dropping-particle&quot;:&quot;&quot;},{&quot;family&quot;:&quot;Purwani&quot;,&quot;given&quot;:&quot;Sri&quot;,&quot;parse-names&quot;:false,&quot;dropping-particle&quot;:&quot;&quot;,&quot;non-dropping-particle&quot;:&quot;&quot;}],&quot;container-title&quot;:&quot;International Journal of Global Operations Research&quot;,&quot;ISSN&quot;:&quot;2723-1739&quot;,&quot;URL&quot;:&quot;http://www.iorajournal.org/index.php/ijgor/index&quot;,&quot;issued&quot;:{&quot;date-parts&quot;:[[2021]]},&quot;page&quot;:&quot;37-44&quot;,&quot;abstract&quot;:&quot;Coronavirus Disease 2019 has become global pandemic in the world. Since its appearance, many researchers in world try to understand the disease, including mathematics researchers. In mathematics, many approaches are developed to study the disease. One of them is to understand the spreading of the disease by constructing an epidemiology model. In this approach, a system of differential equations is formed to understand the spread of the disease from a population. This is achieved by using the SIR model to solve the system, two numerical methods are used, namely Euler Method and 4 th order Runge-Kutta. In this paper, we study the performance and comparison of both methods in solving the model. The result in this paper that in the running process of solving it turns out that using the euler method is faster than using the 4 th order Runge-Kutta method and the differences of solutions between the two methods are large.&quot;,&quot;issue&quot;:&quot;1&quot;,&quot;volume&quot;:&quot;2&quot;,&quot;container-title-short&quot;:&quot;&quot;},&quot;isTemporary&quot;:false}]},{&quot;citationID&quot;:&quot;MENDELEY_CITATION_fd1b938e-6611-4f9e-b300-3eb98b858b4b&quot;,&quot;properties&quot;:{&quot;noteIndex&quot;:0},&quot;isEdited&quot;:false,&quot;manualOverride&quot;:{&quot;isManuallyOverridden&quot;:false,&quot;citeprocText&quot;:&quot;[15]&quot;,&quot;manualOverrideText&quot;:&quot;&quot;},&quot;citationTag&quot;:&quot;MENDELEY_CITATION_v3_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&quot;,&quot;citationItems&quot;:[{&quot;id&quot;:&quot;bf6e9f95-ad49-3c6b-accd-a1020e157054&quot;,&quot;itemData&quot;:{&quot;type&quot;:&quot;article-journal&quot;,&quot;id&quot;:&quot;bf6e9f95-ad49-3c6b-accd-a1020e157054&quot;,&quot;title&quot;:&quot;Water Quality Modelling with Industrial and Domestic Point Source Pollution : a Study Case of Cikakembang River, Majalaya District&quot;,&quot;author&quot;:[{&quot;family&quot;:&quot;Kent&quot;,&quot;given&quot;:&quot;Steven&quot;,&quot;parse-names&quot;:false,&quot;dropping-particle&quot;:&quot;&quot;,&quot;non-dropping-particle&quot;:&quot;&quot;},{&quot;family&quot;:&quot;Yudianto&quot;,&quot;given&quot;:&quot;Doddi&quot;,&quot;parse-names&quot;:false,&quot;dropping-particle&quot;:&quot;&quot;,&quot;non-dropping-particle&quot;:&quot;&quot;},{&quot;family&quot;:&quot;Gao&quot;,&quot;given&quot;:&quot;Cheng&quot;,&quot;parse-names&quot;:false,&quot;dropping-particle&quot;:&quot;&quot;,&quot;non-dropping-particle&quot;:&quot;&quot;},{&quot;family&quot;:&quot;Fitriana&quot;,&quot;given&quot;:&quot;Finna&quot;,&quot;parse-names&quot;:false,&quot;dropping-particle&quot;:&quot;&quot;,&quot;non-dropping-particle&quot;:&quot;&quot;},{&quot;family&quot;:&quot;Wang&quot;,&quot;given&quot;:&quot;Qian&quot;,&quot;parse-names&quot;:false,&quot;dropping-particle&quot;:&quot;&quot;,&quot;non-dropping-particle&quot;:&quot;&quot;}],&quot;container-title&quot;:&quot;Journal of the Civil Engineering Forum&quot;,&quot;DOI&quot;:&quot;10.22146/jcef.11807&quot;,&quot;ISSN&quot;:&quot;2581-1037&quot;,&quot;issued&quot;:{&quot;date-parts&quot;:[[2024,3,28]]},&quot;page&quot;:&quot;151-162&quot;,&quot;abstract&quot;:&quot;Rapid industrial development is one of the leading causes of environmental degradation. The textile industries and the domestic activities in Majalaya District produce wastewater directly discharged into the Cikakembang River. As a result, the Cikakembang River’s water quality has decreased to the point that the water quality cannot be used for daily needs. This study modeled three main parameters in water quality modelling, namely Dissolved Oxygen (DO), Biological Oxygen Demand (BOD), and Chemical Oxygen Demand (COD). Using MATLAB, the three-water quality governing equations originating from the Advection-Dispersion Equation were solved using the Runge Kutte-4 discretization scheme. The numerical modelling was carried out along 2.36 km of the Cikakembang River. All water quality coefficients, such as the DO Saturation (DOsat), the Reaeration Rate (ka), the Dispersion Coefficient (D), the Deoxygenation Rate (kd), and the Decomposition Rate (kc), for the Cikakembang River were estimated using equations developed by existing studies. The estimation of ka and D coefficients requires hydraulic parameters, which in this study were estimated using the HEC-RAS simulation. Meanwhile, kd and kc values were obtained from the calibration and verification process. The Relative Root Mean Square Error (RRMSE) objective function was used to evaluate the results of water quality modelling at three sampling points. In the calibration process, the resultsof water quality modelling produced RRMSE values for the DO, BOD, and COD parameters of 1.99%, 0.36% and 0.92%, respectively. Meanwhile, for the verification process, the RRMSE values for the DO, BOD, and COD parameters are 1.95%, 1.02% and 1.86%. All water quality parameters produce small RRMSE values in the calibration and verification processes. Hence, the water quality model created has good accuracy and stability.&quot;,&quot;publisher&quot;:&quot;Universitas Gadjah Mada&quot;,&quot;container-title-short&quot;:&quot;&quot;},&quot;isTemporary&quot;:false}]},{&quot;citationID&quot;:&quot;MENDELEY_CITATION_cd324196-62f1-42bf-b6ba-8ba015d22976&quot;,&quot;properties&quot;:{&quot;noteIndex&quot;:0},&quot;isEdited&quot;:false,&quot;manualOverride&quot;:{&quot;isManuallyOverridden&quot;:false,&quot;citeprocText&quot;:&quot;[22]&quot;,&quot;manualOverrideText&quot;:&quot;&quot;},&quot;citationTag&quot;:&quot;MENDELEY_CITATION_v3_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&quot;,&quot;citationItems&quot;:[{&quot;id&quot;:&quot;ea114d4c-a214-311a-8ebc-18ed03880757&quot;,&quot;itemData&quot;:{&quot;type&quot;:&quot;article&quot;,&quot;id&quot;:&quot;ea114d4c-a214-311a-8ebc-18ed03880757&quot;,&quot;title&quot;:&quot;Evaluation of empirical models for predicting monthly mean horizontal diffuse solar radiation&quot;,&quot;author&quot;:[{&quot;family&quot;:&quot;Despotovic&quot;,&quot;given&quot;:&quot;Milan&quot;,&quot;parse-names&quot;:false,&quot;dropping-particle&quot;:&quot;&quot;,&quot;non-dropping-particle&quot;:&quot;&quot;},{&quot;family&quot;:&quot;Nedic&quot;,&quot;given&quot;:&quot;Vladimir&quot;,&quot;parse-names&quot;:false,&quot;dropping-particle&quot;:&quot;&quot;,&quot;non-dropping-particle&quot;:&quot;&quot;},{&quot;family&quot;:&quot;Despotovic&quot;,&quot;given&quot;:&quot;Danijela&quot;,&quot;parse-names&quot;:false,&quot;dropping-particle&quot;:&quot;&quot;,&quot;non-dropping-particle&quot;:&quot;&quot;},{&quot;family&quot;:&quot;Cvetanovic&quot;,&quot;given&quot;:&quot;Slobodan&quot;,&quot;parse-names&quot;:false,&quot;dropping-particle&quot;:&quot;&quot;,&quot;non-dropping-particle&quot;:&quot;&quot;}],&quot;container-title&quot;:&quot;Renewable and Sustainable Energy Reviews&quot;,&quot;DOI&quot;:&quot;10.1016/j.rser.2015.11.058&quot;,&quot;ISSN&quot;:&quot;18790690&quot;,&quot;issued&quot;:{&quot;date-parts&quot;:[[2016,4,1]]},&quot;page&quot;:&quot;246-260&quot;,&quot;abstract&quot;:&quot;In many solar applications knowing diffuse solar radiation on horizontal surface represents an important requirement. The measurement of diffuse radiation is quite expensive, and because of that solar radiation measurements are not easily available in many locations around the world. Therefore many empirical correlations have been developed by various researchers to predict diffuse radiation from available meteorological data. The main objective of this study is to assess and compare different diffuse solar models available in the literature. These empirical models have been derived for specific location using long term measurements for that location. There is no general formula to calculate the diffuse solar radiation at any location in the world. While there are several studies in which authors compare different diffuse models for specific location, there is no comprehensive study in which these models are compared on a global scale. In this study we used statistical analysis to evaluate performance of analyzed models using long term measurements at 267 different sites around the world. Ten statistical quantitative indicators are used to evaluate different diffuse solar radiation models. The results are also visually presented by means of Taylor diagrams, which give a clear picture of how close a particular model is to measured data and how it is relatively compared to other models.&quot;,&quot;publisher&quot;:&quot;Elsevier Ltd&quot;,&quot;volume&quot;:&quot;56&quot;,&quot;container-title-short&quot;:&quot;&quot;},&quot;isTemporary&quot;:false}]},{&quot;citationID&quot;:&quot;MENDELEY_CITATION_6b093658-4478-4c9c-b338-30a7df460024&quot;,&quot;properties&quot;:{&quot;noteIndex&quot;:0},&quot;isEdited&quot;:false,&quot;manualOverride&quot;:{&quot;isManuallyOverridden&quot;:false,&quot;citeprocText&quot;:&quot;[23]&quot;,&quot;manualOverrideText&quot;:&quot;&quot;},&quot;citationTag&quot;:&quot;MENDELEY_CITATION_v3_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&quot;,&quot;citationItems&quot;:[{&quot;id&quot;:&quot;f648cb2e-1edb-3840-8a0c-822caf3b43b6&quot;,&quot;itemData&quot;:{&quot;type&quot;:&quot;article-journal&quot;,&quot;id&quot;:&quot;f648cb2e-1edb-3840-8a0c-822caf3b43b6&quot;,&quot;title&quot;:&quot;Mass quantification of nanoplastics at wastewater treatment plants by pyrolysis–gas chromatography–mass spectrometry&quot;,&quot;author&quot;:[{&quot;family&quot;:&quot;Okoffo&quot;,&quot;given&quot;:&quot;Elvis D.&quot;,&quot;parse-names&quot;:false,&quot;dropping-particle&quot;:&quot;&quot;,&quot;non-dropping-particle&quot;:&quot;&quot;},{&quot;family&quot;:&quot;Thomas&quot;,&quot;given&quot;:&quot;Kevin&quot;,&quot;parse-names&quot;:false,&quot;dropping-particle&quot;:&quot;V.&quot;,&quot;non-dropping-particle&quot;:&quot;&quot;}],&quot;container-title&quot;:&quot;Water Research&quot;,&quot;container-title-short&quot;:&quot;Water Res&quot;,&quot;DOI&quot;:&quot;10.1016/j.watres.2024.121397&quot;,&quot;ISSN&quot;:&quot;18792448&quot;,&quot;PMID&quot;:&quot;38461599&quot;,&quot;issued&quot;:{&quot;date-parts&quot;:[[2024,5,1]]},&quot;abstract&quot;:&quot;Municipal wastewater treatment plants (WWTPs) play a crucial role in the collection and redistribution of plastic particles from both households and industries, contributing to their presence in the environment. Previous studies investigating the levels of plastics in WWTPs, and their removal rates have primarily focused on polymer type, size, shape, colour, and particle count, while comprehensive understanding of the mass concentration of plastic particles, particularly those &lt;1 µm (nanoplastics), remains unclear and lacking. In this study, pyrolysis gas chromatography–mass spectrometry was used to simultaneously determine the mass concentration of nine selected polymers (i.e., polyethylene (PE), polypropylene (PP), polystyrene (PS), poly(ethylene terephthalate) (PET), nylon 6, nylon 66, polyvinylchloride (PVC), poly(methyl methacrylate) (PMMA) and polycarbonate (PC)) below 1 µm in size across the treatment processes or stages of three WWTPs in Australia. All the targeted nanoplastics were detected at concentrations between 0.04 and 7.3 µg/L. Nylon 66 (0.2–7.3 µg/L), PE (0.1–6.6 µg/L), PP (0.1–4.5 µg/L), Nylon 6 (0.1–3.6 µg/L) and PET (0.1–2.2 µg/L), were the predominant polymers in the samples. The mass concentration of the total nanoplastics decreased from 27.7, 18 and 9.1 µg/L in the influent to 1, 1.4 and 0.8 µg/L in the effluent, with approximate removal rates of 96 %, 92 % and 91 % in plants A, B and C, respectively. Based on annual wastewater effluent discharge, it is estimated that approximately 24, 2 and 0.7 kg of nanoplastics are released into the environment per year for WWTPs A, B and C, respectively. This study investigated the mass concentrations and removal rates of nanoplastics with a size range of 0.01–1 µm in wastewater, providing important insight into the pollution levels and distribution patterns of nanoplastics in Australian WWTPs.&quot;,&quot;publisher&quot;:&quot;Elsevier Ltd&quot;,&quot;volume&quot;:&quot;254&quot;},&quot;isTemporary&quot;:false}]},{&quot;citationID&quot;:&quot;MENDELEY_CITATION_8e9f0fc5-e056-4042-9fce-511fd48b802b&quot;,&quot;properties&quot;:{&quot;noteIndex&quot;:0},&quot;isEdited&quot;:false,&quot;manualOverride&quot;:{&quot;isManuallyOverridden&quot;:false,&quot;citeprocText&quot;:&quot;[24]&quot;,&quot;manualOverrideText&quot;:&quot;&quot;},&quot;citationTag&quot;:&quot;MENDELEY_CITATION_v3_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&quot;,&quot;citationItems&quot;:[{&quot;id&quot;:&quot;e1ddfdfd-773b-3d68-8c35-46d01952b44b&quot;,&quot;itemData&quot;:{&quot;type&quot;:&quot;article-journal&quot;,&quot;id&quot;:&quot;e1ddfdfd-773b-3d68-8c35-46d01952b44b&quot;,&quot;title&quot;:&quot;Calculating expected effects of treatment effectivity and river flow rates on the contribution of WWTP effluent to the ARG load of a receiving river&quot;,&quot;author&quot;:[{&quot;family&quot;:&quot;Schwermer&quot;,&quot;given&quot;:&quot;Carsten Ulrich&quot;,&quot;parse-names&quot;:false,&quot;dropping-particle&quot;:&quot;&quot;,&quot;non-dropping-particle&quot;:&quot;&quot;},{&quot;family&quot;:&quot;Uhl&quot;,&quot;given&quot;:&quot;Wolfgang&quot;,&quot;parse-names&quot;:false,&quot;dropping-particle&quot;:&quot;&quot;,&quot;non-dropping-particle&quot;:&quot;&quot;}],&quot;container-title&quot;:&quot;Journal of Environmental Management&quot;,&quot;container-title-short&quot;:&quot;J Environ Manage&quot;,&quot;DOI&quot;:&quot;10.1016/j.jenvman.2021.112445&quot;,&quot;ISSN&quot;:&quot;10958630&quot;,&quot;PMID&quot;:&quot;33823442&quot;,&quot;issued&quot;:{&quot;date-parts&quot;:[[2021,6,15]]},&quot;abstract&quot;:&quot;Concentrations of genetic markers for antibiotic resistance genes (ARGs) were measured in the effluents of three Norwegian wastewater treatment plants (WWTPs) and in a receiving river upstream and downstream of the discharge point of one WWTP. Calculations based on mass balances were carried out to evaluate the impact of river flow rates and treatment effectivity on the WWTP's contribution to the load of genetic markers in the river. At average river flow rates, the WWTP effluent contributes 5–15% to the genetic marker load of the respective river. However, at minimum river flow rates, the WWTP effluent contributes 22–55% to the loads of different genetic markers. Scenarios of an improved or worsened removal of genetic markers in the WWTP showed that a further 1-log removal using additional treatment would be sufficient to improve considerably the river water quality with respect to genetic markers. Then, at an average flow rate, the contribution of the WWTP effluent to the load of the river would be less than 2%. However, in the case of low treatment effectivity or malfunction of the WWTP, the marker load of the river would increase dramatically. Even at average flow rate, 75–92% of the marker load would then originate from the WWTP. The results demonstrate the importance of considering the flow rates and hydrologic characteristics of the recipient water body when deciding on priorities regarding the upgrade of WWTPs for further removal of ARGs.&quot;,&quot;publisher&quot;:&quot;Academic Press&quot;,&quot;volume&quot;:&quot;288&quot;},&quot;isTemporary&quot;:false}]},{&quot;citationID&quot;:&quot;MENDELEY_CITATION_b9c8a687-1593-44c1-9128-e357fab5349a&quot;,&quot;properties&quot;:{&quot;noteIndex&quot;:0},&quot;isEdited&quot;:false,&quot;manualOverride&quot;:{&quot;isManuallyOverridden&quot;:false,&quot;citeprocText&quot;:&quot;[25]&quot;,&quot;manualOverrideText&quot;:&quot;&quot;},&quot;citationTag&quot;:&quot;MENDELEY_CITATION_v3_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&quot;,&quot;citationItems&quot;:[{&quot;id&quot;:&quot;e909096c-da69-3a3e-af77-836e4a79b9c1&quot;,&quot;itemData&quot;:{&quot;type&quot;:&quot;report&quot;,&quot;id&quot;:&quot;e909096c-da69-3a3e-af77-836e4a79b9c1&quot;,&quot;title&quot;:&quot;Government Regulations Regarding The Implementation of Environmental Protection and Management&quot;,&quot;author&quot;:[{&quot;family&quot;:&quot;Indonesian Government&quot;,&quot;given&quot;:&quot;&quot;,&quot;parse-names&quot;:false,&quot;dropping-particle&quot;:&quot;&quot;,&quot;non-dropping-particle&quot;:&quot;&quot;}],&quot;issued&quot;:{&quot;date-parts&quot;:[[2021]]},&quot;container-title-short&quot;:&quot;&quot;},&quot;isTemporary&quot;:false}]},{&quot;citationID&quot;:&quot;MENDELEY_CITATION_e38b6dc2-ebf9-4c3a-a789-2e67fd82c1f3&quot;,&quot;properties&quot;:{&quot;noteIndex&quot;:0},&quot;isEdited&quot;:false,&quot;manualOverride&quot;:{&quot;isManuallyOverridden&quot;:false,&quot;citeprocText&quot;:&quot;[26]&quot;,&quot;manualOverrideText&quot;:&quot;&quot;},&quot;citationTag&quot;:&quot;MENDELEY_CITATION_v3_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&quot;,&quot;citationItems&quot;:[{&quot;id&quot;:&quot;549b41fa-4149-3f8c-a592-517ec5fed979&quot;,&quot;itemData&quot;:{&quot;type&quot;:&quot;report&quot;,&quot;id&quot;:&quot;549b41fa-4149-3f8c-a592-517ec5fed979&quot;,&quot;title&quot;:&quot;Wastewater Quality Standards for Textile Industry Business and/or Activities.&quot;,&quot;author&quot;:[{&quot;family&quot;:&quot;Indonesian Government&quot;,&quot;given&quot;:&quot;&quot;,&quot;parse-names&quot;:false,&quot;dropping-particle&quot;:&quot;&quot;,&quot;non-dropping-particle&quot;:&quot;&quot;}],&quot;issued&quot;:{&quot;date-parts&quot;:[[2019]]},&quot;container-title-short&quot;:&quot;&quot;},&quot;isTemporar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owr7ZhU4BKQENgEh7Q5TnIzXaw==">CgMxLjAyCGguZ2pkZ3hzOAByITFqaTgybEIwOE4wVHFyaFNRTFlDckZFQTl6WE9CWU03Wg==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1C256AD-AC1B-461F-B9E6-5A92292C40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13</Pages>
  <Words>5113</Words>
  <Characters>29149</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kelas</dc:creator>
  <cp:lastModifiedBy>Steven Kent</cp:lastModifiedBy>
  <cp:revision>4</cp:revision>
  <dcterms:created xsi:type="dcterms:W3CDTF">2024-11-18T03:02:00Z</dcterms:created>
  <dcterms:modified xsi:type="dcterms:W3CDTF">2024-11-18T08:14:00Z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b28ce1f0-2a9e-3144-a494-f2dc7e737d82</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MTWinEqns">
    <vt:bool>true</vt:bool>
  </property>
  <property fmtid="{D5CDD505-2E9C-101B-9397-08002B2CF9AE}" pid="26" name="MTEquationSection">
    <vt:lpwstr>1</vt:lpwstr>
  </property>
  <property fmtid="{D5CDD505-2E9C-101B-9397-08002B2CF9AE}" pid="27" name="MTEquationNumber2">
    <vt:lpwstr>(#E1)</vt:lpwstr>
  </property>
</Properties>
</file>