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87521723"/>
    <w:p w14:paraId="56F7B622" w14:textId="42CF6783" w:rsidR="00E51251" w:rsidRDefault="00E51251" w:rsidP="00E51251">
      <w:pPr>
        <w:widowControl w:val="0"/>
        <w:pBdr>
          <w:top w:val="nil"/>
          <w:left w:val="nil"/>
          <w:bottom w:val="nil"/>
          <w:right w:val="nil"/>
          <w:between w:val="nil"/>
        </w:pBdr>
        <w:spacing w:after="0"/>
        <w:ind w:leftChars="0" w:left="0" w:firstLineChars="0" w:firstLine="0"/>
      </w:pPr>
      <w:r>
        <w:rPr>
          <w:noProof/>
        </w:rPr>
        <mc:AlternateContent>
          <mc:Choice Requires="wps">
            <w:drawing>
              <wp:anchor distT="0" distB="0" distL="114300" distR="114300" simplePos="0" relativeHeight="251659264" behindDoc="0" locked="0" layoutInCell="1" allowOverlap="1" wp14:anchorId="6087DB5F" wp14:editId="5A7B2F38">
                <wp:simplePos x="0" y="0"/>
                <wp:positionH relativeFrom="column">
                  <wp:posOffset>0</wp:posOffset>
                </wp:positionH>
                <wp:positionV relativeFrom="paragraph">
                  <wp:posOffset>0</wp:posOffset>
                </wp:positionV>
                <wp:extent cx="635000" cy="635000"/>
                <wp:effectExtent l="0" t="0" r="3175" b="3175"/>
                <wp:wrapNone/>
                <wp:docPr id="10" name="Rectangle 1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91CE5" id="Rectangle 10"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" filled="f" stroked="f">
                <o:lock v:ext="edit" aspectratio="t" selection="t"/>
              </v:rect>
            </w:pict>
          </mc:Fallback>
        </mc:AlternateContent>
      </w:r>
    </w:p>
    <w:p w14:paraId="78132265" w14:textId="77777777" w:rsidR="00E51251" w:rsidRDefault="00E51251" w:rsidP="00E51251">
      <w:pPr>
        <w:widowControl w:val="0"/>
        <w:pBdr>
          <w:top w:val="nil"/>
          <w:left w:val="nil"/>
          <w:bottom w:val="nil"/>
          <w:right w:val="nil"/>
          <w:between w:val="nil"/>
        </w:pBdr>
        <w:spacing w:after="0"/>
        <w:ind w:left="0" w:hanging="2"/>
        <w:rPr>
          <w:rFonts w:ascii="Arial" w:eastAsia="Arial" w:hAnsi="Arial" w:cs="Arial"/>
          <w:color w:val="000000"/>
        </w:rPr>
      </w:pP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E51251" w14:paraId="5908D5B3" w14:textId="77777777" w:rsidTr="00AC34CE">
        <w:tc>
          <w:tcPr>
            <w:tcW w:w="8504" w:type="dxa"/>
          </w:tcPr>
          <w:p w14:paraId="111B7A0D" w14:textId="69ABED29" w:rsidR="00E51251" w:rsidRPr="006B2017" w:rsidRDefault="00E51251" w:rsidP="00AC34CE">
            <w:pPr>
              <w:pStyle w:val="IJPMETitle"/>
              <w:spacing w:before="0" w:after="0" w:line="240" w:lineRule="auto"/>
              <w:ind w:hanging="2"/>
              <w:jc w:val="both"/>
              <w:rPr>
                <w:rFonts w:ascii="Arial" w:hAnsi="Arial"/>
              </w:rPr>
            </w:pPr>
            <w:r w:rsidRPr="006B2017">
              <w:rPr>
                <w:rFonts w:ascii="Arial" w:hAnsi="Arial"/>
              </w:rPr>
              <w:t xml:space="preserve">Lean Manufacturing </w:t>
            </w:r>
            <w:r w:rsidR="00752027">
              <w:rPr>
                <w:rFonts w:ascii="Arial" w:hAnsi="Arial"/>
              </w:rPr>
              <w:t>i</w:t>
            </w:r>
            <w:r w:rsidRPr="006B2017">
              <w:rPr>
                <w:rFonts w:ascii="Arial" w:hAnsi="Arial"/>
              </w:rPr>
              <w:t>n</w:t>
            </w:r>
            <w:r w:rsidR="00DA29D4">
              <w:rPr>
                <w:rFonts w:ascii="Arial" w:hAnsi="Arial"/>
              </w:rPr>
              <w:t xml:space="preserve"> </w:t>
            </w:r>
            <w:r w:rsidRPr="006B2017">
              <w:rPr>
                <w:rFonts w:ascii="Arial" w:hAnsi="Arial"/>
              </w:rPr>
              <w:t xml:space="preserve">Food Industry: Determining Appropriate Quality System (Qs) Position </w:t>
            </w:r>
            <w:proofErr w:type="gramStart"/>
            <w:r w:rsidRPr="006B2017">
              <w:rPr>
                <w:rFonts w:ascii="Arial" w:hAnsi="Arial"/>
              </w:rPr>
              <w:t>And</w:t>
            </w:r>
            <w:proofErr w:type="gramEnd"/>
            <w:r w:rsidRPr="006B2017">
              <w:rPr>
                <w:rFonts w:ascii="Arial" w:hAnsi="Arial"/>
              </w:rPr>
              <w:t xml:space="preserve"> Implementation Strategy</w:t>
            </w:r>
          </w:p>
        </w:tc>
        <w:tc>
          <w:tcPr>
            <w:tcW w:w="784" w:type="dxa"/>
            <w:vAlign w:val="center"/>
          </w:tcPr>
          <w:p w14:paraId="6625F3DA" w14:textId="77777777" w:rsidR="00E51251" w:rsidRDefault="00E51251" w:rsidP="00AC34CE">
            <w:pPr>
              <w:pStyle w:val="Title"/>
              <w:ind w:left="1" w:hanging="3"/>
              <w:rPr>
                <w:rFonts w:ascii="Arial" w:eastAsia="Arial" w:hAnsi="Arial" w:cs="Arial"/>
              </w:rPr>
            </w:pPr>
            <w:r>
              <w:rPr>
                <w:rFonts w:ascii="Arial" w:eastAsia="Arial" w:hAnsi="Arial" w:cs="Arial"/>
                <w:noProof/>
              </w:rPr>
              <w:drawing>
                <wp:inline distT="0" distB="0" distL="114300" distR="114300" wp14:anchorId="3801D282" wp14:editId="38F5A270">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360045" cy="360045"/>
                          </a:xfrm>
                          <a:prstGeom prst="rect">
                            <a:avLst/>
                          </a:prstGeom>
                          <a:ln/>
                        </pic:spPr>
                      </pic:pic>
                    </a:graphicData>
                  </a:graphic>
                </wp:inline>
              </w:drawing>
            </w:r>
          </w:p>
        </w:tc>
      </w:tr>
    </w:tbl>
    <w:p w14:paraId="42FB1642" w14:textId="77777777" w:rsidR="00E51251" w:rsidRDefault="00E51251" w:rsidP="00E51251">
      <w:pPr>
        <w:pStyle w:val="Title"/>
        <w:ind w:left="1" w:hanging="3"/>
        <w:rPr>
          <w:rFonts w:ascii="Arial" w:eastAsia="Arial" w:hAnsi="Arial" w:cs="Arial"/>
        </w:rPr>
      </w:pPr>
    </w:p>
    <w:p w14:paraId="76DEF253" w14:textId="4F5E85D6" w:rsidR="00445CDA" w:rsidRPr="00445CDA" w:rsidRDefault="00445CDA" w:rsidP="00E51251">
      <w:pPr>
        <w:widowControl w:val="0"/>
        <w:tabs>
          <w:tab w:val="left" w:pos="9020"/>
        </w:tabs>
        <w:spacing w:after="0" w:line="240" w:lineRule="auto"/>
        <w:ind w:left="0" w:hanging="2"/>
        <w:rPr>
          <w:rFonts w:ascii="Arial" w:eastAsia="Arial" w:hAnsi="Arial" w:cs="Arial"/>
          <w:b/>
          <w:sz w:val="20"/>
          <w:szCs w:val="20"/>
        </w:rPr>
      </w:pPr>
      <w:proofErr w:type="spellStart"/>
      <w:r w:rsidRPr="00445CDA">
        <w:rPr>
          <w:rFonts w:ascii="Arial" w:eastAsia="Arial" w:hAnsi="Arial" w:cs="Arial"/>
          <w:b/>
          <w:sz w:val="20"/>
          <w:szCs w:val="20"/>
        </w:rPr>
        <w:t>Budianto</w:t>
      </w:r>
      <w:proofErr w:type="spellEnd"/>
      <w:r w:rsidRPr="00445CDA">
        <w:rPr>
          <w:rFonts w:ascii="Arial" w:eastAsia="Arial" w:hAnsi="Arial" w:cs="Arial"/>
          <w:b/>
          <w:sz w:val="20"/>
          <w:szCs w:val="20"/>
          <w:vertAlign w:val="superscript"/>
        </w:rPr>
        <w:t xml:space="preserve"> 1</w:t>
      </w:r>
      <w:r w:rsidRPr="00445CDA">
        <w:rPr>
          <w:rFonts w:ascii="Arial" w:eastAsia="Arial" w:hAnsi="Arial" w:cs="Arial"/>
          <w:b/>
          <w:sz w:val="20"/>
          <w:szCs w:val="20"/>
        </w:rPr>
        <w:t xml:space="preserve">, </w:t>
      </w:r>
      <w:proofErr w:type="spellStart"/>
      <w:r w:rsidRPr="00445CDA">
        <w:rPr>
          <w:rFonts w:ascii="Arial" w:hAnsi="Arial" w:cs="Arial"/>
          <w:b/>
          <w:bCs/>
          <w:sz w:val="20"/>
          <w:szCs w:val="20"/>
        </w:rPr>
        <w:t>Zefki</w:t>
      </w:r>
      <w:proofErr w:type="spellEnd"/>
      <w:r w:rsidRPr="00445CDA">
        <w:rPr>
          <w:rFonts w:ascii="Arial" w:hAnsi="Arial" w:cs="Arial"/>
          <w:b/>
          <w:bCs/>
          <w:sz w:val="20"/>
          <w:szCs w:val="20"/>
        </w:rPr>
        <w:t xml:space="preserve"> </w:t>
      </w:r>
      <w:proofErr w:type="spellStart"/>
      <w:r w:rsidRPr="00445CDA">
        <w:rPr>
          <w:rFonts w:ascii="Arial" w:hAnsi="Arial" w:cs="Arial"/>
          <w:b/>
          <w:bCs/>
          <w:sz w:val="20"/>
          <w:szCs w:val="20"/>
        </w:rPr>
        <w:t>Okta</w:t>
      </w:r>
      <w:proofErr w:type="spellEnd"/>
      <w:r w:rsidRPr="00445CDA">
        <w:rPr>
          <w:rFonts w:ascii="Arial" w:hAnsi="Arial" w:cs="Arial"/>
          <w:b/>
          <w:bCs/>
          <w:sz w:val="20"/>
          <w:szCs w:val="20"/>
        </w:rPr>
        <w:t xml:space="preserve"> Feri</w:t>
      </w:r>
      <w:r w:rsidR="00DA29D4" w:rsidRPr="00DA29D4">
        <w:rPr>
          <w:rFonts w:ascii="Arial" w:hAnsi="Arial" w:cs="Arial"/>
          <w:b/>
          <w:bCs/>
          <w:sz w:val="20"/>
          <w:szCs w:val="20"/>
          <w:vertAlign w:val="superscript"/>
        </w:rPr>
        <w:t>2</w:t>
      </w:r>
      <w:r w:rsidRPr="00445CDA">
        <w:rPr>
          <w:rFonts w:ascii="Arial" w:hAnsi="Arial" w:cs="Arial"/>
          <w:b/>
          <w:bCs/>
          <w:sz w:val="20"/>
          <w:szCs w:val="20"/>
        </w:rPr>
        <w:t xml:space="preserve">, </w:t>
      </w:r>
      <w:proofErr w:type="spellStart"/>
      <w:r w:rsidRPr="00445CDA">
        <w:rPr>
          <w:rFonts w:ascii="Arial" w:eastAsia="Arial" w:hAnsi="Arial" w:cs="Arial"/>
          <w:b/>
          <w:color w:val="000000"/>
          <w:sz w:val="20"/>
          <w:szCs w:val="20"/>
        </w:rPr>
        <w:t>Qomarotun</w:t>
      </w:r>
      <w:proofErr w:type="spellEnd"/>
      <w:r w:rsidRPr="00445CDA">
        <w:rPr>
          <w:rFonts w:ascii="Arial" w:eastAsia="Arial" w:hAnsi="Arial" w:cs="Arial"/>
          <w:b/>
          <w:color w:val="000000"/>
          <w:sz w:val="20"/>
          <w:szCs w:val="20"/>
        </w:rPr>
        <w:t xml:space="preserve"> Nurlaila</w:t>
      </w:r>
      <w:r w:rsidR="00DA29D4" w:rsidRPr="00DA29D4">
        <w:rPr>
          <w:rFonts w:ascii="Arial" w:eastAsia="Arial" w:hAnsi="Arial" w:cs="Arial"/>
          <w:b/>
          <w:color w:val="000000"/>
          <w:sz w:val="20"/>
          <w:szCs w:val="20"/>
          <w:vertAlign w:val="superscript"/>
        </w:rPr>
        <w:t>3</w:t>
      </w:r>
      <w:r w:rsidRPr="00445CDA">
        <w:rPr>
          <w:rFonts w:ascii="Arial" w:eastAsia="Arial" w:hAnsi="Arial" w:cs="Arial"/>
          <w:b/>
          <w:color w:val="000000"/>
          <w:sz w:val="20"/>
          <w:szCs w:val="20"/>
        </w:rPr>
        <w:t>, Helena Sitorus</w:t>
      </w:r>
      <w:r w:rsidR="00DA29D4" w:rsidRPr="00DA29D4">
        <w:rPr>
          <w:rFonts w:ascii="Arial" w:eastAsia="Arial" w:hAnsi="Arial" w:cs="Arial"/>
          <w:b/>
          <w:color w:val="000000"/>
          <w:sz w:val="20"/>
          <w:szCs w:val="20"/>
          <w:vertAlign w:val="superscript"/>
        </w:rPr>
        <w:t>4</w:t>
      </w:r>
      <w:r w:rsidRPr="00445CDA">
        <w:rPr>
          <w:rFonts w:ascii="Arial" w:eastAsia="Arial" w:hAnsi="Arial" w:cs="Arial"/>
          <w:b/>
          <w:color w:val="000000"/>
          <w:sz w:val="20"/>
          <w:szCs w:val="20"/>
        </w:rPr>
        <w:t xml:space="preserve">, Tina </w:t>
      </w:r>
      <w:proofErr w:type="spellStart"/>
      <w:r w:rsidRPr="00445CDA">
        <w:rPr>
          <w:rFonts w:ascii="Arial" w:eastAsia="Arial" w:hAnsi="Arial" w:cs="Arial"/>
          <w:b/>
          <w:color w:val="000000"/>
          <w:sz w:val="20"/>
          <w:szCs w:val="20"/>
        </w:rPr>
        <w:t>Hernawati</w:t>
      </w:r>
      <w:proofErr w:type="spellEnd"/>
      <w:r w:rsidRPr="00445CDA">
        <w:rPr>
          <w:rFonts w:ascii="Arial" w:eastAsia="Arial" w:hAnsi="Arial" w:cs="Arial"/>
          <w:b/>
          <w:color w:val="000000"/>
          <w:sz w:val="20"/>
          <w:szCs w:val="20"/>
        </w:rPr>
        <w:t xml:space="preserve"> Suryatman</w:t>
      </w:r>
      <w:r w:rsidR="00DA29D4" w:rsidRPr="00DA29D4">
        <w:rPr>
          <w:rFonts w:ascii="Arial" w:eastAsia="Arial" w:hAnsi="Arial" w:cs="Arial"/>
          <w:b/>
          <w:color w:val="000000"/>
          <w:sz w:val="20"/>
          <w:szCs w:val="20"/>
          <w:vertAlign w:val="superscript"/>
        </w:rPr>
        <w:t>5</w:t>
      </w:r>
      <w:r w:rsidRPr="00445CDA">
        <w:rPr>
          <w:rFonts w:ascii="Arial" w:eastAsia="Arial" w:hAnsi="Arial" w:cs="Arial"/>
          <w:b/>
          <w:color w:val="000000"/>
          <w:sz w:val="20"/>
          <w:szCs w:val="20"/>
        </w:rPr>
        <w:t>, Fitra</w:t>
      </w:r>
      <w:r w:rsidR="00DA29D4" w:rsidRPr="00DA29D4">
        <w:rPr>
          <w:rFonts w:ascii="Arial" w:eastAsia="Arial" w:hAnsi="Arial" w:cs="Arial"/>
          <w:b/>
          <w:color w:val="000000"/>
          <w:sz w:val="20"/>
          <w:szCs w:val="20"/>
          <w:vertAlign w:val="superscript"/>
        </w:rPr>
        <w:t>6</w:t>
      </w:r>
    </w:p>
    <w:p w14:paraId="3415F92C" w14:textId="77777777" w:rsidR="00445CDA" w:rsidRPr="00445CDA" w:rsidRDefault="00445CDA" w:rsidP="00E51251">
      <w:pPr>
        <w:widowControl w:val="0"/>
        <w:tabs>
          <w:tab w:val="left" w:pos="9020"/>
        </w:tabs>
        <w:spacing w:after="0" w:line="240" w:lineRule="auto"/>
        <w:rPr>
          <w:rFonts w:ascii="Arial" w:eastAsia="Arial" w:hAnsi="Arial" w:cs="Arial"/>
          <w:b/>
          <w:sz w:val="12"/>
          <w:szCs w:val="16"/>
          <w:vertAlign w:val="superscript"/>
        </w:rPr>
      </w:pPr>
    </w:p>
    <w:p w14:paraId="5F4294DA" w14:textId="77777777" w:rsidR="00DA29D4" w:rsidRPr="00DA29D4" w:rsidRDefault="00E51251" w:rsidP="00E51251">
      <w:pPr>
        <w:widowControl w:val="0"/>
        <w:tabs>
          <w:tab w:val="left" w:pos="9020"/>
        </w:tabs>
        <w:spacing w:after="0" w:line="240" w:lineRule="auto"/>
        <w:ind w:left="0" w:hanging="2"/>
        <w:rPr>
          <w:rFonts w:ascii="Arial" w:eastAsia="Arial" w:hAnsi="Arial" w:cs="Arial"/>
          <w:sz w:val="16"/>
          <w:szCs w:val="16"/>
          <w:vertAlign w:val="superscript"/>
        </w:rPr>
      </w:pPr>
      <w:r w:rsidRPr="00DA29D4">
        <w:rPr>
          <w:rFonts w:ascii="Arial" w:eastAsia="Arial" w:hAnsi="Arial" w:cs="Arial"/>
          <w:sz w:val="16"/>
          <w:szCs w:val="16"/>
          <w:vertAlign w:val="superscript"/>
        </w:rPr>
        <w:t>1</w:t>
      </w:r>
      <w:r w:rsidR="00DA29D4" w:rsidRPr="00DA29D4">
        <w:rPr>
          <w:rFonts w:ascii="Arial" w:eastAsia="Arial" w:hAnsi="Arial" w:cs="Arial"/>
          <w:sz w:val="16"/>
          <w:szCs w:val="16"/>
        </w:rPr>
        <w:t xml:space="preserve"> Chemical Engineering, Institute </w:t>
      </w:r>
      <w:proofErr w:type="spellStart"/>
      <w:r w:rsidR="00DA29D4" w:rsidRPr="00DA29D4">
        <w:rPr>
          <w:rFonts w:ascii="Arial" w:eastAsia="Arial" w:hAnsi="Arial" w:cs="Arial"/>
          <w:sz w:val="16"/>
          <w:szCs w:val="16"/>
        </w:rPr>
        <w:t>Sains</w:t>
      </w:r>
      <w:proofErr w:type="spellEnd"/>
      <w:r w:rsidR="00DA29D4" w:rsidRPr="00DA29D4">
        <w:rPr>
          <w:rFonts w:ascii="Arial" w:eastAsia="Arial" w:hAnsi="Arial" w:cs="Arial"/>
          <w:sz w:val="16"/>
          <w:szCs w:val="16"/>
        </w:rPr>
        <w:t xml:space="preserve"> &amp; </w:t>
      </w:r>
      <w:proofErr w:type="spellStart"/>
      <w:r w:rsidR="00DA29D4" w:rsidRPr="00DA29D4">
        <w:rPr>
          <w:rFonts w:ascii="Arial" w:eastAsia="Arial" w:hAnsi="Arial" w:cs="Arial"/>
          <w:sz w:val="16"/>
          <w:szCs w:val="16"/>
        </w:rPr>
        <w:t>Teknologi</w:t>
      </w:r>
      <w:proofErr w:type="spellEnd"/>
      <w:r w:rsidR="00DA29D4" w:rsidRPr="00DA29D4">
        <w:rPr>
          <w:rFonts w:ascii="Arial" w:eastAsia="Arial" w:hAnsi="Arial" w:cs="Arial"/>
          <w:sz w:val="16"/>
          <w:szCs w:val="16"/>
        </w:rPr>
        <w:t xml:space="preserve"> Al-Kamal, Jakarta, Indonesia</w:t>
      </w:r>
      <w:r w:rsidR="00DA29D4" w:rsidRPr="00DA29D4">
        <w:rPr>
          <w:rFonts w:ascii="Arial" w:eastAsia="Arial" w:hAnsi="Arial" w:cs="Arial"/>
          <w:sz w:val="16"/>
          <w:szCs w:val="16"/>
          <w:vertAlign w:val="superscript"/>
        </w:rPr>
        <w:t xml:space="preserve"> </w:t>
      </w:r>
    </w:p>
    <w:p w14:paraId="60AE4048" w14:textId="77777777" w:rsidR="00DA29D4" w:rsidRPr="00DA29D4" w:rsidRDefault="00E51251" w:rsidP="00E51251">
      <w:pPr>
        <w:widowControl w:val="0"/>
        <w:tabs>
          <w:tab w:val="left" w:pos="9020"/>
        </w:tabs>
        <w:spacing w:after="0" w:line="240" w:lineRule="auto"/>
        <w:ind w:left="0" w:hanging="2"/>
        <w:rPr>
          <w:rFonts w:ascii="Arial" w:eastAsia="Arial" w:hAnsi="Arial" w:cs="Arial"/>
          <w:sz w:val="16"/>
          <w:szCs w:val="16"/>
          <w:vertAlign w:val="superscript"/>
        </w:rPr>
      </w:pPr>
      <w:r w:rsidRPr="00DA29D4">
        <w:rPr>
          <w:rFonts w:ascii="Arial" w:eastAsia="Arial" w:hAnsi="Arial" w:cs="Arial"/>
          <w:sz w:val="16"/>
          <w:szCs w:val="16"/>
          <w:vertAlign w:val="superscript"/>
        </w:rPr>
        <w:t>2</w:t>
      </w:r>
      <w:r w:rsidR="00DA29D4" w:rsidRPr="00DA29D4">
        <w:rPr>
          <w:rFonts w:ascii="Arial" w:hAnsi="Arial" w:cs="Arial"/>
          <w:sz w:val="16"/>
          <w:szCs w:val="16"/>
          <w:lang w:val="es-ES"/>
        </w:rPr>
        <w:t xml:space="preserve"> </w:t>
      </w:r>
      <w:proofErr w:type="spellStart"/>
      <w:r w:rsidR="00DA29D4" w:rsidRPr="00DA29D4">
        <w:rPr>
          <w:rFonts w:ascii="Arial" w:hAnsi="Arial" w:cs="Arial"/>
          <w:sz w:val="16"/>
          <w:szCs w:val="16"/>
          <w:lang w:val="es-ES"/>
        </w:rPr>
        <w:t>Universitas</w:t>
      </w:r>
      <w:proofErr w:type="spellEnd"/>
      <w:r w:rsidR="00DA29D4" w:rsidRPr="00DA29D4">
        <w:rPr>
          <w:rFonts w:ascii="Arial" w:hAnsi="Arial" w:cs="Arial"/>
          <w:sz w:val="16"/>
          <w:szCs w:val="16"/>
          <w:lang w:val="es-ES"/>
        </w:rPr>
        <w:t xml:space="preserve"> Negeri Yogyakarta, Yogyakarta, Indonesia</w:t>
      </w:r>
      <w:r w:rsidR="00DA29D4" w:rsidRPr="00DA29D4">
        <w:rPr>
          <w:rFonts w:ascii="Arial" w:eastAsia="Arial" w:hAnsi="Arial" w:cs="Arial"/>
          <w:sz w:val="16"/>
          <w:szCs w:val="16"/>
          <w:vertAlign w:val="superscript"/>
        </w:rPr>
        <w:t xml:space="preserve"> </w:t>
      </w:r>
    </w:p>
    <w:p w14:paraId="68FF490B" w14:textId="77777777" w:rsidR="00DA29D4" w:rsidRPr="00DA29D4" w:rsidRDefault="00E51251" w:rsidP="00E51251">
      <w:pPr>
        <w:widowControl w:val="0"/>
        <w:tabs>
          <w:tab w:val="left" w:pos="9020"/>
        </w:tabs>
        <w:spacing w:after="0" w:line="240" w:lineRule="auto"/>
        <w:ind w:left="0" w:hanging="2"/>
        <w:rPr>
          <w:rFonts w:ascii="Arial" w:eastAsia="Arial" w:hAnsi="Arial" w:cs="Arial"/>
          <w:sz w:val="16"/>
          <w:szCs w:val="16"/>
          <w:vertAlign w:val="superscript"/>
        </w:rPr>
      </w:pPr>
      <w:r w:rsidRPr="00DA29D4">
        <w:rPr>
          <w:rFonts w:ascii="Arial" w:eastAsia="Arial" w:hAnsi="Arial" w:cs="Arial"/>
          <w:sz w:val="16"/>
          <w:szCs w:val="16"/>
          <w:vertAlign w:val="superscript"/>
        </w:rPr>
        <w:t>3</w:t>
      </w:r>
      <w:r w:rsidR="00DA29D4" w:rsidRPr="00DA29D4">
        <w:rPr>
          <w:rFonts w:ascii="Arial" w:eastAsia="Arial" w:hAnsi="Arial" w:cs="Arial"/>
          <w:color w:val="000000"/>
          <w:sz w:val="16"/>
          <w:szCs w:val="16"/>
        </w:rPr>
        <w:t xml:space="preserve"> Industrial engineering Dept. </w:t>
      </w:r>
      <w:proofErr w:type="spellStart"/>
      <w:r w:rsidR="00DA29D4" w:rsidRPr="00DA29D4">
        <w:rPr>
          <w:rFonts w:ascii="Arial" w:eastAsia="Arial" w:hAnsi="Arial" w:cs="Arial"/>
          <w:color w:val="000000"/>
          <w:sz w:val="16"/>
          <w:szCs w:val="16"/>
        </w:rPr>
        <w:t>Universitas</w:t>
      </w:r>
      <w:proofErr w:type="spellEnd"/>
      <w:r w:rsidR="00DA29D4" w:rsidRPr="00DA29D4">
        <w:rPr>
          <w:rFonts w:ascii="Arial" w:eastAsia="Arial" w:hAnsi="Arial" w:cs="Arial"/>
          <w:color w:val="000000"/>
          <w:sz w:val="16"/>
          <w:szCs w:val="16"/>
        </w:rPr>
        <w:t xml:space="preserve"> Riau </w:t>
      </w:r>
      <w:proofErr w:type="spellStart"/>
      <w:r w:rsidR="00DA29D4" w:rsidRPr="00DA29D4">
        <w:rPr>
          <w:rFonts w:ascii="Arial" w:eastAsia="Arial" w:hAnsi="Arial" w:cs="Arial"/>
          <w:color w:val="000000"/>
          <w:sz w:val="16"/>
          <w:szCs w:val="16"/>
        </w:rPr>
        <w:t>Kepulauan</w:t>
      </w:r>
      <w:proofErr w:type="spellEnd"/>
      <w:r w:rsidR="00DA29D4" w:rsidRPr="00DA29D4">
        <w:rPr>
          <w:rFonts w:ascii="Arial" w:eastAsia="Arial" w:hAnsi="Arial" w:cs="Arial"/>
          <w:sz w:val="16"/>
          <w:szCs w:val="16"/>
          <w:vertAlign w:val="superscript"/>
        </w:rPr>
        <w:t xml:space="preserve"> </w:t>
      </w:r>
    </w:p>
    <w:p w14:paraId="2705D43A" w14:textId="7C1CD986" w:rsidR="00E51251" w:rsidRPr="00DA29D4" w:rsidRDefault="00E51251" w:rsidP="00E51251">
      <w:pPr>
        <w:widowControl w:val="0"/>
        <w:tabs>
          <w:tab w:val="left" w:pos="9020"/>
        </w:tabs>
        <w:spacing w:after="0" w:line="240" w:lineRule="auto"/>
        <w:ind w:left="0" w:hanging="2"/>
        <w:rPr>
          <w:rFonts w:ascii="Arial" w:eastAsia="Arial" w:hAnsi="Arial" w:cs="Arial"/>
          <w:color w:val="000000"/>
          <w:sz w:val="16"/>
          <w:szCs w:val="16"/>
        </w:rPr>
      </w:pPr>
      <w:r w:rsidRPr="00DA29D4">
        <w:rPr>
          <w:rFonts w:ascii="Arial" w:eastAsia="Arial" w:hAnsi="Arial" w:cs="Arial"/>
          <w:sz w:val="16"/>
          <w:szCs w:val="16"/>
          <w:vertAlign w:val="superscript"/>
        </w:rPr>
        <w:t>4</w:t>
      </w:r>
      <w:bookmarkStart w:id="1" w:name="_heading=h.gjdgxs" w:colFirst="0" w:colLast="0"/>
      <w:bookmarkEnd w:id="1"/>
      <w:r w:rsidR="00DA29D4" w:rsidRPr="00DA29D4">
        <w:rPr>
          <w:rFonts w:ascii="Arial" w:eastAsia="Arial" w:hAnsi="Arial" w:cs="Arial"/>
          <w:color w:val="000000"/>
          <w:sz w:val="16"/>
          <w:szCs w:val="16"/>
        </w:rPr>
        <w:t xml:space="preserve"> Industrial engineering Dept. </w:t>
      </w:r>
      <w:proofErr w:type="spellStart"/>
      <w:r w:rsidR="00DA29D4" w:rsidRPr="00DA29D4">
        <w:rPr>
          <w:rFonts w:ascii="Arial" w:eastAsia="Arial" w:hAnsi="Arial" w:cs="Arial"/>
          <w:color w:val="000000"/>
          <w:sz w:val="16"/>
          <w:szCs w:val="16"/>
        </w:rPr>
        <w:t>Universitas</w:t>
      </w:r>
      <w:proofErr w:type="spellEnd"/>
      <w:r w:rsidR="00DA29D4" w:rsidRPr="00DA29D4">
        <w:rPr>
          <w:rFonts w:ascii="Arial" w:eastAsia="Arial" w:hAnsi="Arial" w:cs="Arial"/>
          <w:color w:val="000000"/>
          <w:sz w:val="16"/>
          <w:szCs w:val="16"/>
        </w:rPr>
        <w:t xml:space="preserve"> </w:t>
      </w:r>
      <w:proofErr w:type="spellStart"/>
      <w:r w:rsidR="00DA29D4" w:rsidRPr="00DA29D4">
        <w:rPr>
          <w:rFonts w:ascii="Arial" w:eastAsia="Arial" w:hAnsi="Arial" w:cs="Arial"/>
          <w:color w:val="000000"/>
          <w:sz w:val="16"/>
          <w:szCs w:val="16"/>
        </w:rPr>
        <w:t>Bhayangkara</w:t>
      </w:r>
      <w:proofErr w:type="spellEnd"/>
      <w:r w:rsidR="00DA29D4" w:rsidRPr="00DA29D4">
        <w:rPr>
          <w:rFonts w:ascii="Arial" w:eastAsia="Arial" w:hAnsi="Arial" w:cs="Arial"/>
          <w:color w:val="000000"/>
          <w:sz w:val="16"/>
          <w:szCs w:val="16"/>
        </w:rPr>
        <w:t xml:space="preserve"> Jakarta Raya</w:t>
      </w:r>
    </w:p>
    <w:p w14:paraId="79D1D460" w14:textId="0C284BD2" w:rsidR="00DA29D4" w:rsidRPr="00DA29D4" w:rsidRDefault="00DA29D4" w:rsidP="00E51251">
      <w:pPr>
        <w:widowControl w:val="0"/>
        <w:tabs>
          <w:tab w:val="left" w:pos="9020"/>
        </w:tabs>
        <w:spacing w:after="0" w:line="240" w:lineRule="auto"/>
        <w:ind w:left="0" w:hanging="2"/>
        <w:rPr>
          <w:rFonts w:ascii="Arial" w:eastAsia="Arial" w:hAnsi="Arial" w:cs="Arial"/>
          <w:color w:val="000000"/>
          <w:sz w:val="16"/>
          <w:szCs w:val="16"/>
        </w:rPr>
      </w:pPr>
      <w:r w:rsidRPr="00DA29D4">
        <w:rPr>
          <w:rFonts w:ascii="Arial" w:eastAsia="Arial" w:hAnsi="Arial" w:cs="Arial"/>
          <w:sz w:val="16"/>
          <w:szCs w:val="16"/>
          <w:vertAlign w:val="superscript"/>
        </w:rPr>
        <w:t>5</w:t>
      </w:r>
      <w:r w:rsidRPr="00DA29D4">
        <w:rPr>
          <w:rFonts w:ascii="Arial" w:eastAsia="Arial" w:hAnsi="Arial" w:cs="Arial"/>
          <w:color w:val="000000"/>
          <w:sz w:val="16"/>
          <w:szCs w:val="16"/>
        </w:rPr>
        <w:t xml:space="preserve">Industrial engineering Dept. </w:t>
      </w:r>
      <w:proofErr w:type="spellStart"/>
      <w:r w:rsidRPr="00DA29D4">
        <w:rPr>
          <w:rFonts w:ascii="Arial" w:eastAsia="Arial" w:hAnsi="Arial" w:cs="Arial"/>
          <w:color w:val="000000"/>
          <w:sz w:val="16"/>
          <w:szCs w:val="16"/>
        </w:rPr>
        <w:t>Universitas</w:t>
      </w:r>
      <w:proofErr w:type="spellEnd"/>
      <w:r w:rsidRPr="00DA29D4">
        <w:rPr>
          <w:rFonts w:ascii="Arial" w:eastAsia="Arial" w:hAnsi="Arial" w:cs="Arial"/>
          <w:color w:val="000000"/>
          <w:sz w:val="16"/>
          <w:szCs w:val="16"/>
        </w:rPr>
        <w:t xml:space="preserve"> Muhammadiyah Tangerang</w:t>
      </w:r>
    </w:p>
    <w:p w14:paraId="45E42319" w14:textId="00F16C91" w:rsidR="00DA29D4" w:rsidRPr="00DA29D4" w:rsidRDefault="00DA29D4" w:rsidP="00E51251">
      <w:pPr>
        <w:widowControl w:val="0"/>
        <w:tabs>
          <w:tab w:val="left" w:pos="9020"/>
        </w:tabs>
        <w:spacing w:after="0" w:line="240" w:lineRule="auto"/>
        <w:ind w:left="0" w:hanging="2"/>
        <w:rPr>
          <w:rFonts w:ascii="Arial" w:eastAsia="Arial" w:hAnsi="Arial" w:cs="Arial"/>
          <w:sz w:val="16"/>
          <w:szCs w:val="16"/>
        </w:rPr>
      </w:pPr>
      <w:r w:rsidRPr="00DA29D4">
        <w:rPr>
          <w:rFonts w:ascii="Arial" w:eastAsia="Arial" w:hAnsi="Arial" w:cs="Arial"/>
          <w:sz w:val="16"/>
          <w:szCs w:val="16"/>
          <w:vertAlign w:val="superscript"/>
        </w:rPr>
        <w:t>6</w:t>
      </w:r>
      <w:r w:rsidRPr="00DA29D4">
        <w:rPr>
          <w:rFonts w:ascii="Arial" w:eastAsia="Arial" w:hAnsi="Arial" w:cs="Arial"/>
          <w:color w:val="000000"/>
          <w:sz w:val="16"/>
          <w:szCs w:val="16"/>
        </w:rPr>
        <w:t xml:space="preserve">Industrial engineering Dept. </w:t>
      </w:r>
      <w:proofErr w:type="spellStart"/>
      <w:r w:rsidRPr="00DA29D4">
        <w:rPr>
          <w:rFonts w:ascii="Arial" w:eastAsia="Arial" w:hAnsi="Arial" w:cs="Arial"/>
          <w:color w:val="000000"/>
          <w:sz w:val="16"/>
          <w:szCs w:val="16"/>
        </w:rPr>
        <w:t>Sekolah</w:t>
      </w:r>
      <w:proofErr w:type="spellEnd"/>
      <w:r w:rsidRPr="00DA29D4">
        <w:rPr>
          <w:rFonts w:ascii="Arial" w:eastAsia="Arial" w:hAnsi="Arial" w:cs="Arial"/>
          <w:color w:val="000000"/>
          <w:sz w:val="16"/>
          <w:szCs w:val="16"/>
        </w:rPr>
        <w:t xml:space="preserve"> Tinggi </w:t>
      </w:r>
      <w:proofErr w:type="spellStart"/>
      <w:r w:rsidRPr="00DA29D4">
        <w:rPr>
          <w:rFonts w:ascii="Arial" w:eastAsia="Arial" w:hAnsi="Arial" w:cs="Arial"/>
          <w:color w:val="000000"/>
          <w:sz w:val="16"/>
          <w:szCs w:val="16"/>
        </w:rPr>
        <w:t>Teknologi</w:t>
      </w:r>
      <w:proofErr w:type="spellEnd"/>
      <w:r w:rsidRPr="00DA29D4">
        <w:rPr>
          <w:rFonts w:ascii="Arial" w:eastAsia="Arial" w:hAnsi="Arial" w:cs="Arial"/>
          <w:color w:val="000000"/>
          <w:sz w:val="16"/>
          <w:szCs w:val="16"/>
        </w:rPr>
        <w:t xml:space="preserve"> </w:t>
      </w:r>
      <w:proofErr w:type="spellStart"/>
      <w:r w:rsidRPr="00DA29D4">
        <w:rPr>
          <w:rFonts w:ascii="Arial" w:eastAsia="Arial" w:hAnsi="Arial" w:cs="Arial"/>
          <w:color w:val="000000"/>
          <w:sz w:val="16"/>
          <w:szCs w:val="16"/>
        </w:rPr>
        <w:t>Dumai</w:t>
      </w:r>
      <w:proofErr w:type="spellEnd"/>
    </w:p>
    <w:tbl>
      <w:tblPr>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E51251" w14:paraId="09D5AED9" w14:textId="77777777" w:rsidTr="00AC34CE">
        <w:tc>
          <w:tcPr>
            <w:tcW w:w="6236" w:type="dxa"/>
            <w:shd w:val="clear" w:color="auto" w:fill="9CC2E5"/>
          </w:tcPr>
          <w:p w14:paraId="25AB7A02" w14:textId="77777777" w:rsidR="00E51251" w:rsidRDefault="00E51251" w:rsidP="00AC34CE">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3E745666" w14:textId="40A6278B" w:rsidR="00E51251" w:rsidRPr="00C07B09" w:rsidRDefault="00827286" w:rsidP="00AC34CE">
            <w:pPr>
              <w:spacing w:after="0" w:line="240" w:lineRule="auto"/>
              <w:ind w:left="0" w:hanging="2"/>
              <w:jc w:val="both"/>
              <w:rPr>
                <w:rFonts w:ascii="Arial" w:eastAsia="Arial" w:hAnsi="Arial" w:cs="Arial"/>
                <w:sz w:val="20"/>
                <w:szCs w:val="20"/>
              </w:rPr>
            </w:pPr>
            <w:r w:rsidRPr="00C07B09">
              <w:rPr>
                <w:rFonts w:ascii="Arial" w:hAnsi="Arial" w:cs="Arial"/>
                <w:sz w:val="20"/>
                <w:szCs w:val="20"/>
              </w:rPr>
              <w:t>The placement of the Quality System (QS) within the Lean Manufacturing (LM) framework in the food industry has not yet reached a consensus among researchers</w:t>
            </w:r>
            <w:r w:rsidR="00E51251" w:rsidRPr="00C07B09">
              <w:rPr>
                <w:rFonts w:ascii="Arial" w:hAnsi="Arial" w:cs="Arial"/>
                <w:sz w:val="20"/>
                <w:szCs w:val="20"/>
              </w:rPr>
              <w:t xml:space="preserve">. The purpose of this research is to compare QS placement and LM implementation strategies in the food industry. </w:t>
            </w:r>
            <w:r w:rsidR="00C07B09" w:rsidRPr="00C07B09">
              <w:rPr>
                <w:rFonts w:ascii="Arial" w:hAnsi="Arial" w:cs="Arial"/>
                <w:sz w:val="20"/>
                <w:szCs w:val="20"/>
              </w:rPr>
              <w:t>This study employed a comparative approach with literature analysis and empirical data to compare the implementation of Lean Manufacturing (LM) in food companies in Indonesia. Two approaches to LM implementation were analyzed: phased implementation with a separate QS (Companies A and B) and simultaneous implementation with QS integrated (Companies C and D). To optimize LM performance, Response Surface Methodology (RSM) with Box-Behnken design was used, based on optimization theory. Principal Component Analysis (PCA) was applied to identify key variables, based on multivariate analysis theory, to map the factors contributing to the success of LM implementation</w:t>
            </w:r>
            <w:r w:rsidR="00E51251" w:rsidRPr="00C07B09">
              <w:rPr>
                <w:rFonts w:ascii="Arial" w:hAnsi="Arial" w:cs="Arial"/>
                <w:sz w:val="20"/>
                <w:szCs w:val="20"/>
              </w:rPr>
              <w:t>.</w:t>
            </w:r>
            <w:r w:rsidR="00BE0693">
              <w:rPr>
                <w:rFonts w:ascii="Arial" w:hAnsi="Arial" w:cs="Arial"/>
                <w:sz w:val="20"/>
                <w:szCs w:val="20"/>
              </w:rPr>
              <w:t xml:space="preserve"> </w:t>
            </w:r>
            <w:r w:rsidR="00E51251" w:rsidRPr="00C07B09">
              <w:rPr>
                <w:rFonts w:ascii="Arial" w:hAnsi="Arial" w:cs="Arial"/>
                <w:sz w:val="20"/>
                <w:szCs w:val="20"/>
              </w:rPr>
              <w:t>The study found that Company A achieved the highest performance with 5S (88%) and JIT (85%), followed by Company B with 80% for JIT and 75% for 5S. In contrast, Companies C and D showed lower performance. PCA results showed that PC1 (80.40%) focused on on-time delivery and sales growth, while PC2 (14.47%) highlighted rejection factors. Companies A and B excel in PC1, while Companies C and D were dominant in PC2. Gradual application of LM tools proved to be more effective than using all LM tools simultaneously.</w:t>
            </w:r>
          </w:p>
          <w:p w14:paraId="10235F53" w14:textId="77777777" w:rsidR="00E51251" w:rsidRDefault="00E51251" w:rsidP="00AC34CE">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8">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380CA594" w14:textId="77777777" w:rsidR="00E51251" w:rsidRDefault="00E51251" w:rsidP="00AC34CE">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42657B07" wp14:editId="4A2D9B4D">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583901F8" w14:textId="77777777" w:rsidR="00E51251" w:rsidRDefault="00E51251" w:rsidP="00AC34CE">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1E0D73D1" w14:textId="33B3D0E0" w:rsidR="00E51251" w:rsidRDefault="00E51251" w:rsidP="00AC34CE">
            <w:pPr>
              <w:widowControl w:val="0"/>
              <w:tabs>
                <w:tab w:val="left" w:pos="9020"/>
              </w:tabs>
              <w:spacing w:after="0" w:line="240" w:lineRule="auto"/>
              <w:ind w:left="0" w:hanging="2"/>
              <w:rPr>
                <w:rFonts w:ascii="Arial" w:hAnsi="Arial" w:cs="Arial"/>
                <w:i/>
                <w:sz w:val="18"/>
                <w:szCs w:val="18"/>
              </w:rPr>
            </w:pPr>
            <w:r w:rsidRPr="00BE3910">
              <w:rPr>
                <w:rFonts w:ascii="Arial" w:hAnsi="Arial" w:cs="Arial"/>
                <w:i/>
                <w:sz w:val="18"/>
                <w:szCs w:val="18"/>
              </w:rPr>
              <w:t>Evolution Lean Manufacturing</w:t>
            </w:r>
            <w:r w:rsidR="00C07FA1">
              <w:rPr>
                <w:rFonts w:ascii="Arial" w:eastAsia="Arial" w:hAnsi="Arial" w:cs="Arial"/>
                <w:i/>
                <w:sz w:val="18"/>
                <w:szCs w:val="18"/>
              </w:rPr>
              <w:t xml:space="preserve">; </w:t>
            </w:r>
            <w:r w:rsidRPr="00BE3910">
              <w:rPr>
                <w:rFonts w:ascii="Arial" w:hAnsi="Arial" w:cs="Arial"/>
                <w:i/>
                <w:sz w:val="18"/>
                <w:szCs w:val="18"/>
              </w:rPr>
              <w:t>Comparative study; system integration; Industry optimization, Performance Evaluation</w:t>
            </w:r>
          </w:p>
          <w:p w14:paraId="0520E1E9" w14:textId="77777777" w:rsidR="00E51251" w:rsidRPr="00BE3910" w:rsidRDefault="00E51251" w:rsidP="00AC34CE">
            <w:pPr>
              <w:widowControl w:val="0"/>
              <w:tabs>
                <w:tab w:val="left" w:pos="9020"/>
              </w:tabs>
              <w:spacing w:after="0" w:line="240" w:lineRule="auto"/>
              <w:ind w:left="0" w:hanging="2"/>
              <w:rPr>
                <w:rFonts w:ascii="Arial" w:eastAsia="Arial" w:hAnsi="Arial" w:cs="Arial"/>
                <w:i/>
                <w:sz w:val="18"/>
                <w:szCs w:val="18"/>
              </w:rPr>
            </w:pPr>
          </w:p>
          <w:p w14:paraId="598757F9"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3846CB5E"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0EF49BCF"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590A12B0"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727BD681"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13E11AA3"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p>
          <w:p w14:paraId="3DC797C9"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2D16D92E" w14:textId="347B2724" w:rsidR="00E51251" w:rsidRDefault="00E35C4C" w:rsidP="00AC34CE">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hyperlink r:id="rId10" w:history="1">
              <w:r w:rsidR="00E51251" w:rsidRPr="00ED4828">
                <w:rPr>
                  <w:rStyle w:val="Hyperlink"/>
                  <w:rFonts w:ascii="Arial" w:eastAsia="Arial" w:hAnsi="Arial" w:cs="Arial"/>
                  <w:i/>
                  <w:sz w:val="18"/>
                  <w:szCs w:val="18"/>
                </w:rPr>
                <w:t>Budianto_delta@yahoo.com</w:t>
              </w:r>
            </w:hyperlink>
            <w:r w:rsidR="00E51251">
              <w:rPr>
                <w:rFonts w:ascii="Arial" w:eastAsia="Arial" w:hAnsi="Arial" w:cs="Arial"/>
                <w:i/>
                <w:sz w:val="18"/>
                <w:szCs w:val="18"/>
              </w:rPr>
              <w:t xml:space="preserve"> </w:t>
            </w:r>
            <w:r w:rsidR="00A63C58">
              <w:rPr>
                <w:rFonts w:ascii="Arial" w:eastAsia="Arial" w:hAnsi="Arial" w:cs="Arial"/>
                <w:i/>
                <w:sz w:val="18"/>
                <w:szCs w:val="18"/>
              </w:rPr>
              <w:t xml:space="preserve">; </w:t>
            </w:r>
            <w:hyperlink r:id="rId11" w:history="1">
              <w:r w:rsidR="00A63C58" w:rsidRPr="00951ADF">
                <w:rPr>
                  <w:rStyle w:val="Hyperlink"/>
                  <w:rFonts w:ascii="Arial" w:eastAsia="Arial" w:hAnsi="Arial" w:cs="Arial"/>
                  <w:i/>
                  <w:sz w:val="18"/>
                  <w:szCs w:val="18"/>
                </w:rPr>
                <w:t>budianto@ista.ac.id</w:t>
              </w:r>
            </w:hyperlink>
            <w:r w:rsidR="00A63C58">
              <w:rPr>
                <w:rFonts w:ascii="Arial" w:eastAsia="Arial" w:hAnsi="Arial" w:cs="Arial"/>
                <w:i/>
                <w:sz w:val="18"/>
                <w:szCs w:val="18"/>
              </w:rPr>
              <w:t xml:space="preserve"> </w:t>
            </w:r>
          </w:p>
          <w:p w14:paraId="60968769" w14:textId="77777777" w:rsidR="00E51251" w:rsidRDefault="00E51251" w:rsidP="00AC34CE">
            <w:pPr>
              <w:widowControl w:val="0"/>
              <w:tabs>
                <w:tab w:val="left" w:pos="9020"/>
              </w:tabs>
              <w:spacing w:after="0" w:line="240" w:lineRule="auto"/>
              <w:ind w:left="0" w:hanging="2"/>
              <w:rPr>
                <w:rFonts w:ascii="Arial" w:eastAsia="Arial" w:hAnsi="Arial" w:cs="Arial"/>
                <w:sz w:val="18"/>
                <w:szCs w:val="18"/>
              </w:rPr>
            </w:pPr>
          </w:p>
        </w:tc>
      </w:tr>
    </w:tbl>
    <w:p w14:paraId="65A17D4B" w14:textId="77777777" w:rsidR="00E51251" w:rsidRDefault="00E51251" w:rsidP="00E51251">
      <w:pPr>
        <w:widowControl w:val="0"/>
        <w:tabs>
          <w:tab w:val="left" w:pos="9020"/>
        </w:tabs>
        <w:spacing w:after="0" w:line="240" w:lineRule="auto"/>
        <w:ind w:left="0" w:hanging="2"/>
        <w:jc w:val="center"/>
        <w:rPr>
          <w:rFonts w:ascii="Arial" w:eastAsia="Arial" w:hAnsi="Arial" w:cs="Arial"/>
          <w:sz w:val="20"/>
          <w:szCs w:val="20"/>
        </w:rPr>
        <w:sectPr w:rsidR="00E51251">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7F508481" w14:textId="4063E774" w:rsidR="00E51251" w:rsidRDefault="00E51251" w:rsidP="00E51251">
      <w:pPr>
        <w:widowControl w:val="0"/>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 xml:space="preserve">INTRODUCTION </w:t>
      </w:r>
    </w:p>
    <w:p w14:paraId="1C2D2E60" w14:textId="66AD3CB8" w:rsidR="00F3457F" w:rsidRPr="004342C4" w:rsidRDefault="00F3457F" w:rsidP="00F3457F">
      <w:pPr>
        <w:pStyle w:val="NormalWeb"/>
        <w:ind w:hanging="2"/>
        <w:jc w:val="both"/>
        <w:rPr>
          <w:rFonts w:ascii="Arial" w:hAnsi="Arial" w:cs="Arial"/>
          <w:sz w:val="20"/>
          <w:szCs w:val="20"/>
        </w:rPr>
      </w:pPr>
      <w:r w:rsidRPr="004342C4">
        <w:rPr>
          <w:rFonts w:ascii="Arial" w:hAnsi="Arial" w:cs="Arial"/>
          <w:sz w:val="20"/>
          <w:szCs w:val="20"/>
        </w:rPr>
        <w:t xml:space="preserve">The implementation strategy of Lean Manufacturing (LM) has not been fully understood by food companies, and this condition is further complicated by differing perceptions among previous researchers. Some studies suggest that </w:t>
      </w:r>
      <w:r w:rsidRPr="004342C4">
        <w:rPr>
          <w:rFonts w:ascii="Arial" w:hAnsi="Arial" w:cs="Arial"/>
          <w:sz w:val="20"/>
          <w:szCs w:val="20"/>
        </w:rPr>
        <w:t xml:space="preserve">the gradual implementation of LM facilitates the selection and evaluation of appropriate LM tools </w:t>
      </w:r>
      <w:r w:rsidRPr="00BE3910">
        <w:rPr>
          <w:rFonts w:ascii="Arial" w:hAnsi="Arial" w:cs="Arial"/>
          <w:sz w:val="20"/>
          <w:szCs w:val="20"/>
        </w:rPr>
        <w:fldChar w:fldCharType="begin" w:fldLock="1"/>
      </w:r>
      <w:r w:rsidR="006163EC">
        <w:rPr>
          <w:rFonts w:ascii="Arial" w:hAnsi="Arial" w:cs="Arial"/>
          <w:sz w:val="20"/>
          <w:szCs w:val="20"/>
        </w:rPr>
        <w:instrText>ADDIN CSL_CITATION {"citationItems":[{"id":"ITEM-1","itemData":{"DOI":"https://doi.org/10.1007/978-3-319-00557-7_127","author":[{"dropping-particle":"","family":"Ian Kennedy","given":"Andrew Plunkett and Julﬁkar Haider","non-dropping-particle":"","parse-names":false,"suffix":""}],"id":"ITEM-1","issued":{"date-parts":[["2013"]]},"publisher":"Springer International Publishing","title":"a consept lean manufacturing model","type":"article"},"uris":["http://www.mendeley.com/documents/?uuid=c9760bb0-969c-4ed1-86ec-487e2a114c72"]}],"mendeley":{"formattedCitation":"[1]","plainTextFormattedCitation":"[1]","previouslyFormattedCitation":"[1]"},"properties":{"noteIndex":0},"schema":"https://github.com/citation-style-language/schema/raw/master/csl-citation.json"}</w:instrText>
      </w:r>
      <w:r w:rsidRPr="00BE3910">
        <w:rPr>
          <w:rFonts w:ascii="Arial" w:hAnsi="Arial" w:cs="Arial"/>
          <w:sz w:val="20"/>
          <w:szCs w:val="20"/>
        </w:rPr>
        <w:fldChar w:fldCharType="separate"/>
      </w:r>
      <w:r w:rsidR="006163EC" w:rsidRPr="006163EC">
        <w:rPr>
          <w:rFonts w:ascii="Arial" w:hAnsi="Arial" w:cs="Arial"/>
          <w:noProof/>
          <w:color w:val="2F5496" w:themeColor="accent1" w:themeShade="BF"/>
          <w:sz w:val="20"/>
          <w:szCs w:val="20"/>
        </w:rPr>
        <w:t>[1]</w:t>
      </w:r>
      <w:r w:rsidRPr="00BE3910">
        <w:rPr>
          <w:rFonts w:ascii="Arial" w:hAnsi="Arial" w:cs="Arial"/>
          <w:sz w:val="20"/>
          <w:szCs w:val="20"/>
        </w:rPr>
        <w:fldChar w:fldCharType="end"/>
      </w:r>
      <w:r w:rsidRPr="004342C4">
        <w:rPr>
          <w:rFonts w:ascii="Arial" w:hAnsi="Arial" w:cs="Arial"/>
          <w:sz w:val="20"/>
          <w:szCs w:val="20"/>
        </w:rPr>
        <w:t xml:space="preserve">. On the other hand, other research indicates that simultaneous application of LM tools can save processing time </w:t>
      </w:r>
      <w:r w:rsidRPr="0090085C">
        <w:rPr>
          <w:rFonts w:ascii="Arial" w:hAnsi="Arial" w:cs="Arial"/>
          <w:color w:val="2F5496" w:themeColor="accent1" w:themeShade="BF"/>
          <w:sz w:val="20"/>
          <w:szCs w:val="20"/>
        </w:rPr>
        <w:fldChar w:fldCharType="begin" w:fldLock="1"/>
      </w:r>
      <w:r w:rsidR="006163EC">
        <w:rPr>
          <w:rFonts w:ascii="Arial" w:hAnsi="Arial" w:cs="Arial"/>
          <w:color w:val="2F5496" w:themeColor="accent1" w:themeShade="BF"/>
          <w:sz w:val="20"/>
          <w:szCs w:val="20"/>
        </w:rPr>
        <w:instrText>ADDIN CSL_CITATION {"citationItems":[{"id":"ITEM-1","itemData":{"DOI":"10.2478/orga-2014-0013","ISSN":"1581-1832","abstract":" Background and Purpose: The objective of this paper was to evaluate effects of implementing lean manufacturing in a Serbian confectionery production company during a period of 24 months, emphasizing observed benefits and constrains. Company ‘case study’ is a leading confectionery producer in Serbia with annual production of more than 25,000 t.  Methodology/Approach: The research method was case study. The approach in implementing lean manufacturing was structured in five phases, as follows: (i) training, (ii) analysis of lean wastes on one technological line, (iii) choice of lean tools to be implemented in the factory, (iv) implementation of lean tools in production and maintenance, (v) development of continual improvement sector and further deployment of lean tools.  Results: Lean manufacturing tools implemented in the production process were visual control and single minute exchange of dies (SMED). Maintenance process implemented 5S with total productive maintenance (TPM) and problem solving sessions being the tools implemented in both processes. During the observed period, results of these tools showed the following: visual control tables initiated 61 improvement memos out of which 39% were fully implemented; a total of 2284 minor problems had been recorded, with over 95% of issues revealed in due time; total SMED time decreased for 7.6%; 19 problem solving sessions were initiated with 58% of solving effectiveness, and the remaining converted to on-going projects. In maintenance 5S improved from 29.9 to 60.3; overall equipment effectiveness (OEE) indicator increased from 87.9% to 92.3%; mean time between failure (MTBF) increased for 16.4%. Conclusion: As a result of all activities, 20 in-house trainings and 2 ‘kaizen’ events including motivational training have been initiated with 54 documents being revised and improved in order to contribute to more efficient processes. ","author":[{"dropping-particle":"","family":"Djekic","given":"Ilija","non-dropping-particle":"","parse-names":false,"suffix":""},{"dropping-particle":"","family":"Zivanovic","given":"Dragan","non-dropping-particle":"","parse-names":false,"suffix":""},{"dropping-particle":"","family":"Dragojlovic","given":"Sladjana","non-dropping-particle":"","parse-names":false,"suffix":""},{"dropping-particle":"","family":"Dragovic","given":"Radoslava","non-dropping-particle":"","parse-names":false,"suffix":""}],"container-title":"Organizacija","id":"ITEM-1","issue":"3","issued":{"date-parts":[["2014"]]},"page":"143-152","title":"Lean Manufacturing Effects in a Serbian Confectionery Company – Case Study","type":"article-journal","volume":"47"},"uris":["http://www.mendeley.com/documents/?uuid=4c980448-e40c-4949-be0f-3309d0e0382c"]},{"id":"ITEM-2","itemData":{"DOI":"10.4067/s0718-27242015000300013","ISSN":"07182724","abstract":"Recent years have shown an increasing use of lean manufacturing (LM) principles and tools in several industrial sectors. Already a wellestablished management philosophy, it has shown numerous successful applications even outside production environments. This work presents the application of some LM tools, and the corresponding shift in philosophy, in two Portuguese companies of the food and beverage industries. Main implementation issues are presented and discussed; followed by the results obtained from the application of LM tools in the production system of these companies. Significant gains are obtained in both companies and, more importantly, it instills a continuous improvement culture and increases production flexibility while reducing lead times.","author":[{"dropping-particle":"","family":"Lopes","given":"Rui Borges","non-dropping-particle":"","parse-names":false,"suffix":""},{"dropping-particle":"","family":"Freitas","given":"Filipa","non-dropping-particle":"","parse-names":false,"suffix":""},{"dropping-particle":"","family":"Sousa","given":"Inês","non-dropping-particle":"","parse-names":false,"suffix":""}],"container-title":"Journal of Technology Management and Innovation","id":"ITEM-2","issue":"3","issued":{"date-parts":[["2015"]]},"page":"120-130","title":"Application of lean manufacturing tools in the food and beverage industries","type":"article-journal","volume":"10"},"uris":["http://www.mendeley.com/documents/?uuid=9ed1f6f4-3e6b-4b71-9f08-a57d5af25c8c"]}],"mendeley":{"formattedCitation":"[2], [3]","plainTextFormattedCitation":"[2], [3]","previouslyFormattedCitation":"[2], [3]"},"properties":{"noteIndex":0},"schema":"https://github.com/citation-style-language/schema/raw/master/csl-citation.json"}</w:instrText>
      </w:r>
      <w:r w:rsidRPr="0090085C">
        <w:rPr>
          <w:rFonts w:ascii="Arial" w:hAnsi="Arial" w:cs="Arial"/>
          <w:color w:val="2F5496" w:themeColor="accent1" w:themeShade="BF"/>
          <w:sz w:val="20"/>
          <w:szCs w:val="20"/>
        </w:rPr>
        <w:fldChar w:fldCharType="separate"/>
      </w:r>
      <w:r w:rsidR="006163EC" w:rsidRPr="006163EC">
        <w:rPr>
          <w:rFonts w:ascii="Arial" w:hAnsi="Arial" w:cs="Arial"/>
          <w:noProof/>
          <w:color w:val="2F5496" w:themeColor="accent1" w:themeShade="BF"/>
          <w:sz w:val="20"/>
          <w:szCs w:val="20"/>
        </w:rPr>
        <w:t>[2], [3]</w:t>
      </w:r>
      <w:r w:rsidRPr="0090085C">
        <w:rPr>
          <w:rFonts w:ascii="Arial" w:hAnsi="Arial" w:cs="Arial"/>
          <w:color w:val="2F5496" w:themeColor="accent1" w:themeShade="BF"/>
          <w:sz w:val="20"/>
          <w:szCs w:val="20"/>
        </w:rPr>
        <w:fldChar w:fldCharType="end"/>
      </w:r>
      <w:r>
        <w:rPr>
          <w:rFonts w:ascii="Arial" w:hAnsi="Arial" w:cs="Arial"/>
          <w:sz w:val="20"/>
          <w:szCs w:val="20"/>
        </w:rPr>
        <w:t xml:space="preserve">. </w:t>
      </w:r>
      <w:r w:rsidRPr="004342C4">
        <w:rPr>
          <w:rFonts w:ascii="Arial" w:hAnsi="Arial" w:cs="Arial"/>
          <w:sz w:val="20"/>
          <w:szCs w:val="20"/>
        </w:rPr>
        <w:t>These differing views highlight the lack of clarity regarding the best LM implementation strategy in the food sector.</w:t>
      </w:r>
    </w:p>
    <w:p w14:paraId="53B32F5F" w14:textId="40A5D7C2" w:rsidR="00F3457F" w:rsidRDefault="00F3457F" w:rsidP="00BC10C2">
      <w:pPr>
        <w:widowControl w:val="0"/>
        <w:spacing w:after="0" w:line="240" w:lineRule="auto"/>
        <w:ind w:left="0" w:hanging="2"/>
        <w:jc w:val="both"/>
        <w:rPr>
          <w:rFonts w:ascii="Arial" w:eastAsia="Arial" w:hAnsi="Arial" w:cs="Arial"/>
          <w:color w:val="1F4E79"/>
          <w:sz w:val="20"/>
          <w:szCs w:val="20"/>
        </w:rPr>
      </w:pPr>
      <w:r w:rsidRPr="004342C4">
        <w:rPr>
          <w:rFonts w:ascii="Arial" w:hAnsi="Arial" w:cs="Arial"/>
          <w:sz w:val="20"/>
          <w:szCs w:val="20"/>
        </w:rPr>
        <w:lastRenderedPageBreak/>
        <w:t>Meanwhile, although the LM concept has been widely applied in various industries, its effectiveness in the food processing sector remains uncertain</w:t>
      </w:r>
      <w:r w:rsidR="00DD199F">
        <w:rPr>
          <w:rFonts w:ascii="Arial" w:hAnsi="Arial" w:cs="Arial"/>
          <w:sz w:val="20"/>
          <w:szCs w:val="20"/>
        </w:rPr>
        <w:t xml:space="preserve"> </w:t>
      </w:r>
      <w:r w:rsidR="00DD199F">
        <w:rPr>
          <w:rFonts w:ascii="Arial" w:hAnsi="Arial" w:cs="Arial"/>
          <w:sz w:val="20"/>
          <w:szCs w:val="20"/>
        </w:rPr>
        <w:fldChar w:fldCharType="begin" w:fldLock="1"/>
      </w:r>
      <w:r w:rsidR="004B0C5A">
        <w:rPr>
          <w:rFonts w:ascii="Arial" w:hAnsi="Arial" w:cs="Arial"/>
          <w:sz w:val="20"/>
          <w:szCs w:val="20"/>
        </w:rPr>
        <w:instrText>ADDIN CSL_CITATION {"citationItems":[{"id":"ITEM-1","itemData":{"DOI":"10.1016/j.clscn.2023.100104","ISSN":"27723909","abstract":"The agri-food supply chain has unique characteristics, such as perishability, high product differentiation, and safety requirements, which results in one-third of its production being lost and wasted. The chain is also responsible for emitting annually the equivalent of 3.6 gigatons of CO2. Recently, the circular economy has experienced advances in non-perishable products, and the agri-food system has been studied mainly through conceptual research. In contrast to other supply chains, there are conditions in the agri-food supply chain that stakeholders are unable or reluctant to explore when adopting circular alternatives. For instance, the costs involved in food recovery and reuse, market advantages, regulations, and education are relevant to incentivizing holistic sustainability in the agri-food sector. However, few studies have focused on the adoption of circularity in this chain as a complex system. The decisions, incentives, and obstacles relevant to adopting circular alternatives within and between echelons, and why, when, and how stakeholders made them, have not been directly analyzed. In this context, a systematic review of existing circular economy publications within the agri-food supply chain domain was conducted and is discussed in this review with two aims: (1) to establish the frontiers of studies related to circularity adoption by the chain, referred to as the circular food economy (CFE), so as to understand the characteristics of the decision-making process of the different stakeholders of the chain; and (2) to summarize the barriers and drivers mentioned in the literature, including discussing their impacts on what, why, who, and how decisions to adopt CFE are currently made. The results showed the complexity of studying circularity in agri-food supply chains and revealed that food loss and waste, cost-efficiency alternatives, policy-making, information and communication technologies, customer preferences, stakeholder cooperation incentives, and industry-academia-government collaboration are key aspects of the decision-making process. Potential future studies within this domain are also discussed.","author":[{"dropping-particle":"","family":"Rico Lugo","given":"Sinndy Dayana","non-dropping-particle":"","parse-names":false,"suffix":""},{"dropping-particle":"","family":"Kimita","given":"Koji","non-dropping-particle":"","parse-names":false,"suffix":""},{"dropping-particle":"","family":"Nishino","given":"Nariaki","non-dropping-particle":"","parse-names":false,"suffix":""}],"container-title":"Cleaner Logistics and Supply Chain","id":"ITEM-1","issue":"October 2022","issued":{"date-parts":[["2023"]]},"page":"100104","publisher":"Elsevier Ltd","title":"Characteristics of decision process towards circular food economy: A review","type":"article-journal","volume":"7"},"uris":["http://www.mendeley.com/documents/?uuid=a42a4d09-2bc6-4e93-a93f-9a25c271cefc"]}],"mendeley":{"formattedCitation":"[4]","plainTextFormattedCitation":"[4]","previouslyFormattedCitation":"[4]"},"properties":{"noteIndex":0},"schema":"https://github.com/citation-style-language/schema/raw/master/csl-citation.json"}</w:instrText>
      </w:r>
      <w:r w:rsidR="00DD199F">
        <w:rPr>
          <w:rFonts w:ascii="Arial" w:hAnsi="Arial" w:cs="Arial"/>
          <w:sz w:val="20"/>
          <w:szCs w:val="20"/>
        </w:rPr>
        <w:fldChar w:fldCharType="separate"/>
      </w:r>
      <w:r w:rsidR="00DD199F" w:rsidRPr="00DD199F">
        <w:rPr>
          <w:rFonts w:ascii="Arial" w:hAnsi="Arial" w:cs="Arial"/>
          <w:noProof/>
          <w:sz w:val="20"/>
          <w:szCs w:val="20"/>
        </w:rPr>
        <w:t>[4]</w:t>
      </w:r>
      <w:r w:rsidR="00DD199F">
        <w:rPr>
          <w:rFonts w:ascii="Arial" w:hAnsi="Arial" w:cs="Arial"/>
          <w:sz w:val="20"/>
          <w:szCs w:val="20"/>
        </w:rPr>
        <w:fldChar w:fldCharType="end"/>
      </w:r>
      <w:r w:rsidRPr="004342C4">
        <w:rPr>
          <w:rFonts w:ascii="Arial" w:hAnsi="Arial" w:cs="Arial"/>
          <w:sz w:val="20"/>
          <w:szCs w:val="20"/>
        </w:rPr>
        <w:t>. Food products face unique challenges such as limited shelf life, susceptibility to spoilage, and dependence on seasonal raw materials</w:t>
      </w:r>
      <w:r w:rsidR="00DD199F">
        <w:rPr>
          <w:rFonts w:ascii="Arial" w:hAnsi="Arial" w:cs="Arial"/>
          <w:sz w:val="20"/>
          <w:szCs w:val="20"/>
        </w:rPr>
        <w:fldChar w:fldCharType="begin" w:fldLock="1"/>
      </w:r>
      <w:r w:rsidR="004B0C5A">
        <w:rPr>
          <w:rFonts w:ascii="Arial" w:hAnsi="Arial" w:cs="Arial"/>
          <w:sz w:val="20"/>
          <w:szCs w:val="20"/>
        </w:rPr>
        <w:instrText>ADDIN CSL_CITATION {"citationItems":[{"id":"ITEM-1","itemData":{"DOI":"10.3390/su13137222","ISSN":"20711050","abstract":"Food security, as part as public health protection, constitutes one of the main objectives for countries aiming to ensure the health of all their citizens. However, food security is compromised worldwide by conflict, political instability, or economic crises, both in developed and developing countries. Conversely, because of the importance of agriculture to the economies of rural areas both in developed and developing countries, this sector can contribute to improving food stability, as well as to furthering food security. Thus, livestock and traditional meat products represent a key factor in ensuring food availability. Overall, biosecurity measures improve animal welfare by decreasing the occurrence of diseases that compromise the stability by causing fluctuations in the availability of meat and animal-derived food products such as milk, eggs, or traditional fermented products. As a consequence, an absence of biosecurity measures affects food security (in its quantitative definition, as described above) as well as the productive, sanitary, and environmental sustainability of the rural environment. Products of animal origin support local trade and the regional economy, while contributing to the availability of foods without great external dependence. The manufacture of foods of animal origin aims to create products that are durable and that maintain food availability for long periods of time, even during seasons with scarce resources. Thus, dry-cured or fermented meat products play an important role in food availability. Food security also refers to food access under healthy economic conditions; therefore, knowledge of the main tools that guarantee the safety of these kinds of food products is essential to achieving food stability and further food security.","author":[{"dropping-particle":"","family":"García-Díez","given":"Juan","non-dropping-particle":"","parse-names":false,"suffix":""},{"dropping-particle":"","family":"Gonçalves","given":"Carla","non-dropping-particle":"","parse-names":false,"suffix":""},{"dropping-particle":"","family":"Grispoldi","given":"Luca","non-dropping-particle":"","parse-names":false,"suffix":""},{"dropping-particle":"","family":"Cenci-Goga","given":"Beniamino","non-dropping-particle":"","parse-names":false,"suffix":""},{"dropping-particle":"","family":"Saraiva","given":"Cristina","non-dropping-particle":"","parse-names":false,"suffix":""}],"container-title":"Sustainability (Switzerland)","id":"ITEM-1","issue":"13","issued":{"date-parts":[["2021"]]},"page":"1-13","title":"Determining food stability to achieve food security","type":"article-journal","volume":"13"},"uris":["http://www.mendeley.com/documents/?uuid=8011517a-4e9b-4c54-a4ea-8628ec03dd10"]}],"mendeley":{"formattedCitation":"[5]","plainTextFormattedCitation":"[5]","previouslyFormattedCitation":"[5]"},"properties":{"noteIndex":0},"schema":"https://github.com/citation-style-language/schema/raw/master/csl-citation.json"}</w:instrText>
      </w:r>
      <w:r w:rsidR="00DD199F">
        <w:rPr>
          <w:rFonts w:ascii="Arial" w:hAnsi="Arial" w:cs="Arial"/>
          <w:sz w:val="20"/>
          <w:szCs w:val="20"/>
        </w:rPr>
        <w:fldChar w:fldCharType="separate"/>
      </w:r>
      <w:r w:rsidR="00DD199F" w:rsidRPr="00DD199F">
        <w:rPr>
          <w:rFonts w:ascii="Arial" w:hAnsi="Arial" w:cs="Arial"/>
          <w:noProof/>
          <w:sz w:val="20"/>
          <w:szCs w:val="20"/>
        </w:rPr>
        <w:t>[</w:t>
      </w:r>
      <w:r w:rsidR="00DD199F" w:rsidRPr="0063024C">
        <w:rPr>
          <w:rFonts w:ascii="Arial" w:hAnsi="Arial" w:cs="Arial"/>
          <w:noProof/>
          <w:color w:val="2F5496" w:themeColor="accent1" w:themeShade="BF"/>
          <w:sz w:val="20"/>
          <w:szCs w:val="20"/>
        </w:rPr>
        <w:t>5</w:t>
      </w:r>
      <w:r w:rsidR="00DD199F" w:rsidRPr="00DD199F">
        <w:rPr>
          <w:rFonts w:ascii="Arial" w:hAnsi="Arial" w:cs="Arial"/>
          <w:noProof/>
          <w:sz w:val="20"/>
          <w:szCs w:val="20"/>
        </w:rPr>
        <w:t>]</w:t>
      </w:r>
      <w:r w:rsidR="00DD199F">
        <w:rPr>
          <w:rFonts w:ascii="Arial" w:hAnsi="Arial" w:cs="Arial"/>
          <w:sz w:val="20"/>
          <w:szCs w:val="20"/>
        </w:rPr>
        <w:fldChar w:fldCharType="end"/>
      </w:r>
      <w:r w:rsidRPr="004342C4">
        <w:rPr>
          <w:rFonts w:ascii="Arial" w:hAnsi="Arial" w:cs="Arial"/>
          <w:sz w:val="20"/>
          <w:szCs w:val="20"/>
        </w:rPr>
        <w:t>, making LM implementation more complex</w:t>
      </w:r>
      <w:r w:rsidR="00DD199F">
        <w:rPr>
          <w:rFonts w:ascii="Arial" w:hAnsi="Arial" w:cs="Arial"/>
          <w:sz w:val="20"/>
          <w:szCs w:val="20"/>
        </w:rPr>
        <w:t xml:space="preserve"> </w:t>
      </w:r>
      <w:r w:rsidR="00DD199F">
        <w:rPr>
          <w:rFonts w:ascii="Arial" w:hAnsi="Arial" w:cs="Arial"/>
          <w:sz w:val="20"/>
          <w:szCs w:val="20"/>
        </w:rPr>
        <w:fldChar w:fldCharType="begin" w:fldLock="1"/>
      </w:r>
      <w:r w:rsidR="004B0C5A">
        <w:rPr>
          <w:rFonts w:ascii="Arial" w:hAnsi="Arial" w:cs="Arial"/>
          <w:sz w:val="20"/>
          <w:szCs w:val="20"/>
        </w:rPr>
        <w:instrText>ADDIN CSL_CITATION {"citationItems":[{"id":"ITEM-1","itemData":{"DOI":"10.3390/foods12163138","ISSN":"23048158","abstract":"In the wake of the COVID-19 pandemic, and Ukraine–Russian conflict, both significant geo-political and socio-economic shocks to the global food system and food insecurity has risen across the world. One potential remedy to reduce the level of food insecurity is to move from a lean just-in-time food system to one where there is more resilience through greater agility both in routine supply operations and also in the event of an emergency situation. The aim of this critical perspectives paper was to firstly reflect on the concepts of lean, agility, and ‘leagility’. Then, this study considered the ability of individual organisations and the whole food system to be resilient, adaptive, enable the elimination of waste, reduce inefficiency, and assure the consistent delivery to market requirements in terms of both volume, safety, and quality. Promoting the concept of leagility together with advocating resilient, sustainable practices that embed buffer and adaptive capacity, this paper positions that increasing digitalisation and improving business continuity planning can ensure effective operationalisation of supply chains under both normal and crisis situations, ultimately reducing the risk of food insecurity at personal, household, and community levels.","author":[{"dropping-particle":"","family":"Kowalska","given":"Aleksandra","non-dropping-particle":"","parse-names":false,"suffix":""},{"dropping-particle":"","family":"Lingham","given":"Sophia","non-dropping-particle":"","parse-names":false,"suffix":""},{"dropping-particle":"","family":"Maye","given":"Damian","non-dropping-particle":"","parse-names":false,"suffix":""},{"dropping-particle":"","family":"Manning","given":"Louise","non-dropping-particle":"","parse-names":false,"suffix":""}],"container-title":"Foods","id":"ITEM-1","issue":"16","issued":{"date-parts":[["2023"]]},"page":"1-18","title":"Food Insecurity: Is Leagility a Potential Remedy?","type":"article-journal","volume":"12"},"uris":["http://www.mendeley.com/documents/?uuid=0e7f461f-da32-4f73-b784-c7bc282f22d3"]}],"mendeley":{"formattedCitation":"[6]","plainTextFormattedCitation":"[6]","previouslyFormattedCitation":"[6]"},"properties":{"noteIndex":0},"schema":"https://github.com/citation-style-language/schema/raw/master/csl-citation.json"}</w:instrText>
      </w:r>
      <w:r w:rsidR="00DD199F">
        <w:rPr>
          <w:rFonts w:ascii="Arial" w:hAnsi="Arial" w:cs="Arial"/>
          <w:sz w:val="20"/>
          <w:szCs w:val="20"/>
        </w:rPr>
        <w:fldChar w:fldCharType="separate"/>
      </w:r>
      <w:r w:rsidR="00DD199F" w:rsidRPr="00DD199F">
        <w:rPr>
          <w:rFonts w:ascii="Arial" w:hAnsi="Arial" w:cs="Arial"/>
          <w:noProof/>
          <w:sz w:val="20"/>
          <w:szCs w:val="20"/>
        </w:rPr>
        <w:t>[</w:t>
      </w:r>
      <w:r w:rsidR="00DD199F" w:rsidRPr="0063024C">
        <w:rPr>
          <w:rFonts w:ascii="Arial" w:hAnsi="Arial" w:cs="Arial"/>
          <w:noProof/>
          <w:color w:val="2F5496" w:themeColor="accent1" w:themeShade="BF"/>
          <w:sz w:val="20"/>
          <w:szCs w:val="20"/>
        </w:rPr>
        <w:t>6</w:t>
      </w:r>
      <w:r w:rsidR="00DD199F" w:rsidRPr="00DD199F">
        <w:rPr>
          <w:rFonts w:ascii="Arial" w:hAnsi="Arial" w:cs="Arial"/>
          <w:noProof/>
          <w:sz w:val="20"/>
          <w:szCs w:val="20"/>
        </w:rPr>
        <w:t>]</w:t>
      </w:r>
      <w:r w:rsidR="00DD199F">
        <w:rPr>
          <w:rFonts w:ascii="Arial" w:hAnsi="Arial" w:cs="Arial"/>
          <w:sz w:val="20"/>
          <w:szCs w:val="20"/>
        </w:rPr>
        <w:fldChar w:fldCharType="end"/>
      </w:r>
      <w:r w:rsidRPr="004342C4">
        <w:rPr>
          <w:rFonts w:ascii="Arial" w:hAnsi="Arial" w:cs="Arial"/>
          <w:sz w:val="20"/>
          <w:szCs w:val="20"/>
        </w:rPr>
        <w:t xml:space="preserve">. Therefore, it is crucial to evaluate whether the LM concept introduced by Krafcik </w:t>
      </w:r>
      <w:r w:rsidRPr="0090085C">
        <w:rPr>
          <w:rStyle w:val="IJPMLink"/>
          <w:rFonts w:ascii="Arial" w:hAnsi="Arial" w:cs="Arial"/>
          <w:color w:val="2F5496" w:themeColor="accent1" w:themeShade="BF"/>
          <w:sz w:val="20"/>
          <w:szCs w:val="20"/>
        </w:rPr>
        <w:fldChar w:fldCharType="begin" w:fldLock="1"/>
      </w:r>
      <w:r w:rsidR="004B0C5A">
        <w:rPr>
          <w:rStyle w:val="IJPMLink"/>
          <w:rFonts w:ascii="Arial" w:hAnsi="Arial" w:cs="Arial"/>
          <w:color w:val="2F5496" w:themeColor="accent1" w:themeShade="BF"/>
          <w:sz w:val="20"/>
          <w:szCs w:val="20"/>
        </w:rPr>
        <w:instrText>ADDIN CSL_CITATION {"citationItems":[{"id":"ITEM-1","itemData":{"DOI":"10.1108/01443570911005992","ISBN":"0019848X","ISSN":"0019848X","PMID":"48014718","abstract":"Research conducted by the Massachusetts Institute of Technology's International Motor Vehicle Program overturns a common myth about the automobile industry -- that productivity and quality levels are determined by an assembly plant's location. There is, in reality, a wide range of performance among plants in Japan, North America, and Europe. Many of the principles of Henry Ford in their purest forms are still valid and make up the very basis of what is now known as the Toyota Production System. After World War II and before the early 1980s, differences were clear between the production systems of Toyota and most producers in the West. Recently, these differences have begun to lessen as Western producers have adapted Toyota's interpretation of pure Fordism. During most of the postwar period, most Western production systems were buffered against almost everything. Other plants, best exemplified by Toyota, were lean operations. Plants with lean production policies are able to manufacture a wide range of models but maintain high degrees of quality and productivity.","author":[{"dropping-particle":"","family":"Krafcik","given":"John F.","non-dropping-particle":"","parse-names":false,"suffix":""}],"container-title":"Sloan Management Review","id":"ITEM-1","issued":{"date-parts":[["1988"]]},"title":"Triumph of the lean production system","type":"article-journal"},"uris":["http://www.mendeley.com/documents/?uuid=6087430e-9c68-4c1f-9ade-ff446d51f451"]}],"mendeley":{"formattedCitation":"[7]","plainTextFormattedCitation":"[7]","previouslyFormattedCitation":"[7]"},"properties":{"noteIndex":0},"schema":"https://github.com/citation-style-language/schema/raw/master/csl-citation.json"}</w:instrText>
      </w:r>
      <w:r w:rsidRPr="0090085C">
        <w:rPr>
          <w:rStyle w:val="IJPMLink"/>
          <w:rFonts w:ascii="Arial" w:hAnsi="Arial" w:cs="Arial"/>
          <w:color w:val="2F5496" w:themeColor="accent1" w:themeShade="BF"/>
          <w:sz w:val="20"/>
          <w:szCs w:val="20"/>
        </w:rPr>
        <w:fldChar w:fldCharType="separate"/>
      </w:r>
      <w:r w:rsidR="00DD199F" w:rsidRPr="00DD199F">
        <w:rPr>
          <w:rStyle w:val="IJPMLink"/>
          <w:rFonts w:ascii="Arial" w:hAnsi="Arial" w:cs="Arial"/>
          <w:noProof/>
          <w:color w:val="2F5496" w:themeColor="accent1" w:themeShade="BF"/>
          <w:sz w:val="20"/>
          <w:szCs w:val="20"/>
        </w:rPr>
        <w:t>[7]</w:t>
      </w:r>
      <w:r w:rsidRPr="0090085C">
        <w:rPr>
          <w:rStyle w:val="IJPMLink"/>
          <w:rFonts w:ascii="Arial" w:hAnsi="Arial" w:cs="Arial"/>
          <w:color w:val="2F5496" w:themeColor="accent1" w:themeShade="BF"/>
          <w:sz w:val="20"/>
          <w:szCs w:val="20"/>
        </w:rPr>
        <w:fldChar w:fldCharType="end"/>
      </w:r>
      <w:r w:rsidRPr="004342C4">
        <w:rPr>
          <w:rFonts w:ascii="Arial" w:hAnsi="Arial" w:cs="Arial"/>
          <w:sz w:val="20"/>
          <w:szCs w:val="20"/>
        </w:rPr>
        <w:t>, initially applied in the automotive industry, can also be effectively implemented in the food industry.</w:t>
      </w:r>
    </w:p>
    <w:p w14:paraId="01E25AF7" w14:textId="1EF7A462" w:rsidR="00324AFA" w:rsidRDefault="004B0C5A" w:rsidP="00BC10C2">
      <w:pPr>
        <w:spacing w:after="0" w:line="240" w:lineRule="auto"/>
        <w:ind w:left="0" w:hanging="2"/>
        <w:jc w:val="both"/>
        <w:rPr>
          <w:rFonts w:ascii="Arial" w:hAnsi="Arial" w:cs="Arial"/>
          <w:sz w:val="20"/>
        </w:rPr>
      </w:pPr>
      <w:r w:rsidRPr="007A6B02">
        <w:rPr>
          <w:rFonts w:ascii="Arial" w:hAnsi="Arial" w:cs="Arial"/>
          <w:sz w:val="20"/>
        </w:rPr>
        <w:t xml:space="preserve">Comparative efforts between literature and empirical data on LM implementation have been widely conducted in non-processing industries. However, the relationship between LM and QS has only been studied by </w:t>
      </w:r>
      <w:proofErr w:type="spellStart"/>
      <w:r w:rsidRPr="007A6B02">
        <w:rPr>
          <w:rFonts w:ascii="Arial" w:hAnsi="Arial" w:cs="Arial"/>
          <w:sz w:val="20"/>
        </w:rPr>
        <w:t>Manoj</w:t>
      </w:r>
      <w:proofErr w:type="spellEnd"/>
      <w:r w:rsidRPr="007A6B02">
        <w:rPr>
          <w:rFonts w:ascii="Arial" w:hAnsi="Arial" w:cs="Arial"/>
          <w:sz w:val="20"/>
        </w:rPr>
        <w:t xml:space="preserve"> Dora </w:t>
      </w:r>
      <w:r>
        <w:rPr>
          <w:rFonts w:ascii="Arial" w:hAnsi="Arial" w:cs="Arial"/>
          <w:sz w:val="20"/>
        </w:rPr>
        <w:fldChar w:fldCharType="begin" w:fldLock="1"/>
      </w:r>
      <w:r>
        <w:rPr>
          <w:rFonts w:ascii="Arial" w:hAnsi="Arial" w:cs="Arial"/>
          <w:sz w:val="20"/>
        </w:rPr>
        <w:instrText>ADDIN CSL_CITATION {"citationItems":[{"id":"ITEM-1","itemData":{"DOI":"10.1016/j.tifs.2013.03.002","ISSN":"09242244","abstract":"This study analyzes the application of lean manufacturing, its impact on operational performance and critical success factors in the food processing SMEs. The review of current literature was complemented with a survey of food processing companies in three European countries in order to gain a deeper understanding of lean manufacturing in the backdrop of other similar quality initiatives. The findings show that the application of lean manufacturing practices in food SMEs is still at its infancy. Food processing SMEs place more emphasis on food safety than on process improvement methods. The respondents indicated improvement in operational performance, especially with overall productivity from the application of lean manufacturing. Skill of workforce, in-house expertise and organizational culture are critical factors for successful implementation of lean manufacturing practices. •The lean manufacturing practices in food SMEs is still at its infancy.•Food processing SMEs place more emphasis on food safety than on process improvement.•Lean manufacturing improve operational performance, mainly productivity and quality.•Skill of workforce, in-house expertise and organizational culture are critical success factors. © 2013 Elsevier Ltd.","author":[{"dropping-particle":"","family":"Dora","given":"Manoj","non-dropping-particle":"","parse-names":false,"suffix":""},{"dropping-particle":"","family":"Kumar","given":"Maneesh","non-dropping-particle":"","parse-names":false,"suffix":""},{"dropping-particle":"","family":"Goubergen","given":"Dirk","non-dropping-particle":"Van","parse-names":false,"suffix":""},{"dropping-particle":"","family":"Molnar","given":"Adrienn","non-dropping-particle":"","parse-names":false,"suffix":""},{"dropping-particle":"","family":"Gellynck","given":"Xavier","non-dropping-particle":"","parse-names":false,"suffix":""}],"container-title":"Trends in Food Science and Technology","id":"ITEM-1","issue":"2","issued":{"date-parts":[["2013"]]},"page":"156-164","publisher":"Elsevier Ltd","title":"Operational performance and critical success factors of lean manufacturing in European food processing SMEs","type":"article-journal","volume":"31"},"uris":["http://www.mendeley.com/documents/?uuid=ba78bfbc-976a-4d58-81cb-31e57c211654"]},{"id":"ITEM-2","itemData":{"DOI":"10.1080/09537287.2015.1050477","ISSN":"13665871","abstract":"This study explored contextual or determining factors and their impacts on lean manufacturing in small- and medium-sized enterprises (SMEs) operating in food-processing industries. In order to get an in-depth insight into the real situation at the work floor, this study adopted a multiple-case-study research approach. The inherent characteristics of food industries, such as mandatory quality assurance requirements, low shelf life of food products, and the extremely volatile demand and supply presented barriers to lean manufacturing adoption. In addition, the challenges of 'change' in an SME environment are distinct from those faced by large organizations. The small size of the plant, the traditional setup, and inflexible layout make it difficult to implement lean manufacturing in food-processing SMEs. The knowledge of contextual factors influencing lean manufacturing adoption in food processing SMEs will be a contribution to current knowledge. Many studies have explored lean constructs and tools, while far fewer have explored the crucial element of actually implementing these. The study will also help practitioners to anticipate potential obstacles and take proper measures to deal with them during lean implementation.","author":[{"dropping-particle":"","family":"Dora","given":"Manoj","non-dropping-particle":"","parse-names":false,"suffix":""},{"dropping-particle":"","family":"Kumar","given":"Maneesh","non-dropping-particle":"","parse-names":false,"suffix":""},{"dropping-particle":"","family":"Gellynck","given":"Xavier","non-dropping-particle":"","parse-names":false,"suffix":""}],"container-title":"Production Planning and Control","id":"ITEM-2","issue":"1","issued":{"date-parts":[["2016"]]},"page":"1-23","title":"Determinants and barriers to lean implementation in food-processing SMEs - A multiple case analysis","type":"article-journal","volume":"27"},"uris":["http://www.mendeley.com/documents/?uuid=bab636fe-f89c-4488-a0ae-8d939803c562"]}],"mendeley":{"formattedCitation":"[8], [9]","plainTextFormattedCitation":"[8], [9]","previouslyFormattedCitation":"[8], [9]"},"properties":{"noteIndex":0},"schema":"https://github.com/citation-style-language/schema/raw/master/csl-citation.json"}</w:instrText>
      </w:r>
      <w:r>
        <w:rPr>
          <w:rFonts w:ascii="Arial" w:hAnsi="Arial" w:cs="Arial"/>
          <w:sz w:val="20"/>
        </w:rPr>
        <w:fldChar w:fldCharType="separate"/>
      </w:r>
      <w:r w:rsidRPr="004B0C5A">
        <w:rPr>
          <w:rFonts w:ascii="Arial" w:hAnsi="Arial" w:cs="Arial"/>
          <w:noProof/>
          <w:sz w:val="20"/>
        </w:rPr>
        <w:t>[</w:t>
      </w:r>
      <w:r w:rsidRPr="0063024C">
        <w:rPr>
          <w:rFonts w:ascii="Arial" w:hAnsi="Arial" w:cs="Arial"/>
          <w:noProof/>
          <w:color w:val="2F5496" w:themeColor="accent1" w:themeShade="BF"/>
          <w:sz w:val="20"/>
        </w:rPr>
        <w:t>8</w:t>
      </w:r>
      <w:r w:rsidRPr="004B0C5A">
        <w:rPr>
          <w:rFonts w:ascii="Arial" w:hAnsi="Arial" w:cs="Arial"/>
          <w:noProof/>
          <w:sz w:val="20"/>
        </w:rPr>
        <w:t>], [</w:t>
      </w:r>
      <w:r w:rsidRPr="0063024C">
        <w:rPr>
          <w:rFonts w:ascii="Arial" w:hAnsi="Arial" w:cs="Arial"/>
          <w:noProof/>
          <w:color w:val="2F5496" w:themeColor="accent1" w:themeShade="BF"/>
          <w:sz w:val="20"/>
        </w:rPr>
        <w:t>9</w:t>
      </w:r>
      <w:r w:rsidRPr="004B0C5A">
        <w:rPr>
          <w:rFonts w:ascii="Arial" w:hAnsi="Arial" w:cs="Arial"/>
          <w:noProof/>
          <w:sz w:val="20"/>
        </w:rPr>
        <w:t>]</w:t>
      </w:r>
      <w:r>
        <w:rPr>
          <w:rFonts w:ascii="Arial" w:hAnsi="Arial" w:cs="Arial"/>
          <w:sz w:val="20"/>
        </w:rPr>
        <w:fldChar w:fldCharType="end"/>
      </w:r>
      <w:r w:rsidRPr="007A6B02">
        <w:rPr>
          <w:rFonts w:ascii="Arial" w:hAnsi="Arial" w:cs="Arial"/>
          <w:sz w:val="20"/>
        </w:rPr>
        <w:t xml:space="preserve">. </w:t>
      </w:r>
      <w:proofErr w:type="spellStart"/>
      <w:r w:rsidRPr="007A6B02">
        <w:rPr>
          <w:rFonts w:ascii="Arial" w:hAnsi="Arial" w:cs="Arial"/>
          <w:sz w:val="20"/>
        </w:rPr>
        <w:t>Manoj</w:t>
      </w:r>
      <w:proofErr w:type="spellEnd"/>
      <w:r w:rsidRPr="007A6B02">
        <w:rPr>
          <w:rFonts w:ascii="Arial" w:hAnsi="Arial" w:cs="Arial"/>
          <w:sz w:val="20"/>
        </w:rPr>
        <w:t xml:space="preserve"> Dora </w:t>
      </w:r>
      <w:r>
        <w:rPr>
          <w:rFonts w:ascii="Arial" w:hAnsi="Arial" w:cs="Arial"/>
          <w:sz w:val="20"/>
        </w:rPr>
        <w:t xml:space="preserve">et al. </w:t>
      </w:r>
      <w:r>
        <w:rPr>
          <w:rFonts w:ascii="Arial" w:hAnsi="Arial" w:cs="Arial"/>
          <w:sz w:val="20"/>
        </w:rPr>
        <w:fldChar w:fldCharType="begin" w:fldLock="1"/>
      </w:r>
      <w:r>
        <w:rPr>
          <w:rFonts w:ascii="Arial" w:hAnsi="Arial" w:cs="Arial"/>
          <w:sz w:val="20"/>
        </w:rPr>
        <w:instrText>ADDIN CSL_CITATION {"citationItems":[{"id":"ITEM-1","itemData":{"DOI":"10.1016/j.tifs.2013.03.002","ISSN":"09242244","abstract":"This study analyzes the application of lean manufacturing, its impact on operational performance and critical success factors in the food processing SMEs. The review of current literature was complemented with a survey of food processing companies in three European countries in order to gain a deeper understanding of lean manufacturing in the backdrop of other similar quality initiatives. The findings show that the application of lean manufacturing practices in food SMEs is still at its infancy. Food processing SMEs place more emphasis on food safety than on process improvement methods. The respondents indicated improvement in operational performance, especially with overall productivity from the application of lean manufacturing. Skill of workforce, in-house expertise and organizational culture are critical factors for successful implementation of lean manufacturing practices. •The lean manufacturing practices in food SMEs is still at its infancy.•Food processing SMEs place more emphasis on food safety than on process improvement.•Lean manufacturing improve operational performance, mainly productivity and quality.•Skill of workforce, in-house expertise and organizational culture are critical success factors. © 2013 Elsevier Ltd.","author":[{"dropping-particle":"","family":"Dora","given":"Manoj","non-dropping-particle":"","parse-names":false,"suffix":""},{"dropping-particle":"","family":"Kumar","given":"Maneesh","non-dropping-particle":"","parse-names":false,"suffix":""},{"dropping-particle":"","family":"Goubergen","given":"Dirk","non-dropping-particle":"Van","parse-names":false,"suffix":""},{"dropping-particle":"","family":"Molnar","given":"Adrienn","non-dropping-particle":"","parse-names":false,"suffix":""},{"dropping-particle":"","family":"Gellynck","given":"Xavier","non-dropping-particle":"","parse-names":false,"suffix":""}],"container-title":"Trends in Food Science and Technology","id":"ITEM-1","issue":"2","issued":{"date-parts":[["2013"]]},"page":"156-164","publisher":"Elsevier Ltd","title":"Operational performance and critical success factors of lean manufacturing in European food processing SMEs","type":"article-journal","volume":"31"},"uris":["http://www.mendeley.com/documents/?uuid=ba78bfbc-976a-4d58-81cb-31e57c211654"]}],"mendeley":{"formattedCitation":"[8]","plainTextFormattedCitation":"[8]","previouslyFormattedCitation":"[8]"},"properties":{"noteIndex":0},"schema":"https://github.com/citation-style-language/schema/raw/master/csl-citation.json"}</w:instrText>
      </w:r>
      <w:r>
        <w:rPr>
          <w:rFonts w:ascii="Arial" w:hAnsi="Arial" w:cs="Arial"/>
          <w:sz w:val="20"/>
        </w:rPr>
        <w:fldChar w:fldCharType="separate"/>
      </w:r>
      <w:r w:rsidRPr="004B0C5A">
        <w:rPr>
          <w:rFonts w:ascii="Arial" w:hAnsi="Arial" w:cs="Arial"/>
          <w:noProof/>
          <w:sz w:val="20"/>
        </w:rPr>
        <w:t>[8]</w:t>
      </w:r>
      <w:r>
        <w:rPr>
          <w:rFonts w:ascii="Arial" w:hAnsi="Arial" w:cs="Arial"/>
          <w:sz w:val="20"/>
        </w:rPr>
        <w:fldChar w:fldCharType="end"/>
      </w:r>
      <w:r w:rsidRPr="007A6B02">
        <w:rPr>
          <w:rFonts w:ascii="Arial" w:hAnsi="Arial" w:cs="Arial"/>
          <w:sz w:val="20"/>
        </w:rPr>
        <w:t xml:space="preserve"> compared literature with surveys in three countries, while in 2016, he conducted direct observations in four food processing companies. The findings showed that although LM can improve efficiency, challenges like strict QS requirements and food industry-specific factors hinder its effective implementation. </w:t>
      </w:r>
    </w:p>
    <w:p w14:paraId="30308D40" w14:textId="77777777" w:rsidR="00324AFA" w:rsidRDefault="00324AFA" w:rsidP="00BC10C2">
      <w:pPr>
        <w:spacing w:after="0" w:line="240" w:lineRule="auto"/>
        <w:ind w:left="0" w:hanging="2"/>
        <w:jc w:val="both"/>
        <w:rPr>
          <w:rFonts w:ascii="Arial" w:hAnsi="Arial" w:cs="Arial"/>
          <w:sz w:val="20"/>
          <w:szCs w:val="20"/>
        </w:rPr>
      </w:pPr>
      <w:proofErr w:type="spellStart"/>
      <w:r>
        <w:rPr>
          <w:rFonts w:ascii="Arial" w:hAnsi="Arial" w:cs="Arial"/>
          <w:sz w:val="20"/>
          <w:szCs w:val="20"/>
        </w:rPr>
        <w:t>Manoj</w:t>
      </w:r>
      <w:proofErr w:type="spellEnd"/>
      <w:r>
        <w:rPr>
          <w:rFonts w:ascii="Arial" w:hAnsi="Arial" w:cs="Arial"/>
          <w:sz w:val="20"/>
          <w:szCs w:val="20"/>
        </w:rPr>
        <w:t xml:space="preserve"> </w:t>
      </w:r>
      <w:r w:rsidRPr="00324AFA">
        <w:rPr>
          <w:rFonts w:ascii="Arial" w:hAnsi="Arial" w:cs="Arial"/>
          <w:sz w:val="20"/>
          <w:szCs w:val="20"/>
        </w:rPr>
        <w:t>Dora's</w:t>
      </w:r>
      <w:r>
        <w:rPr>
          <w:rFonts w:ascii="Arial" w:hAnsi="Arial" w:cs="Arial"/>
          <w:sz w:val="20"/>
          <w:szCs w:val="20"/>
        </w:rPr>
        <w:t xml:space="preserve"> </w:t>
      </w:r>
      <w:r w:rsidRPr="004B0C5A">
        <w:rPr>
          <w:rFonts w:ascii="Arial" w:hAnsi="Arial" w:cs="Arial"/>
          <w:noProof/>
          <w:sz w:val="20"/>
        </w:rPr>
        <w:t>[9]</w:t>
      </w:r>
      <w:r w:rsidRPr="00324AFA">
        <w:rPr>
          <w:rFonts w:ascii="Arial" w:hAnsi="Arial" w:cs="Arial"/>
          <w:sz w:val="20"/>
          <w:szCs w:val="20"/>
        </w:rPr>
        <w:t xml:space="preserve"> research has not fully optimized the use of advanced statistical methods such as RSM and PCA, even though these methods are important for identifying and grouping the dominant factors that influence the implementation of LM in the food industry. RSM helps optimize important variables, while PCA provides a more comprehensive analysis of the factors affecting operational performance and product quality. The application of these two methods is expected to fill the gap in previous research, offering a deeper understanding of the challenges and opportunities in LM implementation in the food industry.</w:t>
      </w:r>
    </w:p>
    <w:p w14:paraId="30C46D0E" w14:textId="3520E919" w:rsidR="00E51251" w:rsidRDefault="00E51251" w:rsidP="00BC10C2">
      <w:pPr>
        <w:spacing w:after="0" w:line="240" w:lineRule="auto"/>
        <w:ind w:left="0" w:hanging="2"/>
        <w:jc w:val="both"/>
        <w:rPr>
          <w:rFonts w:ascii="Arial" w:hAnsi="Arial" w:cs="Arial"/>
          <w:sz w:val="20"/>
          <w:szCs w:val="20"/>
        </w:rPr>
      </w:pPr>
      <w:r w:rsidRPr="00BE3910">
        <w:rPr>
          <w:rFonts w:ascii="Arial" w:hAnsi="Arial" w:cs="Arial"/>
          <w:sz w:val="20"/>
          <w:szCs w:val="20"/>
        </w:rPr>
        <w:t xml:space="preserve">To carry out an in-depth and valid analysis of the actual situation, multiple case studies are used. The case study method is the most suitable method that focuses on the exploratory nature of research  </w:t>
      </w:r>
      <w:r w:rsidRPr="0090085C">
        <w:rPr>
          <w:rStyle w:val="IJPMLink"/>
          <w:rFonts w:ascii="Arial" w:hAnsi="Arial" w:cs="Arial"/>
          <w:color w:val="2F5496" w:themeColor="accent1" w:themeShade="BF"/>
          <w:sz w:val="20"/>
          <w:szCs w:val="20"/>
        </w:rPr>
        <w:fldChar w:fldCharType="begin" w:fldLock="1"/>
      </w:r>
      <w:r w:rsidR="004B0C5A">
        <w:rPr>
          <w:rStyle w:val="IJPMLink"/>
          <w:rFonts w:ascii="Arial" w:hAnsi="Arial" w:cs="Arial"/>
          <w:color w:val="2F5496" w:themeColor="accent1" w:themeShade="BF"/>
          <w:sz w:val="20"/>
          <w:szCs w:val="20"/>
        </w:rPr>
        <w:instrText>ADDIN CSL_CITATION {"citationItems":[{"id":"ITEM-1","itemData":{"ISSN":"0033-5177","author":[{"dropping-particle":"","family":"Casula","given":"Mattia","non-dropping-particle":"","parse-names":false,"suffix":""},{"dropping-particle":"","family":"Rangarajan","given":"Nandhini","non-dropping-particle":"","parse-names":false,"suffix":""},{"dropping-particle":"","family":"Shields","given":"Patricia","non-dropping-particle":"","parse-names":false,"suffix":""}],"container-title":"Quality &amp; Quantity","id":"ITEM-1","issue":"5","issued":{"date-parts":[["2021"]]},"page":"1703-1725","publisher":"Springer","title":"The potential of working hypotheses for deductive exploratory research","type":"article-journal","volume":"55"},"uris":["http://www.mendeley.com/documents/?uuid=1fa20e26-fb53-4762-99fb-81fc758e73e0"]}],"mendeley":{"formattedCitation":"[10]","plainTextFormattedCitation":"[10]","previouslyFormattedCitation":"[10]"},"properties":{"noteIndex":0},"schema":"https://github.com/citation-style-language/schema/raw/master/csl-citation.json"}</w:instrText>
      </w:r>
      <w:r w:rsidRPr="0090085C">
        <w:rPr>
          <w:rStyle w:val="IJPMLink"/>
          <w:rFonts w:ascii="Arial" w:hAnsi="Arial" w:cs="Arial"/>
          <w:color w:val="2F5496" w:themeColor="accent1" w:themeShade="BF"/>
          <w:sz w:val="20"/>
          <w:szCs w:val="20"/>
        </w:rPr>
        <w:fldChar w:fldCharType="separate"/>
      </w:r>
      <w:r w:rsidR="004B0C5A" w:rsidRPr="004B0C5A">
        <w:rPr>
          <w:rStyle w:val="IJPMLink"/>
          <w:rFonts w:ascii="Arial" w:hAnsi="Arial" w:cs="Arial"/>
          <w:noProof/>
          <w:color w:val="2F5496" w:themeColor="accent1" w:themeShade="BF"/>
          <w:sz w:val="20"/>
          <w:szCs w:val="20"/>
        </w:rPr>
        <w:t>[10]</w:t>
      </w:r>
      <w:r w:rsidRPr="0090085C">
        <w:rPr>
          <w:rStyle w:val="IJPMLink"/>
          <w:rFonts w:ascii="Arial" w:hAnsi="Arial" w:cs="Arial"/>
          <w:color w:val="2F5496" w:themeColor="accent1" w:themeShade="BF"/>
          <w:sz w:val="20"/>
          <w:szCs w:val="20"/>
        </w:rPr>
        <w:fldChar w:fldCharType="end"/>
      </w:r>
      <w:r w:rsidRPr="00BE3910">
        <w:rPr>
          <w:rFonts w:ascii="Arial" w:hAnsi="Arial" w:cs="Arial"/>
          <w:sz w:val="20"/>
          <w:szCs w:val="20"/>
        </w:rPr>
        <w:t xml:space="preserve">, where qualitative and quantitative data are used </w:t>
      </w:r>
      <w:r w:rsidRPr="00E51251">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ADDIN CSL_CITATION {"citationItems":[{"id":"ITEM-1","itemData":{"ISSN":"0747-5632","author":[{"dropping-particle":"","family":"Choshin","given":"Mahdi","non-dropping-particle":"","parse-names":false,"suffix":""},{"dropping-particle":"","family":"Ghaffari","given":"Ali","non-dropping-particle":"","parse-names":false,"suffix":""}],"container-title":"Computers in Human Behavior","id":"ITEM-1","issued":{"date-parts":[["2017"]]},"page":"67-74","publisher":"Elsevier","title":"An investigation of the impact of effective factors on the success of e-commerce in small-and medium-sized companies","type":"article-journal","volume":"66"},"uris":["http://www.mendeley.com/documents/?uuid=9d46cb8e-a443-47b7-86ac-3c96e888581a"]}],"mendeley":{"formattedCitation":"[11]","plainTextFormattedCitation":"[11]","previouslyFormattedCitation":"[11]"},"properties":{"noteIndex":0},"schema":"https://github.com/citation-style-language/schema/raw/master/csl-citation.json"}</w:instrText>
      </w:r>
      <w:r w:rsidRPr="00E51251">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[11]</w:t>
      </w:r>
      <w:r w:rsidRPr="00E51251">
        <w:rPr>
          <w:rFonts w:ascii="Arial" w:hAnsi="Arial" w:cs="Arial"/>
          <w:color w:val="2F5496" w:themeColor="accent1" w:themeShade="BF"/>
          <w:sz w:val="20"/>
          <w:szCs w:val="20"/>
        </w:rPr>
        <w:fldChar w:fldCharType="end"/>
      </w:r>
      <w:r w:rsidRPr="00BE3910">
        <w:rPr>
          <w:rFonts w:ascii="Arial" w:hAnsi="Arial" w:cs="Arial"/>
          <w:sz w:val="20"/>
          <w:szCs w:val="20"/>
        </w:rPr>
        <w:t xml:space="preserve"> Cases that have occurred will provide in-depth information about the process for testing hypotheses and explaining cause and effect relationships </w:t>
      </w:r>
      <w:r w:rsidRPr="0090085C">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ADDIN CSL_CITATION {"citationItems":[{"id":"ITEM-1","itemData":{"DOI":"10.1016/0149-7189(96)88232-2","ISBN":"0803955405","ISSN":"01497189","PMID":"22184739","abstract":"This document was originally part of the manual for The Ethnograph v4. It also exists in the manual for The Ethnograph v5 as Appendix E.. You can freely download, copy, print and disseminate this document if 1) the copyright notice is included, 2) you include the entire document, and 3) you do not alter the document in any way. This permission does not extend to the Manual itself. Only to this electronic version of Appendix E. The information in this document represents some, but not all, of the ideas of the developer of The Ethnograph. I reserve the right to revise and change my ideas as I continue to develop them.","author":[{"dropping-particle":"","family":"Miles, M.B &amp; Huberman","given":"A.M","non-dropping-particle":"","parse-names":false,"suffix":""}],"container-title":"Sage Publications","id":"ITEM-1","issued":{"date-parts":[["1994"]]},"title":"An expanded sourcebook: Qualitative data analysis (2nd Edition)","type":"book"},"uris":["http://www.mendeley.com/documents/?uuid=82370613-7273-491c-a982-8672e57fb862"]}],"mendeley":{"formattedCitation":"[12]","plainTextFormattedCitation":"[12]","previouslyFormattedCitation":"[12]"},"properties":{"noteIndex":0},"schema":"https://github.com/citation-style-language/schema/raw/master/csl-citation.json"}</w:instrText>
      </w:r>
      <w:r w:rsidRPr="0090085C">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[12]</w:t>
      </w:r>
      <w:r w:rsidRPr="0090085C">
        <w:rPr>
          <w:rFonts w:ascii="Arial" w:hAnsi="Arial" w:cs="Arial"/>
          <w:color w:val="2F5496" w:themeColor="accent1" w:themeShade="BF"/>
          <w:sz w:val="20"/>
          <w:szCs w:val="20"/>
        </w:rPr>
        <w:fldChar w:fldCharType="end"/>
      </w:r>
      <w:r w:rsidRPr="00BE3910">
        <w:rPr>
          <w:rFonts w:ascii="Arial" w:hAnsi="Arial" w:cs="Arial"/>
          <w:sz w:val="20"/>
          <w:szCs w:val="20"/>
        </w:rPr>
        <w:t xml:space="preserve">. This method is very helpful in making conclusions regarding causal relationships </w:t>
      </w:r>
      <w:r w:rsidRPr="0090085C">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ADDIN CSL_CITATION {"citationItems":[{"id":"ITEM-1","itemData":{"DOI":"10.1007/978-3-319-90772-7_10","ISBN":"978-3-319-90772-7","abstract":"The distinguished historian of the Renaissance, Jacob Burckhardt, once remarked that the true use of history is not to make men more clever for the next time but to make them wiser forever. Admittedly, it is not easy to learn from history, though almost every statesman and general has professed to have done so. In the first place, people often disagree as to the correct lesson to be drawn from a particular historical experience. For example, quite different lessons regarding military strategy for fighting limited wars were drawn from the frustrating experience of the Korean War and once again, quite ominously, from the failure of American military power in the Vietnam War. Second, even if people agree on the correct lessons to be drawn from a particular historical case, they often misapply those lessons to a new situation that differs from the past one in important respects.","author":[{"dropping-particle":"","family":"George","given":"Alexander L","non-dropping-particle":"","parse-names":false,"suffix":""}],"editor":[{"dropping-particle":"","family":"Caldwell","given":"Dan","non-dropping-particle":"","parse-names":false,"suffix":""}],"id":"ITEM-1","issued":{"date-parts":[["2019"]]},"page":"191-214","publisher":"Springer International Publishing","publisher-place":"Cham","title":"Case Studies and Theory Development: The Method of Structured, Focused Comparison BT  - Alexander L. George: A Pioneer in Political and Social Sciences: With a Foreword by Dan Caldwell","type":"chapter"},"uris":["http://www.mendeley.com/documents/?uuid=cdf9ba71-9861-4ffd-a6cf-33095e7b0bce"]}],"mendeley":{"formattedCitation":"[13]","plainTextFormattedCitation":"[13]","previouslyFormattedCitation":"[13]"},"properties":{"noteIndex":0},"schema":"https://github.com/citation-style-language/schema/raw/master/csl-citation.json"}</w:instrText>
      </w:r>
      <w:r w:rsidRPr="0090085C">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[13]</w:t>
      </w:r>
      <w:r w:rsidRPr="0090085C">
        <w:rPr>
          <w:rFonts w:ascii="Arial" w:hAnsi="Arial" w:cs="Arial"/>
          <w:color w:val="2F5496" w:themeColor="accent1" w:themeShade="BF"/>
          <w:sz w:val="20"/>
          <w:szCs w:val="20"/>
        </w:rPr>
        <w:fldChar w:fldCharType="end"/>
      </w:r>
      <w:r w:rsidRPr="00BE3910">
        <w:rPr>
          <w:rFonts w:ascii="Arial" w:hAnsi="Arial" w:cs="Arial"/>
          <w:sz w:val="20"/>
          <w:szCs w:val="20"/>
        </w:rPr>
        <w:t xml:space="preserve">. This method is also suitable for use in analyzing certain phenomena that focus on events </w:t>
      </w:r>
      <w:r w:rsidRPr="0090085C">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ADDIN CSL_CITATION {"citationItems":[{"id":"ITEM-1","itemData":{"DOI":"https://doi.org/10.1016/j.compedu.2022.104711","ISSN":"0360-1315","abstract":"Research on the use of augmented reality (AR) in education has received a lot of attention in recent years. Based on many systematic reviews and meta-analyses, it has been concluded that AR is effective. Recently, however, researchers have criticized the fact that the empirical basis for this conclusion is based on results from methodologically problematic media comparison studies. However, an analysis of the literature and quantitative evidence for this claim are lacking. In this research project, this research gap was addressed using the Systematic Review method. A total of 92 primary studies from the top 12 Educational Technology journals were coded and analyzed. The results show that research on AR in education is based on media comparison studies: 80% of the studies compare AR to another medium or technology. Few studies examine how and when learning with AR is effective. In addition, results show that over the years, since 2009, more media comparison studies have been published than other research types. We summarize why media comparison studies are problematic and discuss directions for future research on AR in education. This research shifts from the question if AR can be used in instruction to the more important questions of how and when learning and teaching with AR works.","author":[{"dropping-particle":"","family":"Buchner","given":"Josef","non-dropping-particle":"","parse-names":false,"suffix":""},{"dropping-particle":"","family":"Kerres","given":"Michael","non-dropping-particle":"","parse-names":false,"suffix":""}],"container-title":"Computers &amp; Education","id":"ITEM-1","issued":{"date-parts":[["2023"]]},"page":"104711","title":"Media comparison studies dominate comparative research on augmented reality in education","type":"article-journal","volume":"195"},"uris":["http://www.mendeley.com/documents/?uuid=b1f93b18-ab21-497e-ba62-704a29409183"]}],"mendeley":{"formattedCitation":"[14]","plainTextFormattedCitation":"[14]","previouslyFormattedCitation":"[14]"},"properties":{"noteIndex":0},"schema":"https://github.com/citation-style-language/schema/raw/master/csl-citation.json"}</w:instrText>
      </w:r>
      <w:r w:rsidRPr="0090085C">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[14]</w:t>
      </w:r>
      <w:r w:rsidRPr="0090085C">
        <w:rPr>
          <w:rFonts w:ascii="Arial" w:hAnsi="Arial" w:cs="Arial"/>
          <w:color w:val="2F5496" w:themeColor="accent1" w:themeShade="BF"/>
          <w:sz w:val="20"/>
          <w:szCs w:val="20"/>
        </w:rPr>
        <w:fldChar w:fldCharType="end"/>
      </w:r>
      <w:r w:rsidRPr="00BE3910">
        <w:rPr>
          <w:rFonts w:ascii="Arial" w:hAnsi="Arial" w:cs="Arial"/>
          <w:sz w:val="20"/>
          <w:szCs w:val="20"/>
        </w:rPr>
        <w:t>.</w:t>
      </w:r>
    </w:p>
    <w:p w14:paraId="60DA7790" w14:textId="77777777" w:rsidR="00A67DA5" w:rsidRPr="00A67DA5" w:rsidRDefault="00A67DA5" w:rsidP="00A67DA5">
      <w:pPr>
        <w:spacing w:after="0" w:line="240" w:lineRule="auto"/>
        <w:ind w:left="0" w:hanging="2"/>
        <w:jc w:val="both"/>
        <w:rPr>
          <w:rFonts w:ascii="Arial" w:hAnsi="Arial" w:cs="Arial"/>
          <w:sz w:val="20"/>
          <w:szCs w:val="20"/>
        </w:rPr>
      </w:pPr>
      <w:r w:rsidRPr="00A67DA5">
        <w:rPr>
          <w:rFonts w:ascii="Arial" w:hAnsi="Arial" w:cs="Arial"/>
          <w:sz w:val="20"/>
          <w:szCs w:val="20"/>
        </w:rPr>
        <w:t xml:space="preserve">This study offers an advanced novel approach by comparing literature and empirical data related to the implementation of LM in the food industry. The uniqueness of this research lies in the use of advanced statistical methods, namely RSM and </w:t>
      </w:r>
      <w:r w:rsidRPr="00A67DA5">
        <w:rPr>
          <w:rFonts w:ascii="Arial" w:hAnsi="Arial" w:cs="Arial"/>
          <w:sz w:val="20"/>
          <w:szCs w:val="20"/>
        </w:rPr>
        <w:t>PCA, which have not been applied in previous studies. These methods are expected to fill existing research gaps and enrich the understanding of the evolution of the LM concept.</w:t>
      </w:r>
    </w:p>
    <w:p w14:paraId="7A988ADF" w14:textId="31092688" w:rsidR="00E51251" w:rsidRPr="00A67DA5" w:rsidRDefault="00A67DA5" w:rsidP="00BC10C2">
      <w:pPr>
        <w:spacing w:after="0" w:line="240" w:lineRule="auto"/>
        <w:ind w:left="0" w:hanging="2"/>
        <w:jc w:val="both"/>
        <w:rPr>
          <w:rFonts w:ascii="Arial" w:hAnsi="Arial" w:cs="Arial"/>
          <w:sz w:val="20"/>
          <w:szCs w:val="20"/>
        </w:rPr>
      </w:pPr>
      <w:r w:rsidRPr="00A67DA5">
        <w:rPr>
          <w:rFonts w:ascii="Arial" w:hAnsi="Arial" w:cs="Arial"/>
          <w:sz w:val="20"/>
          <w:szCs w:val="20"/>
        </w:rPr>
        <w:t>The aim of this study is to analyze the implementation of LM in the food industry through a comparison of literature and empirical data, as well as to identify the appropriate QS positioning and LM implementation strategy. This research also optimizes the use of advanced analysis methods such as RSM and PCA to uncover the dominant factors influencing the effectiveness of LM implementation in the food industry.</w:t>
      </w:r>
    </w:p>
    <w:p w14:paraId="61DDD581" w14:textId="77777777" w:rsidR="0063024C" w:rsidRDefault="0063024C" w:rsidP="00E51251">
      <w:pPr>
        <w:spacing w:after="0" w:line="240" w:lineRule="auto"/>
        <w:ind w:left="0" w:hanging="2"/>
        <w:jc w:val="both"/>
        <w:rPr>
          <w:rFonts w:ascii="Arial" w:eastAsia="Arial" w:hAnsi="Arial" w:cs="Arial"/>
          <w:b/>
          <w:color w:val="1F4E79"/>
          <w:sz w:val="20"/>
          <w:szCs w:val="20"/>
        </w:rPr>
      </w:pPr>
    </w:p>
    <w:p w14:paraId="49149694" w14:textId="0907B4D8" w:rsidR="00E51251" w:rsidRDefault="00E51251" w:rsidP="00E51251">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r w:rsidR="0063024C">
        <w:rPr>
          <w:rFonts w:ascii="Arial" w:eastAsia="Arial" w:hAnsi="Arial" w:cs="Arial"/>
          <w:b/>
          <w:color w:val="1F4E79"/>
          <w:sz w:val="20"/>
          <w:szCs w:val="20"/>
        </w:rPr>
        <w:t>S</w:t>
      </w:r>
    </w:p>
    <w:p w14:paraId="35E1987D" w14:textId="77777777" w:rsidR="00E51251" w:rsidRDefault="00E51251" w:rsidP="00E51251">
      <w:pPr>
        <w:spacing w:after="0" w:line="240" w:lineRule="auto"/>
        <w:ind w:left="0" w:hanging="2"/>
        <w:jc w:val="both"/>
        <w:rPr>
          <w:rFonts w:ascii="Arial" w:eastAsia="Arial" w:hAnsi="Arial" w:cs="Arial"/>
          <w:sz w:val="20"/>
          <w:szCs w:val="20"/>
        </w:rPr>
      </w:pPr>
    </w:p>
    <w:p w14:paraId="2AA3BC64" w14:textId="77777777" w:rsidR="00E51251" w:rsidRDefault="00E51251" w:rsidP="00E51251">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Material</w:t>
      </w:r>
    </w:p>
    <w:p w14:paraId="667F1F05" w14:textId="665A2C4B" w:rsidR="00E51251" w:rsidRPr="00D016DC" w:rsidRDefault="00E51251" w:rsidP="00E51251">
      <w:pPr>
        <w:spacing w:line="240" w:lineRule="auto"/>
        <w:ind w:left="0" w:hanging="2"/>
        <w:jc w:val="both"/>
        <w:rPr>
          <w:rFonts w:ascii="Arial" w:hAnsi="Arial" w:cs="Arial"/>
          <w:b/>
          <w:sz w:val="20"/>
          <w:szCs w:val="20"/>
        </w:rPr>
      </w:pPr>
      <w:r w:rsidRPr="00D016DC">
        <w:rPr>
          <w:rFonts w:ascii="Arial" w:hAnsi="Arial" w:cs="Arial"/>
          <w:sz w:val="20"/>
          <w:szCs w:val="20"/>
        </w:rPr>
        <w:t xml:space="preserve">To meet the research objectives, the research design was carried out through: (a) A comprehensive literature review regarding LM, operations management, food processing, and product characteristics. (b) Comparison of the effectiveness of LM implementation in four food companies. Companies with different characteristics were deliberately involved to show the relationship between LM and QS based on company perceptions about LM implementation </w:t>
      </w:r>
      <w:r w:rsidRPr="00D016DC">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ADDIN CSL_CITATION {"citationItems":[{"id":"ITEM-1","itemData":{"DOI":"10.22441/sinergi.2023.2.008","abstract":"The failure to implement lean manufacturing (LM) in the food industry was caused by the overlapping application of LM tools. The application of LM in the food industry is experiencing problems in the form of confusion in the placement of QS or Quality Control (QC). This problem is the background of this research. The objective of this study is to compare two methods of the implementation of LM in improving operational performance (OP), namely (1) making quality control (QC) a part of LM practice and (2) making quality control (QC) a part of the quality system (QS). The applied analytical method was the Structural Equation Modelling (SEM) based on Partial Least Square (PLS). The research findings indicated that \"making QC a part of QS\" can optimally mediate increasing LM against OP. This study's originality is a comparison of the relationship between LM and OP based on the two methods with large sample sizes. The implications of the findings are expected to become recommendations for applying LM in the food industry, especially in terms of placing quality in its implementation.","author":[{"dropping-particle":"","family":"Budianto","given":"Budianto","non-dropping-particle":"","parse-names":false,"suffix":""},{"dropping-particle":"","family":"Feri","given":"Zefki Okta","non-dropping-particle":"","parse-names":false,"suffix":""},{"dropping-particle":"","family":"Nurlaila","given":"Qomarotun","non-dropping-particle":"","parse-names":false,"suffix":""},{"dropping-particle":"","family":"Sitorus","given":"Helena","non-dropping-particle":"","parse-names":false,"suffix":""},{"dropping-particle":"","family":"Suryatman","given":"Tina Hernawati","non-dropping-particle":"","parse-names":false,"suffix":""}],"container-title":"SINERGI","id":"ITEM-1","issue":"2","issued":{"date-parts":[["2023"]]},"page":"201-210","title":"Quality system as a mediating variable of the relationship between lean manufacturing and operational performance in the food industry","type":"article-journal","volume":"27"},"uris":["http://www.mendeley.com/documents/?uuid=458b4b3d-6439-4baa-9f1f-d849b042216e"]}],"mendeley":{"formattedCitation":"[15]","plainTextFormattedCitation":"[15]","previouslyFormattedCitation":"[15]"},"properties":{"noteIndex":0},"schema":"https://github.com/citation-style-language/schema/raw/master/csl-citation.json"}</w:instrText>
      </w:r>
      <w:r w:rsidRPr="00D016DC">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[15]</w:t>
      </w:r>
      <w:r w:rsidRPr="00D016DC">
        <w:rPr>
          <w:rFonts w:ascii="Arial" w:hAnsi="Arial" w:cs="Arial"/>
          <w:color w:val="2F5496" w:themeColor="accent1" w:themeShade="BF"/>
          <w:sz w:val="20"/>
          <w:szCs w:val="20"/>
        </w:rPr>
        <w:fldChar w:fldCharType="end"/>
      </w:r>
      <w:r w:rsidRPr="00D016DC">
        <w:rPr>
          <w:rFonts w:ascii="Arial" w:hAnsi="Arial" w:cs="Arial"/>
          <w:sz w:val="20"/>
          <w:szCs w:val="20"/>
        </w:rPr>
        <w:t xml:space="preserve">. </w:t>
      </w:r>
    </w:p>
    <w:p w14:paraId="35D5E2BA" w14:textId="32C39350" w:rsidR="00E51251" w:rsidRPr="00D016DC" w:rsidRDefault="00E51251" w:rsidP="00E51251">
      <w:pPr>
        <w:spacing w:line="240" w:lineRule="auto"/>
        <w:ind w:left="0" w:hanging="2"/>
        <w:jc w:val="both"/>
        <w:rPr>
          <w:rFonts w:ascii="Arial" w:hAnsi="Arial" w:cs="Arial"/>
          <w:b/>
          <w:sz w:val="20"/>
          <w:szCs w:val="20"/>
        </w:rPr>
      </w:pPr>
      <w:r w:rsidRPr="00D016DC">
        <w:rPr>
          <w:rFonts w:ascii="Arial" w:hAnsi="Arial" w:cs="Arial"/>
          <w:sz w:val="20"/>
          <w:szCs w:val="20"/>
        </w:rPr>
        <w:t xml:space="preserve">The choice of LM tool in this research was determined by the company which was then used as a reference for comparative studies. These LM tools were: Just In Time and the </w:t>
      </w:r>
      <w:proofErr w:type="spellStart"/>
      <w:r w:rsidRPr="00D016DC">
        <w:rPr>
          <w:rFonts w:ascii="Arial" w:hAnsi="Arial" w:cs="Arial"/>
          <w:sz w:val="20"/>
          <w:szCs w:val="20"/>
        </w:rPr>
        <w:t>kanban</w:t>
      </w:r>
      <w:proofErr w:type="spellEnd"/>
      <w:r w:rsidRPr="00D016DC">
        <w:rPr>
          <w:rFonts w:ascii="Arial" w:hAnsi="Arial" w:cs="Arial"/>
          <w:sz w:val="20"/>
          <w:szCs w:val="20"/>
        </w:rPr>
        <w:t xml:space="preserve"> system </w:t>
      </w:r>
      <w:r w:rsidRPr="00D016DC">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ADDIN CSL_CITATION {"citationItems":[{"id":"ITEM-1","itemData":{"DOI":"10.1108/IJQRM-03-2021-0084","ISSN":"0265-671X","abstract":"Purpose The purpose of this paper is to report a review of various perspectives of lean in heavy engineering and fabrication industries and to propose a framework. Design/methodology/approach Lean manufacturing (LM) earlier known as Toyota Production System (TPS) was mainly used by automobile industries where the operations occur in sequence and the adoption of LM was easier. When it comes to heavy engineering industries, the concept of lean can be adopted in a versatile operating environment to have more advantages by waste elimination thereby having higher profit. Thus, an effort is made to consolidate various lean perspectives, namely, barriers, principles, tools and performance measures and a framework was proposed on how various lean perspectives can be adopted in a systematic way. Findings A comprehensive analysis of lean from various perspectives from viewpoint of the fabrication industry are done and the review is presented. Also, the framework linking barriers, principles, tools and performance measures is being contributed as an outcome of the review. Originality/value The review of lean from various perspectives for the fabrication industry and the development of a framework is the original contribution of the authors.","author":[{"dropping-particle":"","family":"Aadithya","given":"B G","non-dropping-particle":"","parse-names":false,"suffix":""},{"dropping-particle":"","family":"Asokan","given":"P","non-dropping-particle":"","parse-names":false,"suffix":""},{"dropping-particle":"","family":"Vinodh","given":"S","non-dropping-particle":"","parse-names":false,"suffix":""}],"container-title":"International Journal of Quality &amp; Reliability Management","id":"ITEM-1","issue":"6","issued":{"date-parts":[["2023","1","1"]]},"page":"1485-1517","publisher":"Emerald Publishing Limited","title":"Lean manufacturing in fabrication industry: literature review and framework proposal","type":"article-journal","volume":"40"},"uris":["http://www.mendeley.com/documents/?uuid=67cffb5d-3e54-4f52-8c3c-01d2046ddd52"]}],"mendeley":{"formattedCitation":"[16]","plainTextFormattedCitation":"[16]","previouslyFormattedCitation":"[16]"},"properties":{"noteIndex":0},"schema":"https://github.com/citation-style-language/schema/raw/master/csl-citation.json"}</w:instrText>
      </w:r>
      <w:r w:rsidRPr="00D016DC">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[16]</w:t>
      </w:r>
      <w:r w:rsidRPr="00D016DC">
        <w:rPr>
          <w:rFonts w:ascii="Arial" w:hAnsi="Arial" w:cs="Arial"/>
          <w:color w:val="2F5496" w:themeColor="accent1" w:themeShade="BF"/>
          <w:sz w:val="20"/>
          <w:szCs w:val="20"/>
        </w:rPr>
        <w:fldChar w:fldCharType="end"/>
      </w:r>
      <w:r w:rsidRPr="00D016DC">
        <w:rPr>
          <w:rFonts w:ascii="Arial" w:hAnsi="Arial" w:cs="Arial"/>
          <w:sz w:val="20"/>
          <w:szCs w:val="20"/>
        </w:rPr>
        <w:t xml:space="preserve">; 5S </w:t>
      </w:r>
      <w:r w:rsidRPr="00D016DC">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 xml:space="preserve">ADDIN CSL_CITATION {"citationItems":[{"id":"ITEM-1","itemData":{"DOI":"10.1007/978-3-031-30089-9_10","ISBN":"978-3-031-30089-9","abstract":"Added value can be defined as products, services, processes, and activities, which generate a certain value to the organization and enterprise. Value-added must be regarded from the customer viewpoint and is everything for which the customer is willing to pay for. It is important that value-added is recognized and perceived as value by the client (Bertagnolli, 2020). Many studies have shown that we only add value to a product for less than 5–15% of the time; the rest of the time is wasted (Helmold &amp; Terry, 2021). The opposite is non-adding value or waste. Waste (Japanese: muda, </w:instrText>
      </w:r>
      <w:r w:rsidR="004B0C5A">
        <w:rPr>
          <w:rFonts w:ascii="MS Gothic" w:eastAsia="MS Gothic" w:hAnsi="MS Gothic" w:cs="MS Gothic" w:hint="eastAsia"/>
          <w:color w:val="2F5496" w:themeColor="accent1" w:themeShade="BF"/>
          <w:sz w:val="20"/>
          <w:szCs w:val="20"/>
        </w:rPr>
        <w:instrText>無駄</w:instrText>
      </w:r>
      <w:r w:rsidR="004B0C5A">
        <w:rPr>
          <w:rFonts w:ascii="Arial" w:hAnsi="Arial" w:cs="Arial"/>
          <w:color w:val="2F5496" w:themeColor="accent1" w:themeShade="BF"/>
          <w:sz w:val="20"/>
          <w:szCs w:val="20"/>
        </w:rPr>
        <w:instrText>) is anything which adds cost or time without adding any value or any activity which does not satisfy any of the above conditions. Value-added is a waste or a non-value-adding activity in a process. The focus of operations management must therefore be in eliminating such activities like waiting time or rework (Liker, 2020). Enterprise must target value-added process and eliminate or reduce waste, whereby waste can be visible (obvious) or invisible (hidden) as shown in Fig. 10.1 (Lehmann, 2021). The main idea of lean management is about highlighting the things that add value by reducing or eliminating everything else (waste) (Sahoo, 2019). As a proven consequence, when you eliminate waste, the quality of products improves, while production time and costs are reduced. Figure 10.2 illustrates that waste must be ideally eliminated or reduced.","author":[{"dropping-particle":"","family":"Helmold","given":"Marc","non-dropping-particle":"","parse-names":false,"suffix":""}],"editor":[{"dropping-particle":"","family":"Helmold","given":"Marc","non-dropping-particle":"","parse-names":false,"suffix":""}],"id":"ITEM-1","issued":{"date-parts":[["2023"]]},"page":"113-126","publisher":"Springer International Publishing","publisher-place":"Cham","title":"5S Concept in Quality Management BT  - Virtual and Innovative Quality Management Across the Value Chain: Industry Insights, Case Studies and Best Practices","type":"chapter"},"uris":["http://www.mendeley.com/documents/?uuid=c7e13f3e-0b11-4e55-abf5-e46b98401920"]}],"mendeley":{"formattedCitation":"[17]","plainTextFormattedCitation":"[17]","previouslyFormattedCitation":"[17]"},"properties":{"noteIndex":0},"schema":"https://github.com/citation-style-language/schema/raw/master/csl-citation.json"}</w:instrText>
      </w:r>
      <w:r w:rsidRPr="00D016DC">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[17]</w:t>
      </w:r>
      <w:r w:rsidRPr="00D016DC">
        <w:rPr>
          <w:rFonts w:ascii="Arial" w:hAnsi="Arial" w:cs="Arial"/>
          <w:color w:val="2F5496" w:themeColor="accent1" w:themeShade="BF"/>
          <w:sz w:val="20"/>
          <w:szCs w:val="20"/>
        </w:rPr>
        <w:fldChar w:fldCharType="end"/>
      </w:r>
      <w:r w:rsidRPr="00D016DC">
        <w:rPr>
          <w:rFonts w:ascii="Arial" w:hAnsi="Arial" w:cs="Arial"/>
          <w:sz w:val="20"/>
          <w:szCs w:val="20"/>
        </w:rPr>
        <w:t xml:space="preserve">; TQM </w:t>
      </w:r>
      <w:r w:rsidRPr="00D016DC">
        <w:rPr>
          <w:rFonts w:ascii="Arial" w:hAnsi="Arial" w:cs="Arial"/>
          <w:sz w:val="20"/>
          <w:szCs w:val="20"/>
        </w:rPr>
        <w:fldChar w:fldCharType="begin" w:fldLock="1"/>
      </w:r>
      <w:r w:rsidR="004B0C5A">
        <w:rPr>
          <w:rFonts w:ascii="Arial" w:hAnsi="Arial" w:cs="Arial"/>
          <w:sz w:val="20"/>
          <w:szCs w:val="20"/>
        </w:rPr>
        <w:instrText>ADDIN CSL_CITATION {"citationItems":[{"id":"ITEM-1","itemData":{"DOI":"10.1108/TQM-08-2022-0258","ISSN":"1754-2731","abstract":"Purpose This paper attempts to investigate the approaches used for implementing total quality management (TQM) practices and study its impact on ABC India Limited (Name changed), a tyre manufacturing industry for realizing leadership in the Indian market. The other objectives are to explore the key issues faced by the company before TQM and study the benefits achieved after TQM implementation. Design/methodology/approach A conceptual case study research methodology has been utilized in this paper. The industry was facing some major business challenges such as low productivity, financial issues and low market presence since 1996. To overcome these issues, the top management of the industry adopted TQM as a business improvement tool and started its implementation in 2008. Findings A good number of improvement initiatives under four TQM approaches such as management approach, development approach, improvement approach and involvement approach were performed systematically and strategically. As a result of the successful implementation of TQM initiatives, the industry received the most prestigious quality award namely Deming Prize in 2017. Research limitations/implications With the implementation of the TQM philosophy in the industry, it gained the top market position, the customer satisfaction score increased from 75 to 81, market presence increased from 7.2% to 26.3% and the percentage participation of employees increased by 73.5% within a period from 2009 to 2016. Originality/value The novelty of this research is to consider a case-based approach that will be helpful in promoting the utilization of the TQM philosophy in other industries for gaining competitive advantages.","author":[{"dropping-particle":"","family":"Kumar","given":"Vimal","non-dropping-particle":"","parse-names":false,"suffix":""},{"dropping-particle":"","family":"Mittal","given":"Ankesh","non-dropping-particle":"","parse-names":false,"suffix":""},{"dropping-particle":"","family":"Verma","given":"Pratima","non-dropping-particle":"","parse-names":false,"suffix":""},{"dropping-particle":"","family":"Antony","given":"Jiju","non-dropping-particle":"","parse-names":false,"suffix":""}],"container-title":"The TQM Journal","id":"ITEM-1","issue":"ahead-of-print","issued":{"date-parts":[["2023","1","1"]]},"publisher":"Emerald Publishing Limited","title":"Mapping the TQM implementation approaches and their impact on realizing leadership in Indian tyre manufacturing industry","type":"article-journal","volume":"ahead-of-p"},"uris":["http://www.mendeley.com/documents/?uuid=5e807cf7-2fff-402e-a933-8aff28de2a63"]}],"mendeley":{"formattedCitation":"[18]","plainTextFormattedCitation":"[18]","previouslyFormattedCitation":"[18]"},"properties":{"noteIndex":0},"schema":"https://github.com/citation-style-language/schema/raw/master/csl-citation.json"}</w:instrText>
      </w:r>
      <w:r w:rsidRPr="00D016DC">
        <w:rPr>
          <w:rFonts w:ascii="Arial" w:hAnsi="Arial" w:cs="Arial"/>
          <w:sz w:val="20"/>
          <w:szCs w:val="20"/>
        </w:rPr>
        <w:fldChar w:fldCharType="separate"/>
      </w:r>
      <w:r w:rsidR="004B0C5A" w:rsidRPr="004B0C5A">
        <w:rPr>
          <w:rFonts w:ascii="Arial" w:hAnsi="Arial" w:cs="Arial"/>
          <w:noProof/>
          <w:sz w:val="20"/>
          <w:szCs w:val="20"/>
        </w:rPr>
        <w:t>[18]</w:t>
      </w:r>
      <w:r w:rsidRPr="00D016DC">
        <w:rPr>
          <w:rFonts w:ascii="Arial" w:hAnsi="Arial" w:cs="Arial"/>
          <w:sz w:val="20"/>
          <w:szCs w:val="20"/>
        </w:rPr>
        <w:fldChar w:fldCharType="end"/>
      </w:r>
      <w:r w:rsidRPr="00D016DC">
        <w:rPr>
          <w:rFonts w:ascii="Arial" w:hAnsi="Arial" w:cs="Arial"/>
          <w:sz w:val="20"/>
          <w:szCs w:val="20"/>
        </w:rPr>
        <w:t xml:space="preserve"> and TPM </w:t>
      </w:r>
      <w:r w:rsidRPr="00D016DC">
        <w:rPr>
          <w:rFonts w:ascii="Arial" w:hAnsi="Arial" w:cs="Arial"/>
          <w:sz w:val="20"/>
          <w:szCs w:val="20"/>
        </w:rPr>
        <w:fldChar w:fldCharType="begin" w:fldLock="1"/>
      </w:r>
      <w:r w:rsidR="004B0C5A">
        <w:rPr>
          <w:rFonts w:ascii="Arial" w:hAnsi="Arial" w:cs="Arial"/>
          <w:sz w:val="20"/>
          <w:szCs w:val="20"/>
        </w:rPr>
        <w:instrText>ADDIN CSL_CITATION {"citationItems":[{"id":"ITEM-1","itemData":{"DOI":"10.1108/JQME-11-2022-0073","ISSN":"1355-2511","abstract":"Purpose This research aims to investigate critical success factors, barriers and initiatives of total productive maintenance (TPM) implementation in selected manufacturing industries in Addis Ababa, Ethiopia. Design/methodology/approach This study built and looked into a conceptual research framework. The potential barriers and success factors to TPM implementation have been highlighted. The primary study techniques used to collect relevant data were a closed-ended questionnaire and semi-structured interview questions. With the use of SPSS version 23 and SmartPLS 3.0 software, the data were examined using descriptive statistics and the inferential Partial Least Square Structural Equation Modeling (PLS-SEM) techniques. Findings According to the results of descriptive statistics and multivariate analysis using PLS-SEM, the case manufacturing industries' TPM implementation initiative is in its infancy; break down maintenance is the most widely used maintenance policy; top managers are not dedicated to the implementation of TPM; and there are TPM pillars that have been weakly and strongly addressed by the case manufacturing companies. Research limitations/implications The small sample size is a limitation to this study. It is therefore challenging to extrapolate the research findings to other industries. The only manufacturing KPI utilized in this study is overall equipment effectiveness (OEE). It is possible to add more parameters to the manufacturing performance measurement KPI. The relationships between TPM and other lean production methods may differ from those observed in this cross-sectional study. Longitudinal experimental studies and in-depth analyses of TPM implementations may shed further light on this. Practical implications Defining crucial success factors and barriers to TPM adoption, as well as identifying the weak and strong TPM pillars, will help companies in allocating their scarce resources exclusively to the most important areas. TPM is not a quick solution. It necessitates a change in both the company's and employees' attitude and their values, which takes time to bring about. Hence, it entails a long-term planning. The commitment of top managers is very important in the initiatives of TPM implementation. Originality/value This study is unique in that, it uses a new conceptual research model and the PLS-SEM technique to analyze relationships between TPM pillars and OEE in depth.","author":[{"dropping-particle":"","family":"Gelaw","given":"Mulatu Tilahun","non-dropping-particle":"","parse-names":false,"suffix":""},{"dropping-particle":"","family":"Azene","given":"Daniel Kitaw","non-dropping-particle":"","parse-names":false,"suffix":""},{"dropping-particle":"","family":"Berhan","given":"Eshetie","non-dropping-particle":"","parse-names":false,"suffix":""}],"container-title":"Journal of Quality in Maintenance Engineering","id":"ITEM-1","issue":"1","issued":{"date-parts":[["2024","1","1"]]},"page":"51-80","publisher":"Emerald Publishing Limited","title":"Assessment of critical success factors, barriers and initiatives of total productive maintenance (TPM) in selected Ethiopian manufacturing industries","type":"article-journal","volume":"30"},"uris":["http://www.mendeley.com/documents/?uuid=111b1b44-5cf5-4df0-8122-c800f3b5a951"]}],"mendeley":{"formattedCitation":"[19]","plainTextFormattedCitation":"[19]","previouslyFormattedCitation":"[19]"},"properties":{"noteIndex":0},"schema":"https://github.com/citation-style-language/schema/raw/master/csl-citation.json"}</w:instrText>
      </w:r>
      <w:r w:rsidRPr="00D016DC">
        <w:rPr>
          <w:rFonts w:ascii="Arial" w:hAnsi="Arial" w:cs="Arial"/>
          <w:sz w:val="20"/>
          <w:szCs w:val="20"/>
        </w:rPr>
        <w:fldChar w:fldCharType="separate"/>
      </w:r>
      <w:r w:rsidR="004B0C5A" w:rsidRPr="004B0C5A">
        <w:rPr>
          <w:rFonts w:ascii="Arial" w:hAnsi="Arial" w:cs="Arial"/>
          <w:noProof/>
          <w:sz w:val="20"/>
          <w:szCs w:val="20"/>
        </w:rPr>
        <w:t>[19]</w:t>
      </w:r>
      <w:r w:rsidRPr="00D016DC">
        <w:rPr>
          <w:rFonts w:ascii="Arial" w:hAnsi="Arial" w:cs="Arial"/>
          <w:sz w:val="20"/>
          <w:szCs w:val="20"/>
        </w:rPr>
        <w:fldChar w:fldCharType="end"/>
      </w:r>
      <w:r w:rsidRPr="00D016DC">
        <w:rPr>
          <w:rFonts w:ascii="Arial" w:hAnsi="Arial" w:cs="Arial"/>
          <w:sz w:val="20"/>
          <w:szCs w:val="20"/>
        </w:rPr>
        <w:t>.</w:t>
      </w:r>
    </w:p>
    <w:p w14:paraId="6967C03A" w14:textId="234BBFB0" w:rsidR="00E51251" w:rsidRPr="00D016DC" w:rsidRDefault="00E51251" w:rsidP="00E51251">
      <w:pPr>
        <w:spacing w:line="240" w:lineRule="auto"/>
        <w:ind w:left="0" w:hanging="2"/>
        <w:jc w:val="both"/>
        <w:rPr>
          <w:rFonts w:ascii="Arial" w:hAnsi="Arial" w:cs="Arial"/>
          <w:sz w:val="20"/>
          <w:szCs w:val="20"/>
        </w:rPr>
      </w:pPr>
      <w:r w:rsidRPr="00D016DC">
        <w:rPr>
          <w:rFonts w:ascii="Arial" w:hAnsi="Arial" w:cs="Arial"/>
          <w:sz w:val="20"/>
          <w:szCs w:val="20"/>
        </w:rPr>
        <w:t xml:space="preserve">The application of LM was the authority and strategy used by the company to obtain optimal results. There are two options, namely: a) a gradual LM process, where the implementation of QS was followed by the gradual implementation of lean practices </w:t>
      </w:r>
      <w:r w:rsidRPr="00D016DC">
        <w:rPr>
          <w:rFonts w:ascii="Arial" w:hAnsi="Arial" w:cs="Arial"/>
          <w:sz w:val="20"/>
          <w:szCs w:val="20"/>
        </w:rPr>
        <w:fldChar w:fldCharType="begin" w:fldLock="1"/>
      </w:r>
      <w:r w:rsidR="006163EC">
        <w:rPr>
          <w:rFonts w:ascii="Arial" w:hAnsi="Arial" w:cs="Arial"/>
          <w:sz w:val="20"/>
          <w:szCs w:val="20"/>
        </w:rPr>
        <w:instrText>ADDIN CSL_CITATION {"citationItems":[{"id":"ITEM-1","itemData":{"DOI":"https://doi.org/10.1007/978-3-319-00557-7_127","author":[{"dropping-particle":"","family":"Ian Kennedy","given":"Andrew Plunkett and Julﬁkar Haider","non-dropping-particle":"","parse-names":false,"suffix":""}],"id":"ITEM-1","issued":{"date-parts":[["2013"]]},"publisher":"Springer International Publishing","title":"a consept lean manufacturing model","type":"article"},"uris":["http://www.mendeley.com/documents/?uuid=c9760bb0-969c-4ed1-86ec-487e2a114c72"]}],"mendeley":{"formattedCitation":"[1]","plainTextFormattedCitation":"[1]","previouslyFormattedCitation":"[1]"},"properties":{"noteIndex":0},"schema":"https://github.com/citation-style-language/schema/raw/master/csl-citation.json"}</w:instrText>
      </w:r>
      <w:r w:rsidRPr="00D016DC">
        <w:rPr>
          <w:rFonts w:ascii="Arial" w:hAnsi="Arial" w:cs="Arial"/>
          <w:sz w:val="20"/>
          <w:szCs w:val="20"/>
        </w:rPr>
        <w:fldChar w:fldCharType="separate"/>
      </w:r>
      <w:r w:rsidR="006163EC" w:rsidRPr="006163EC">
        <w:rPr>
          <w:rFonts w:ascii="Arial" w:hAnsi="Arial" w:cs="Arial"/>
          <w:noProof/>
          <w:sz w:val="20"/>
          <w:szCs w:val="20"/>
        </w:rPr>
        <w:t>[1]</w:t>
      </w:r>
      <w:r w:rsidRPr="00D016DC">
        <w:rPr>
          <w:rFonts w:ascii="Arial" w:hAnsi="Arial" w:cs="Arial"/>
          <w:sz w:val="20"/>
          <w:szCs w:val="20"/>
        </w:rPr>
        <w:fldChar w:fldCharType="end"/>
      </w:r>
      <w:r w:rsidRPr="00D016DC">
        <w:rPr>
          <w:rFonts w:ascii="Arial" w:hAnsi="Arial" w:cs="Arial"/>
          <w:sz w:val="20"/>
          <w:szCs w:val="20"/>
        </w:rPr>
        <w:t xml:space="preserve">. b) application of LM together with QS </w:t>
      </w:r>
      <w:r w:rsidRPr="00D016DC">
        <w:rPr>
          <w:rFonts w:ascii="Arial" w:hAnsi="Arial" w:cs="Arial"/>
          <w:sz w:val="20"/>
          <w:szCs w:val="20"/>
        </w:rPr>
        <w:fldChar w:fldCharType="begin" w:fldLock="1"/>
      </w:r>
      <w:r w:rsidR="006163EC">
        <w:rPr>
          <w:rFonts w:ascii="Arial" w:hAnsi="Arial" w:cs="Arial"/>
          <w:sz w:val="20"/>
          <w:szCs w:val="20"/>
        </w:rPr>
        <w:instrText>ADDIN CSL_CITATION {"citationItems":[{"id":"ITEM-1","itemData":{"DOI":"10.2478/orga-2014-0013","ISSN":"1581-1832","abstract":" Background and Purpose: The objective of this paper was to evaluate effects of implementing lean manufacturing in a Serbian confectionery production company during a period of 24 months, emphasizing observed benefits and constrains. Company ‘case study’ is a leading confectionery producer in Serbia with annual production of more than 25,000 t.  Methodology/Approach: The research method was case study. The approach in implementing lean manufacturing was structured in five phases, as follows: (i) training, (ii) analysis of lean wastes on one technological line, (iii) choice of lean tools to be implemented in the factory, (iv) implementation of lean tools in production and maintenance, (v) development of continual improvement sector and further deployment of lean tools.  Results: Lean manufacturing tools implemented in the production process were visual control and single minute exchange of dies (SMED). Maintenance process implemented 5S with total productive maintenance (TPM) and problem solving sessions being the tools implemented in both processes. During the observed period, results of these tools showed the following: visual control tables initiated 61 improvement memos out of which 39% were fully implemented; a total of 2284 minor problems had been recorded, with over 95% of issues revealed in due time; total SMED time decreased for 7.6%; 19 problem solving sessions were initiated with 58% of solving effectiveness, and the remaining converted to on-going projects. In maintenance 5S improved from 29.9 to 60.3; overall equipment effectiveness (OEE) indicator increased from 87.9% to 92.3%; mean time between failure (MTBF) increased for 16.4%. Conclusion: As a result of all activities, 20 in-house trainings and 2 ‘kaizen’ events including motivational training have been initiated with 54 documents being revised and improved in order to contribute to more efficient processes. ","author":[{"dropping-particle":"","family":"Djekic","given":"Ilija","non-dropping-particle":"","parse-names":false,"suffix":""},{"dropping-particle":"","family":"Zivanovic","given":"Dragan","non-dropping-particle":"","parse-names":false,"suffix":""},{"dropping-particle":"","family":"Dragojlovic","given":"Sladjana","non-dropping-particle":"","parse-names":false,"suffix":""},{"dropping-particle":"","family":"Dragovic","given":"Radoslava","non-dropping-particle":"","parse-names":false,"suffix":""}],"container-title":"Organizacija","id":"ITEM-1","issue":"3","issued":{"date-parts":[["2014"]]},"page":"143-152","title":"Lean Manufacturing Effects in a Serbian Confectionery Company – Case Study","type":"article-journal","volume":"47"},"uris":["http://www.mendeley.com/documents/?uuid=4c980448-e40c-4949-be0f-3309d0e0382c"]}],"mendeley":{"formattedCitation":"[2]","plainTextFormattedCitation":"[2]","previouslyFormattedCitation":"[2]"},"properties":{"noteIndex":0},"schema":"https://github.com/citation-style-language/schema/raw/master/csl-citation.json"}</w:instrText>
      </w:r>
      <w:r w:rsidRPr="00D016DC">
        <w:rPr>
          <w:rFonts w:ascii="Arial" w:hAnsi="Arial" w:cs="Arial"/>
          <w:sz w:val="20"/>
          <w:szCs w:val="20"/>
        </w:rPr>
        <w:fldChar w:fldCharType="separate"/>
      </w:r>
      <w:r w:rsidR="006163EC" w:rsidRPr="006163EC">
        <w:rPr>
          <w:rFonts w:ascii="Arial" w:hAnsi="Arial" w:cs="Arial"/>
          <w:noProof/>
          <w:sz w:val="20"/>
          <w:szCs w:val="20"/>
        </w:rPr>
        <w:t>[2]</w:t>
      </w:r>
      <w:r w:rsidRPr="00D016DC">
        <w:rPr>
          <w:rFonts w:ascii="Arial" w:hAnsi="Arial" w:cs="Arial"/>
          <w:sz w:val="20"/>
          <w:szCs w:val="20"/>
        </w:rPr>
        <w:fldChar w:fldCharType="end"/>
      </w:r>
      <w:r w:rsidRPr="00D016DC">
        <w:rPr>
          <w:rFonts w:ascii="Arial" w:hAnsi="Arial" w:cs="Arial"/>
          <w:sz w:val="20"/>
          <w:szCs w:val="20"/>
        </w:rPr>
        <w:t xml:space="preserve">. </w:t>
      </w:r>
    </w:p>
    <w:p w14:paraId="4C4655EC" w14:textId="77777777" w:rsidR="00E51251" w:rsidRPr="00D016DC" w:rsidRDefault="00E51251" w:rsidP="00E51251">
      <w:pPr>
        <w:spacing w:line="240" w:lineRule="auto"/>
        <w:ind w:left="0" w:hanging="2"/>
        <w:jc w:val="both"/>
        <w:rPr>
          <w:rFonts w:ascii="Arial" w:hAnsi="Arial" w:cs="Arial"/>
          <w:b/>
          <w:sz w:val="20"/>
          <w:szCs w:val="20"/>
        </w:rPr>
      </w:pPr>
      <w:r w:rsidRPr="00D016DC">
        <w:rPr>
          <w:rFonts w:ascii="Arial" w:hAnsi="Arial" w:cs="Arial"/>
          <w:sz w:val="20"/>
          <w:szCs w:val="20"/>
        </w:rPr>
        <w:t xml:space="preserve">The performance of the four companies was compared to find out whether the strategies used by these companies were running effectively and optimally within a period of 2 years (2021-2023). This causal relationship can be the basis for proposing recommendations for better LM implementation and confirming conformity with previous literature. This research design was illustrated in </w:t>
      </w:r>
      <w:r w:rsidRPr="00D016DC">
        <w:rPr>
          <w:rFonts w:ascii="Arial" w:hAnsi="Arial" w:cs="Arial"/>
          <w:color w:val="8496B0" w:themeColor="text2" w:themeTint="99"/>
          <w:sz w:val="20"/>
          <w:szCs w:val="20"/>
        </w:rPr>
        <w:t>Fig.1</w:t>
      </w:r>
      <w:r w:rsidRPr="00D016DC">
        <w:rPr>
          <w:rFonts w:ascii="Arial" w:hAnsi="Arial" w:cs="Arial"/>
          <w:sz w:val="20"/>
          <w:szCs w:val="20"/>
        </w:rPr>
        <w:t>.</w:t>
      </w:r>
    </w:p>
    <w:p w14:paraId="415B2B4E" w14:textId="77777777" w:rsidR="00E51251" w:rsidRPr="00D016DC" w:rsidRDefault="00E51251" w:rsidP="00DA29D4">
      <w:pPr>
        <w:spacing w:after="0" w:line="240" w:lineRule="auto"/>
        <w:ind w:left="0" w:hanging="2"/>
        <w:jc w:val="center"/>
        <w:rPr>
          <w:rFonts w:ascii="Arial" w:hAnsi="Arial" w:cs="Arial"/>
          <w:b/>
          <w:sz w:val="20"/>
          <w:szCs w:val="20"/>
        </w:rPr>
      </w:pPr>
      <w:r w:rsidRPr="00D016DC">
        <w:rPr>
          <w:rFonts w:ascii="Arial" w:hAnsi="Arial" w:cs="Arial"/>
          <w:noProof/>
          <w:sz w:val="20"/>
          <w:szCs w:val="20"/>
        </w:rPr>
        <w:lastRenderedPageBreak/>
        <w:drawing>
          <wp:inline distT="0" distB="0" distL="0" distR="0" wp14:anchorId="52ABB80E" wp14:editId="20C0DE2F">
            <wp:extent cx="2838450" cy="15716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836997" cy="1570820"/>
                    </a:xfrm>
                    <a:prstGeom prst="rect">
                      <a:avLst/>
                    </a:prstGeom>
                    <a:noFill/>
                    <a:ln>
                      <a:noFill/>
                    </a:ln>
                  </pic:spPr>
                </pic:pic>
              </a:graphicData>
            </a:graphic>
          </wp:inline>
        </w:drawing>
      </w:r>
    </w:p>
    <w:p w14:paraId="619930BE" w14:textId="77777777" w:rsidR="00E51251" w:rsidRDefault="00E51251" w:rsidP="00DA29D4">
      <w:pPr>
        <w:spacing w:after="0" w:line="240" w:lineRule="auto"/>
        <w:ind w:left="0" w:hanging="2"/>
        <w:jc w:val="center"/>
        <w:rPr>
          <w:rFonts w:ascii="Arial" w:hAnsi="Arial" w:cs="Arial"/>
          <w:sz w:val="20"/>
          <w:szCs w:val="20"/>
        </w:rPr>
      </w:pPr>
      <w:r w:rsidRPr="00D016DC">
        <w:rPr>
          <w:rFonts w:ascii="Arial" w:hAnsi="Arial" w:cs="Arial"/>
          <w:b/>
          <w:sz w:val="20"/>
          <w:szCs w:val="20"/>
        </w:rPr>
        <w:t>Figure 1</w:t>
      </w:r>
      <w:r w:rsidRPr="00D016DC">
        <w:rPr>
          <w:rFonts w:ascii="Arial" w:hAnsi="Arial" w:cs="Arial"/>
          <w:sz w:val="20"/>
          <w:szCs w:val="20"/>
        </w:rPr>
        <w:t>. Design of the Study</w:t>
      </w:r>
    </w:p>
    <w:p w14:paraId="4CEFC7F5" w14:textId="77777777" w:rsidR="00E51251" w:rsidRPr="00D016DC" w:rsidRDefault="00E51251" w:rsidP="00E51251">
      <w:pPr>
        <w:spacing w:after="0" w:line="240" w:lineRule="auto"/>
        <w:ind w:left="0" w:hanging="2"/>
        <w:jc w:val="both"/>
        <w:rPr>
          <w:rFonts w:ascii="Arial" w:eastAsia="Arial" w:hAnsi="Arial" w:cs="Arial"/>
          <w:sz w:val="20"/>
          <w:szCs w:val="20"/>
        </w:rPr>
      </w:pPr>
    </w:p>
    <w:p w14:paraId="25D6E12A" w14:textId="77777777" w:rsidR="00E51251" w:rsidRDefault="00E51251" w:rsidP="00E51251">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Methods</w:t>
      </w:r>
    </w:p>
    <w:p w14:paraId="3F88D5F5" w14:textId="77777777" w:rsidR="00E51251" w:rsidRPr="00185454" w:rsidRDefault="00E51251" w:rsidP="00E51251">
      <w:pPr>
        <w:spacing w:line="240" w:lineRule="auto"/>
        <w:ind w:left="0" w:hanging="2"/>
        <w:jc w:val="both"/>
        <w:rPr>
          <w:rFonts w:ascii="Arial" w:hAnsi="Arial" w:cs="Arial"/>
          <w:b/>
          <w:sz w:val="20"/>
          <w:szCs w:val="20"/>
        </w:rPr>
      </w:pPr>
      <w:r w:rsidRPr="00185454">
        <w:rPr>
          <w:rFonts w:ascii="Arial" w:hAnsi="Arial" w:cs="Arial"/>
          <w:sz w:val="20"/>
          <w:szCs w:val="20"/>
        </w:rPr>
        <w:t xml:space="preserve">We mapped research on LM in the food industry from 2010-2023. The data were from Scopus and Web of Science collected using </w:t>
      </w:r>
      <w:proofErr w:type="spellStart"/>
      <w:r w:rsidRPr="00185454">
        <w:rPr>
          <w:rFonts w:ascii="Arial" w:hAnsi="Arial" w:cs="Arial"/>
          <w:sz w:val="20"/>
          <w:szCs w:val="20"/>
        </w:rPr>
        <w:t>Harzing's</w:t>
      </w:r>
      <w:proofErr w:type="spellEnd"/>
      <w:r w:rsidRPr="00185454">
        <w:rPr>
          <w:rFonts w:ascii="Arial" w:hAnsi="Arial" w:cs="Arial"/>
          <w:sz w:val="20"/>
          <w:szCs w:val="20"/>
        </w:rPr>
        <w:t xml:space="preserve"> Publish </w:t>
      </w:r>
      <w:r w:rsidRPr="00185454">
        <w:rPr>
          <w:rFonts w:ascii="Arial" w:hAnsi="Arial" w:cs="Arial"/>
          <w:sz w:val="20"/>
          <w:szCs w:val="20"/>
        </w:rPr>
        <w:t xml:space="preserve">or Perish (Window GUI Edition) 7.31.3306.7768 and visualization using </w:t>
      </w:r>
      <w:proofErr w:type="spellStart"/>
      <w:r w:rsidRPr="00185454">
        <w:rPr>
          <w:rFonts w:ascii="Arial" w:hAnsi="Arial" w:cs="Arial"/>
          <w:sz w:val="20"/>
          <w:szCs w:val="20"/>
        </w:rPr>
        <w:t>VOSviewer</w:t>
      </w:r>
      <w:proofErr w:type="spellEnd"/>
      <w:r w:rsidRPr="00185454">
        <w:rPr>
          <w:rFonts w:ascii="Arial" w:hAnsi="Arial" w:cs="Arial"/>
          <w:sz w:val="20"/>
          <w:szCs w:val="20"/>
        </w:rPr>
        <w:t xml:space="preserve"> version 1.6.16.</w:t>
      </w:r>
    </w:p>
    <w:p w14:paraId="7F84FFB3" w14:textId="7FC016AB" w:rsidR="00E51251" w:rsidRPr="00185454" w:rsidRDefault="00E51251" w:rsidP="00E51251">
      <w:pPr>
        <w:spacing w:line="240" w:lineRule="auto"/>
        <w:ind w:left="0" w:hanging="2"/>
        <w:jc w:val="both"/>
        <w:rPr>
          <w:rFonts w:ascii="Arial" w:hAnsi="Arial" w:cs="Arial"/>
          <w:sz w:val="20"/>
          <w:szCs w:val="20"/>
        </w:rPr>
      </w:pPr>
      <w:r w:rsidRPr="00185454">
        <w:rPr>
          <w:rFonts w:ascii="Arial" w:hAnsi="Arial" w:cs="Arial"/>
          <w:sz w:val="20"/>
          <w:szCs w:val="20"/>
        </w:rPr>
        <w:t xml:space="preserve">The comparative study was conducted over two years (August 2021-2023), involving four different companies. Researchers had access to be directly involved in observation, documentation and data collection. Interviews, document reviews, and field observations before and after LM implementation were conducted in this research </w:t>
      </w:r>
      <w:r w:rsidRPr="00185454">
        <w:rPr>
          <w:rFonts w:ascii="Arial" w:hAnsi="Arial" w:cs="Arial"/>
          <w:sz w:val="20"/>
          <w:szCs w:val="20"/>
        </w:rPr>
        <w:fldChar w:fldCharType="begin" w:fldLock="1"/>
      </w:r>
      <w:r w:rsidR="004B0C5A">
        <w:rPr>
          <w:rFonts w:ascii="Arial" w:hAnsi="Arial" w:cs="Arial"/>
          <w:sz w:val="20"/>
          <w:szCs w:val="20"/>
        </w:rPr>
        <w:instrText>ADDIN CSL_CITATION {"citationItems":[{"id":"ITEM-1","itemData":{"DOI":"10.1108/IJQRM-08-2020-0261","ISSN":"0265-671X","abstract":"Purpose This work presents a synthesis of current literature published from 2010 to provide an overall understanding of the sustainable implementation of Lean Six Sigma (LSS) projects in terms of project approaches rather than outcomes. Design/methodology/approach A comprehensive and validated ten-step model was applied to conduct a scoping review with the following three broad phases: “review planning”, “review execution” and “review reporting”. Findings The analysis shows that while a few geographically and methodologically broad research studies have been conducted on LSS and green manufacturing integration, no studies have examined organisational culture or conducted readiness assessments on the sustainable implementation of LSS projects in the manufacturing sector. Research limitations/implications The present study contributes to existing knowledge by describing the current state of research on green LSS integration. The study also identifies a lack of research on the deployment of sustainable LSS projects for manufacturers. Further empirical analyses that include case studies must be conducted to assess the negative environmental impacts of LSS projects. Originality/value This study serves as an initial call for practitioners and research scholars to favour the sustainable deployment of LSS projects in manufacturing alongside the use of traditional approaches with a focus on costs, quality and delivery.","author":[{"dropping-particle":"","family":"Shokri","given":"Alireza","non-dropping-particle":"","parse-names":false,"suffix":""},{"dropping-particle":"","family":"Antony","given":"Jiju","non-dropping-particle":"","parse-names":false,"suffix":""},{"dropping-particle":"","family":"Garza-Reyes","given":"Jose Arturo","non-dropping-particle":"","parse-names":false,"suffix":""},{"dropping-particle":"","family":"Upton","given":"Michelle","non-dropping-particle":"","parse-names":false,"suffix":""}],"container-title":"International Journal of Quality &amp; Reliability Management","id":"ITEM-1","issue":"8","issued":{"date-parts":[["2021","1","1"]]},"page":"1747-1770","publisher":"Emerald Publishing Limited","title":"Scoping review of the readiness for sustainable implementation of Lean Six Sigma projects in the manufacturing sector","type":"article-journal","volume":"38"},"uris":["http://www.mendeley.com/documents/?uuid=4c2cac05-2646-4a81-b5b6-24f3016848d0"]}],"mendeley":{"formattedCitation":"[20]","plainTextFormattedCitation":"[20]","previouslyFormattedCitation":"[20]"},"properties":{"noteIndex":0},"schema":"https://github.com/citation-style-language/schema/raw/master/csl-citation.json"}</w:instrText>
      </w:r>
      <w:r w:rsidRPr="00185454">
        <w:rPr>
          <w:rFonts w:ascii="Arial" w:hAnsi="Arial" w:cs="Arial"/>
          <w:sz w:val="20"/>
          <w:szCs w:val="20"/>
        </w:rPr>
        <w:fldChar w:fldCharType="separate"/>
      </w:r>
      <w:r w:rsidR="004B0C5A" w:rsidRPr="004B0C5A">
        <w:rPr>
          <w:rFonts w:ascii="Arial" w:hAnsi="Arial" w:cs="Arial"/>
          <w:noProof/>
          <w:color w:val="2F5496" w:themeColor="accent1" w:themeShade="BF"/>
          <w:sz w:val="20"/>
          <w:szCs w:val="20"/>
        </w:rPr>
        <w:t>[20]</w:t>
      </w:r>
      <w:r w:rsidRPr="00185454">
        <w:rPr>
          <w:rFonts w:ascii="Arial" w:hAnsi="Arial" w:cs="Arial"/>
          <w:sz w:val="20"/>
          <w:szCs w:val="20"/>
        </w:rPr>
        <w:fldChar w:fldCharType="end"/>
      </w:r>
      <w:r w:rsidRPr="00185454">
        <w:rPr>
          <w:rFonts w:ascii="Arial" w:hAnsi="Arial" w:cs="Arial"/>
          <w:sz w:val="20"/>
          <w:szCs w:val="20"/>
        </w:rPr>
        <w:t xml:space="preserve">. The combination of complementary data was called triangulation </w:t>
      </w:r>
      <w:r w:rsidRPr="00185454">
        <w:rPr>
          <w:rFonts w:ascii="Arial" w:hAnsi="Arial" w:cs="Arial"/>
          <w:color w:val="2F5496" w:themeColor="accent1" w:themeShade="BF"/>
          <w:sz w:val="20"/>
          <w:szCs w:val="20"/>
        </w:rPr>
        <w:fldChar w:fldCharType="begin" w:fldLock="1"/>
      </w:r>
      <w:r w:rsidR="004B0C5A">
        <w:rPr>
          <w:rFonts w:ascii="Arial" w:hAnsi="Arial" w:cs="Arial"/>
          <w:color w:val="2F5496" w:themeColor="accent1" w:themeShade="BF"/>
          <w:sz w:val="20"/>
          <w:szCs w:val="20"/>
        </w:rPr>
        <w:instrText>ADDIN CSL_CITATION {"citationItems":[{"id":"ITEM-1","itemData":{"DOI":"https://doi.org/10.1016/j.jbusres.2021.01.057","ISSN":"0148-2963","abstract":"Big data analytics (BDA) is regarded as an advanced tool for achieving sustainable development as part of the grand challenges (GCs). However, it is not clear how BDA can be used by data scientists to solve the GCs with multisource data in a cross-disciplinary approach. Based on a case study of city-based dangerous goods transportation (DGT), this paper explores how data scientists use BDA to triangulate data, methods, knowledge and solutions for solving GCs. The contribution of this study is threefold: (1) it contributes to research on GCs and discusses how BDA can be used in problem solving for multidomain GCs from a management perspective; (2) it enriches the theory of information triangulation and proposes several steps for information triangulation in BDA to solve GCs; and (3) it contributes some practical implications for the management of organizations when solving social problems and pursuing sustainable development.","author":[{"dropping-particle":"","family":"Ye","given":"Lisha","non-dropping-particle":"","parse-names":false,"suffix":""},{"dropping-particle":"","family":"Pan","given":"Shan L","non-dropping-particle":"","parse-names":false,"suffix":""},{"dropping-particle":"","family":"Wang","given":"Jingyuan","non-dropping-particle":"","parse-names":false,"suffix":""},{"dropping-particle":"","family":"Wu","given":"Junjie","non-dropping-particle":"","parse-names":false,"suffix":""},{"dropping-particle":"","family":"Dong","given":"Xiaoying","non-dropping-particle":"","parse-names":false,"suffix":""}],"container-title":"Journal of Business Research","id":"ITEM-1","issued":{"date-parts":[["2021"]]},"page":"381-390","title":"Big data analytics for sustainable cities: An information triangulation study of hazardous materials transportation","type":"article-journal","volume":"128"},"uris":["http://www.mendeley.com/documents/?uuid=70539699-0f2e-4db8-81f8-acf65df3aa54"]}],"mendeley":{"formattedCitation":"[21]","plainTextFormattedCitation":"[21]","previouslyFormattedCitation":"[21]"},"properties":{"noteIndex":0},"schema":"https://github.com/citation-style-language/schema/raw/master/csl-citation.json"}</w:instrText>
      </w:r>
      <w:r w:rsidRPr="00185454">
        <w:rPr>
          <w:rFonts w:ascii="Arial" w:hAnsi="Arial" w:cs="Arial"/>
          <w:color w:val="2F5496" w:themeColor="accent1" w:themeShade="BF"/>
          <w:sz w:val="20"/>
          <w:szCs w:val="20"/>
        </w:rPr>
        <w:fldChar w:fldCharType="separate"/>
      </w:r>
      <w:r w:rsidR="004B0C5A" w:rsidRPr="004B0C5A">
        <w:rPr>
          <w:rFonts w:ascii="Arial" w:hAnsi="Arial" w:cs="Arial"/>
          <w:noProof/>
          <w:color w:val="2F5496" w:themeColor="accent1" w:themeShade="BF"/>
          <w:sz w:val="20"/>
          <w:szCs w:val="20"/>
        </w:rPr>
        <w:t>[21]</w:t>
      </w:r>
      <w:r w:rsidRPr="00185454">
        <w:rPr>
          <w:rFonts w:ascii="Arial" w:hAnsi="Arial" w:cs="Arial"/>
          <w:color w:val="2F5496" w:themeColor="accent1" w:themeShade="BF"/>
          <w:sz w:val="20"/>
          <w:szCs w:val="20"/>
        </w:rPr>
        <w:fldChar w:fldCharType="end"/>
      </w:r>
      <w:r w:rsidRPr="00185454">
        <w:rPr>
          <w:rFonts w:ascii="Arial" w:hAnsi="Arial" w:cs="Arial"/>
          <w:sz w:val="20"/>
          <w:szCs w:val="20"/>
        </w:rPr>
        <w:t>. In addition, several strategies that ensure the reliability of research, as recommended by</w:t>
      </w:r>
      <w:r>
        <w:rPr>
          <w:rFonts w:ascii="Arial" w:hAnsi="Arial" w:cs="Arial"/>
          <w:sz w:val="20"/>
          <w:szCs w:val="20"/>
        </w:rPr>
        <w:t xml:space="preserve"> Powell et al</w:t>
      </w:r>
      <w:r w:rsidRPr="00185454">
        <w:rPr>
          <w:rFonts w:ascii="Arial" w:hAnsi="Arial" w:cs="Arial"/>
          <w:sz w:val="20"/>
          <w:szCs w:val="20"/>
        </w:rPr>
        <w:t xml:space="preserve"> </w:t>
      </w:r>
      <w:r w:rsidRPr="00185454">
        <w:rPr>
          <w:rStyle w:val="IJPMLink"/>
          <w:rFonts w:ascii="Arial" w:hAnsi="Arial" w:cs="Arial"/>
          <w:color w:val="2F5496" w:themeColor="accent1" w:themeShade="BF"/>
          <w:sz w:val="20"/>
          <w:szCs w:val="20"/>
        </w:rPr>
        <w:fldChar w:fldCharType="begin" w:fldLock="1"/>
      </w:r>
      <w:r w:rsidR="004B0C5A">
        <w:rPr>
          <w:rStyle w:val="IJPMLink"/>
          <w:rFonts w:ascii="Arial" w:hAnsi="Arial" w:cs="Arial"/>
          <w:color w:val="2F5496" w:themeColor="accent1" w:themeShade="BF"/>
          <w:sz w:val="20"/>
          <w:szCs w:val="20"/>
        </w:rPr>
        <w:instrText>ADDIN CSL_CITATION {"citationItems":[{"id":"ITEM-1","itemData":{"DOI":"10.1108/IJOPM-05-2023-0414","ISSN":"0144-3577","abstract":"Purpose The purpose of this paper is to examine the digitalization of operational processes and activities in lean manufacturing firms and explore the associated learning implications through the lens of cumulative capability theory. Design/methodology/approach Adopting a multiple-case design, we examine four cases of digitalization initiatives within lean manufacturing firms. We collected data through semi-structured interviews and direct observations during site visits. Findings The study uncovers the development of learning capabilities as a result of integrating lean and digitalization. We find that digitalization in lean manufacturing firms contributes to the development of both routinized and evolutionary learning capabilities in a cumulative fashion. Originality/value The study adds nuance to the limited theoretical understanding of the integration of lean and digitalization by showing how it cumulatively develops the learning capabilities of lean manufacturing firms. As such, the study supports the robustness of cumulative capability theory. We further contribute to research by offering empirical support for the cumulative nature of learning.","author":[{"dropping-particle":"","family":"Powell","given":"Daryl John","non-dropping-particle":"","parse-names":false,"suffix":""},{"dropping-particle":"","family":"Laubengaier","given":"Désirée A","non-dropping-particle":"","parse-names":false,"suffix":""},{"dropping-particle":"","family":"Tortorella","given":"Guilherme Luz","non-dropping-particle":"","parse-names":false,"suffix":""},{"dropping-particle":"","family":"Saabye","given":"Henrik","non-dropping-particle":"","parse-names":false,"suffix":""},{"dropping-particle":"","family":"Antony","given":"Jiju","non-dropping-particle":"","parse-names":false,"suffix":""},{"dropping-particle":"","family":"Cagliano","given":"Raffaella","non-dropping-particle":"","parse-names":false,"suffix":""}],"container-title":"International Journal of Operations &amp; Production Management","id":"ITEM-1","issue":"6","issued":{"date-parts":[["2024","1","1"]]},"page":"1249-1278","publisher":"Emerald Publishing Limited","title":"Digitalization in lean manufacturing firms: a cumulative capability development perspective","type":"article-journal","volume":"44"},"uris":["http://www.mendeley.com/documents/?uuid=58ba3779-b1e1-407d-a47e-4af4e6f179e1"]}],"mendeley":{"formattedCitation":"[22]","plainTextFormattedCitation":"[22]","previouslyFormattedCitation":"[22]"},"properties":{"noteIndex":0},"schema":"https://github.com/citation-style-language/schema/raw/master/csl-citation.json"}</w:instrText>
      </w:r>
      <w:r w:rsidRPr="00185454">
        <w:rPr>
          <w:rStyle w:val="IJPMLink"/>
          <w:rFonts w:ascii="Arial" w:hAnsi="Arial" w:cs="Arial"/>
          <w:color w:val="2F5496" w:themeColor="accent1" w:themeShade="BF"/>
          <w:sz w:val="20"/>
          <w:szCs w:val="20"/>
        </w:rPr>
        <w:fldChar w:fldCharType="separate"/>
      </w:r>
      <w:r w:rsidR="004B0C5A" w:rsidRPr="004B0C5A">
        <w:rPr>
          <w:rStyle w:val="IJPMLink"/>
          <w:rFonts w:ascii="Arial" w:hAnsi="Arial" w:cs="Arial"/>
          <w:noProof/>
          <w:color w:val="2F5496" w:themeColor="accent1" w:themeShade="BF"/>
          <w:sz w:val="20"/>
          <w:szCs w:val="20"/>
        </w:rPr>
        <w:t>[22]</w:t>
      </w:r>
      <w:r w:rsidRPr="00185454">
        <w:rPr>
          <w:rStyle w:val="IJPMLink"/>
          <w:rFonts w:ascii="Arial" w:hAnsi="Arial" w:cs="Arial"/>
          <w:color w:val="2F5496" w:themeColor="accent1" w:themeShade="BF"/>
          <w:sz w:val="20"/>
          <w:szCs w:val="20"/>
        </w:rPr>
        <w:fldChar w:fldCharType="end"/>
      </w:r>
      <w:r w:rsidRPr="00185454">
        <w:rPr>
          <w:rFonts w:ascii="Arial" w:hAnsi="Arial" w:cs="Arial"/>
          <w:sz w:val="20"/>
          <w:szCs w:val="20"/>
        </w:rPr>
        <w:t xml:space="preserve">, include detailed documentation, consistency of respondents' statements and the evidence used. A general description of the company as a comparative study can be seen in Table 1. </w:t>
      </w:r>
    </w:p>
    <w:p w14:paraId="2C528538" w14:textId="77777777" w:rsidR="00E51251" w:rsidRPr="00185454" w:rsidRDefault="00E51251" w:rsidP="00E51251">
      <w:pPr>
        <w:pStyle w:val="IJPMETableFigureCaption"/>
        <w:sectPr w:rsidR="00E51251" w:rsidRPr="00185454">
          <w:type w:val="continuous"/>
          <w:pgSz w:w="11907" w:h="16840"/>
          <w:pgMar w:top="1701" w:right="1134" w:bottom="1701" w:left="1701" w:header="680" w:footer="680" w:gutter="0"/>
          <w:cols w:num="2" w:space="720" w:equalWidth="0">
            <w:col w:w="4394" w:space="284"/>
            <w:col w:w="4394" w:space="0"/>
          </w:cols>
          <w:titlePg/>
        </w:sectPr>
      </w:pPr>
    </w:p>
    <w:p w14:paraId="74CD6D50" w14:textId="77777777" w:rsidR="00E51251" w:rsidRDefault="00E51251" w:rsidP="00E51251">
      <w:pPr>
        <w:pStyle w:val="IJPMETableFigureCaption"/>
        <w:rPr>
          <w:b/>
        </w:rPr>
      </w:pPr>
    </w:p>
    <w:p w14:paraId="07E78A35" w14:textId="77777777" w:rsidR="00E51251" w:rsidRPr="00185454" w:rsidRDefault="00E51251" w:rsidP="00E51251">
      <w:pPr>
        <w:pStyle w:val="IJPMETableFigureCaption"/>
      </w:pPr>
      <w:r w:rsidRPr="00185454">
        <w:rPr>
          <w:b/>
        </w:rPr>
        <w:t>Table 1</w:t>
      </w:r>
      <w:r w:rsidRPr="00185454">
        <w:t>.  General Overview of Companies</w:t>
      </w:r>
    </w:p>
    <w:tbl>
      <w:tblPr>
        <w:tblW w:w="9168" w:type="dxa"/>
        <w:tblLayout w:type="fixed"/>
        <w:tblLook w:val="04A0" w:firstRow="1" w:lastRow="0" w:firstColumn="1" w:lastColumn="0" w:noHBand="0" w:noVBand="1"/>
      </w:tblPr>
      <w:tblGrid>
        <w:gridCol w:w="757"/>
        <w:gridCol w:w="1504"/>
        <w:gridCol w:w="858"/>
        <w:gridCol w:w="1502"/>
        <w:gridCol w:w="1331"/>
        <w:gridCol w:w="1405"/>
        <w:gridCol w:w="1811"/>
      </w:tblGrid>
      <w:tr w:rsidR="00E51251" w:rsidRPr="00185454" w14:paraId="7AD546EE" w14:textId="77777777" w:rsidTr="00DA29D4">
        <w:trPr>
          <w:trHeight w:val="367"/>
        </w:trPr>
        <w:tc>
          <w:tcPr>
            <w:tcW w:w="757" w:type="dxa"/>
            <w:tcBorders>
              <w:top w:val="single" w:sz="4" w:space="0" w:color="auto"/>
              <w:bottom w:val="single" w:sz="4" w:space="0" w:color="auto"/>
            </w:tcBorders>
            <w:hideMark/>
          </w:tcPr>
          <w:p w14:paraId="58ADB558"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Plant</w:t>
            </w:r>
          </w:p>
        </w:tc>
        <w:tc>
          <w:tcPr>
            <w:tcW w:w="1504" w:type="dxa"/>
            <w:tcBorders>
              <w:top w:val="single" w:sz="4" w:space="0" w:color="auto"/>
              <w:bottom w:val="single" w:sz="4" w:space="0" w:color="auto"/>
            </w:tcBorders>
            <w:hideMark/>
          </w:tcPr>
          <w:p w14:paraId="1B12E39D"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Location</w:t>
            </w:r>
          </w:p>
        </w:tc>
        <w:tc>
          <w:tcPr>
            <w:tcW w:w="858" w:type="dxa"/>
            <w:tcBorders>
              <w:top w:val="single" w:sz="4" w:space="0" w:color="auto"/>
              <w:bottom w:val="single" w:sz="4" w:space="0" w:color="auto"/>
            </w:tcBorders>
          </w:tcPr>
          <w:p w14:paraId="3EB2AE11" w14:textId="77777777" w:rsidR="00E51251" w:rsidRPr="00185454" w:rsidRDefault="00E51251" w:rsidP="00AC34CE">
            <w:pPr>
              <w:pStyle w:val="IJPMETabletext"/>
              <w:spacing w:after="0" w:line="240" w:lineRule="auto"/>
              <w:ind w:hanging="2"/>
              <w:jc w:val="both"/>
              <w:rPr>
                <w:rFonts w:ascii="Arial" w:hAnsi="Arial" w:cs="Arial"/>
                <w:szCs w:val="20"/>
              </w:rPr>
            </w:pPr>
          </w:p>
        </w:tc>
        <w:tc>
          <w:tcPr>
            <w:tcW w:w="1502" w:type="dxa"/>
            <w:tcBorders>
              <w:top w:val="single" w:sz="4" w:space="0" w:color="auto"/>
              <w:bottom w:val="single" w:sz="4" w:space="0" w:color="auto"/>
            </w:tcBorders>
            <w:hideMark/>
          </w:tcPr>
          <w:p w14:paraId="67CC8635"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Product</w:t>
            </w:r>
          </w:p>
        </w:tc>
        <w:tc>
          <w:tcPr>
            <w:tcW w:w="1331" w:type="dxa"/>
            <w:tcBorders>
              <w:top w:val="single" w:sz="4" w:space="0" w:color="auto"/>
              <w:bottom w:val="single" w:sz="4" w:space="0" w:color="auto"/>
            </w:tcBorders>
            <w:hideMark/>
          </w:tcPr>
          <w:p w14:paraId="2C459CC3"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Expire</w:t>
            </w:r>
          </w:p>
        </w:tc>
        <w:tc>
          <w:tcPr>
            <w:tcW w:w="1405" w:type="dxa"/>
            <w:tcBorders>
              <w:top w:val="single" w:sz="4" w:space="0" w:color="auto"/>
              <w:bottom w:val="single" w:sz="4" w:space="0" w:color="auto"/>
            </w:tcBorders>
            <w:hideMark/>
          </w:tcPr>
          <w:p w14:paraId="059BA1D6"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Revenue/ year</w:t>
            </w:r>
          </w:p>
          <w:p w14:paraId="3E9C3CAC"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Billion IDR</w:t>
            </w:r>
          </w:p>
        </w:tc>
        <w:tc>
          <w:tcPr>
            <w:tcW w:w="1811" w:type="dxa"/>
            <w:tcBorders>
              <w:top w:val="single" w:sz="4" w:space="0" w:color="auto"/>
              <w:bottom w:val="single" w:sz="4" w:space="0" w:color="auto"/>
            </w:tcBorders>
            <w:hideMark/>
          </w:tcPr>
          <w:p w14:paraId="0AD07997"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Certification</w:t>
            </w:r>
          </w:p>
        </w:tc>
      </w:tr>
      <w:tr w:rsidR="00E51251" w:rsidRPr="00185454" w14:paraId="582761CF" w14:textId="77777777" w:rsidTr="00DA29D4">
        <w:trPr>
          <w:trHeight w:val="209"/>
        </w:trPr>
        <w:tc>
          <w:tcPr>
            <w:tcW w:w="757" w:type="dxa"/>
            <w:tcBorders>
              <w:top w:val="single" w:sz="4" w:space="0" w:color="auto"/>
            </w:tcBorders>
            <w:hideMark/>
          </w:tcPr>
          <w:p w14:paraId="630F17B0"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A</w:t>
            </w:r>
          </w:p>
        </w:tc>
        <w:tc>
          <w:tcPr>
            <w:tcW w:w="1504" w:type="dxa"/>
            <w:tcBorders>
              <w:top w:val="single" w:sz="4" w:space="0" w:color="auto"/>
            </w:tcBorders>
            <w:hideMark/>
          </w:tcPr>
          <w:p w14:paraId="550CA543"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Surabaya</w:t>
            </w:r>
          </w:p>
        </w:tc>
        <w:tc>
          <w:tcPr>
            <w:tcW w:w="858" w:type="dxa"/>
            <w:tcBorders>
              <w:top w:val="single" w:sz="4" w:space="0" w:color="auto"/>
            </w:tcBorders>
          </w:tcPr>
          <w:p w14:paraId="612CCB83" w14:textId="77777777" w:rsidR="00E51251" w:rsidRPr="00185454" w:rsidRDefault="00E51251" w:rsidP="00AC34CE">
            <w:pPr>
              <w:pStyle w:val="IJPMETabletext"/>
              <w:spacing w:after="0" w:line="240" w:lineRule="auto"/>
              <w:ind w:hanging="2"/>
              <w:jc w:val="both"/>
              <w:rPr>
                <w:rFonts w:ascii="Arial" w:hAnsi="Arial" w:cs="Arial"/>
                <w:szCs w:val="20"/>
              </w:rPr>
            </w:pPr>
          </w:p>
        </w:tc>
        <w:tc>
          <w:tcPr>
            <w:tcW w:w="1502" w:type="dxa"/>
            <w:tcBorders>
              <w:top w:val="single" w:sz="4" w:space="0" w:color="auto"/>
            </w:tcBorders>
            <w:hideMark/>
          </w:tcPr>
          <w:p w14:paraId="0E884812"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Bread</w:t>
            </w:r>
          </w:p>
        </w:tc>
        <w:tc>
          <w:tcPr>
            <w:tcW w:w="1331" w:type="dxa"/>
            <w:tcBorders>
              <w:top w:val="single" w:sz="4" w:space="0" w:color="auto"/>
            </w:tcBorders>
            <w:hideMark/>
          </w:tcPr>
          <w:p w14:paraId="1D418819"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&lt; 1 month</w:t>
            </w:r>
          </w:p>
        </w:tc>
        <w:tc>
          <w:tcPr>
            <w:tcW w:w="1405" w:type="dxa"/>
            <w:tcBorders>
              <w:top w:val="single" w:sz="4" w:space="0" w:color="auto"/>
            </w:tcBorders>
            <w:hideMark/>
          </w:tcPr>
          <w:p w14:paraId="760EEB57"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64</w:t>
            </w:r>
          </w:p>
        </w:tc>
        <w:tc>
          <w:tcPr>
            <w:tcW w:w="1811" w:type="dxa"/>
            <w:tcBorders>
              <w:top w:val="single" w:sz="4" w:space="0" w:color="auto"/>
            </w:tcBorders>
            <w:hideMark/>
          </w:tcPr>
          <w:p w14:paraId="356754A7"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HACCP</w:t>
            </w:r>
          </w:p>
        </w:tc>
      </w:tr>
      <w:tr w:rsidR="00E51251" w:rsidRPr="00185454" w14:paraId="262C5C1C" w14:textId="77777777" w:rsidTr="00DA29D4">
        <w:trPr>
          <w:trHeight w:val="201"/>
        </w:trPr>
        <w:tc>
          <w:tcPr>
            <w:tcW w:w="757" w:type="dxa"/>
            <w:hideMark/>
          </w:tcPr>
          <w:p w14:paraId="79E0258D"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B</w:t>
            </w:r>
          </w:p>
        </w:tc>
        <w:tc>
          <w:tcPr>
            <w:tcW w:w="1504" w:type="dxa"/>
            <w:hideMark/>
          </w:tcPr>
          <w:p w14:paraId="270D8CE2"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Bandung</w:t>
            </w:r>
          </w:p>
        </w:tc>
        <w:tc>
          <w:tcPr>
            <w:tcW w:w="858" w:type="dxa"/>
          </w:tcPr>
          <w:p w14:paraId="4DE27AEA" w14:textId="77777777" w:rsidR="00E51251" w:rsidRPr="00185454" w:rsidRDefault="00E51251" w:rsidP="00AC34CE">
            <w:pPr>
              <w:pStyle w:val="IJPMETabletext"/>
              <w:spacing w:after="0" w:line="240" w:lineRule="auto"/>
              <w:ind w:hanging="2"/>
              <w:jc w:val="both"/>
              <w:rPr>
                <w:rFonts w:ascii="Arial" w:hAnsi="Arial" w:cs="Arial"/>
                <w:szCs w:val="20"/>
              </w:rPr>
            </w:pPr>
          </w:p>
        </w:tc>
        <w:tc>
          <w:tcPr>
            <w:tcW w:w="1502" w:type="dxa"/>
            <w:hideMark/>
          </w:tcPr>
          <w:p w14:paraId="0492416C"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Chocolate</w:t>
            </w:r>
          </w:p>
        </w:tc>
        <w:tc>
          <w:tcPr>
            <w:tcW w:w="1331" w:type="dxa"/>
            <w:hideMark/>
          </w:tcPr>
          <w:p w14:paraId="79E47A9D"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&gt;1 year</w:t>
            </w:r>
          </w:p>
        </w:tc>
        <w:tc>
          <w:tcPr>
            <w:tcW w:w="1405" w:type="dxa"/>
            <w:hideMark/>
          </w:tcPr>
          <w:p w14:paraId="4D40C395"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114</w:t>
            </w:r>
          </w:p>
        </w:tc>
        <w:tc>
          <w:tcPr>
            <w:tcW w:w="1811" w:type="dxa"/>
            <w:hideMark/>
          </w:tcPr>
          <w:p w14:paraId="489C105B"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ISO, HACCP</w:t>
            </w:r>
          </w:p>
        </w:tc>
      </w:tr>
      <w:tr w:rsidR="00E51251" w:rsidRPr="00185454" w14:paraId="2D487454" w14:textId="77777777" w:rsidTr="00DA29D4">
        <w:trPr>
          <w:trHeight w:val="103"/>
        </w:trPr>
        <w:tc>
          <w:tcPr>
            <w:tcW w:w="757" w:type="dxa"/>
            <w:hideMark/>
          </w:tcPr>
          <w:p w14:paraId="0ED66AFA"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C</w:t>
            </w:r>
          </w:p>
        </w:tc>
        <w:tc>
          <w:tcPr>
            <w:tcW w:w="1504" w:type="dxa"/>
            <w:hideMark/>
          </w:tcPr>
          <w:p w14:paraId="52D2B343"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Tangerang</w:t>
            </w:r>
          </w:p>
        </w:tc>
        <w:tc>
          <w:tcPr>
            <w:tcW w:w="858" w:type="dxa"/>
          </w:tcPr>
          <w:p w14:paraId="78340540" w14:textId="77777777" w:rsidR="00E51251" w:rsidRPr="00185454" w:rsidRDefault="00E51251" w:rsidP="00AC34CE">
            <w:pPr>
              <w:pStyle w:val="IJPMETabletext"/>
              <w:spacing w:after="0" w:line="240" w:lineRule="auto"/>
              <w:ind w:hanging="2"/>
              <w:jc w:val="both"/>
              <w:rPr>
                <w:rFonts w:ascii="Arial" w:hAnsi="Arial" w:cs="Arial"/>
                <w:szCs w:val="20"/>
              </w:rPr>
            </w:pPr>
          </w:p>
        </w:tc>
        <w:tc>
          <w:tcPr>
            <w:tcW w:w="1502" w:type="dxa"/>
            <w:hideMark/>
          </w:tcPr>
          <w:p w14:paraId="7EBA6860"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Wafer Cream</w:t>
            </w:r>
          </w:p>
        </w:tc>
        <w:tc>
          <w:tcPr>
            <w:tcW w:w="1331" w:type="dxa"/>
            <w:hideMark/>
          </w:tcPr>
          <w:p w14:paraId="50431C17"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&gt;1 year</w:t>
            </w:r>
          </w:p>
        </w:tc>
        <w:tc>
          <w:tcPr>
            <w:tcW w:w="1405" w:type="dxa"/>
            <w:hideMark/>
          </w:tcPr>
          <w:p w14:paraId="399989E1"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146</w:t>
            </w:r>
          </w:p>
        </w:tc>
        <w:tc>
          <w:tcPr>
            <w:tcW w:w="1811" w:type="dxa"/>
            <w:hideMark/>
          </w:tcPr>
          <w:p w14:paraId="524B4950"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ISO, HACCP</w:t>
            </w:r>
          </w:p>
        </w:tc>
      </w:tr>
      <w:tr w:rsidR="00E51251" w:rsidRPr="00185454" w14:paraId="68B31AF1" w14:textId="77777777" w:rsidTr="00DA29D4">
        <w:trPr>
          <w:trHeight w:val="260"/>
        </w:trPr>
        <w:tc>
          <w:tcPr>
            <w:tcW w:w="757" w:type="dxa"/>
            <w:tcBorders>
              <w:bottom w:val="single" w:sz="4" w:space="0" w:color="auto"/>
            </w:tcBorders>
            <w:hideMark/>
          </w:tcPr>
          <w:p w14:paraId="4FA3946E"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D</w:t>
            </w:r>
          </w:p>
        </w:tc>
        <w:tc>
          <w:tcPr>
            <w:tcW w:w="1504" w:type="dxa"/>
            <w:tcBorders>
              <w:bottom w:val="single" w:sz="4" w:space="0" w:color="auto"/>
            </w:tcBorders>
            <w:hideMark/>
          </w:tcPr>
          <w:p w14:paraId="5182189A"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Medan</w:t>
            </w:r>
          </w:p>
        </w:tc>
        <w:tc>
          <w:tcPr>
            <w:tcW w:w="858" w:type="dxa"/>
            <w:tcBorders>
              <w:bottom w:val="single" w:sz="4" w:space="0" w:color="auto"/>
            </w:tcBorders>
          </w:tcPr>
          <w:p w14:paraId="06F6A138" w14:textId="77777777" w:rsidR="00E51251" w:rsidRPr="00185454" w:rsidRDefault="00E51251" w:rsidP="00AC34CE">
            <w:pPr>
              <w:pStyle w:val="IJPMETabletext"/>
              <w:spacing w:after="0" w:line="240" w:lineRule="auto"/>
              <w:ind w:hanging="2"/>
              <w:jc w:val="both"/>
              <w:rPr>
                <w:rFonts w:ascii="Arial" w:hAnsi="Arial" w:cs="Arial"/>
                <w:szCs w:val="20"/>
              </w:rPr>
            </w:pPr>
          </w:p>
        </w:tc>
        <w:tc>
          <w:tcPr>
            <w:tcW w:w="1502" w:type="dxa"/>
            <w:tcBorders>
              <w:bottom w:val="single" w:sz="4" w:space="0" w:color="auto"/>
            </w:tcBorders>
            <w:hideMark/>
          </w:tcPr>
          <w:p w14:paraId="3E938995"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Cake</w:t>
            </w:r>
          </w:p>
        </w:tc>
        <w:tc>
          <w:tcPr>
            <w:tcW w:w="1331" w:type="dxa"/>
            <w:tcBorders>
              <w:bottom w:val="single" w:sz="4" w:space="0" w:color="auto"/>
            </w:tcBorders>
            <w:hideMark/>
          </w:tcPr>
          <w:p w14:paraId="3D11E15C"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&lt;1 month</w:t>
            </w:r>
          </w:p>
        </w:tc>
        <w:tc>
          <w:tcPr>
            <w:tcW w:w="1405" w:type="dxa"/>
            <w:tcBorders>
              <w:bottom w:val="single" w:sz="4" w:space="0" w:color="auto"/>
            </w:tcBorders>
            <w:hideMark/>
          </w:tcPr>
          <w:p w14:paraId="71FF6428"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78</w:t>
            </w:r>
          </w:p>
        </w:tc>
        <w:tc>
          <w:tcPr>
            <w:tcW w:w="1811" w:type="dxa"/>
            <w:tcBorders>
              <w:bottom w:val="single" w:sz="4" w:space="0" w:color="auto"/>
            </w:tcBorders>
            <w:hideMark/>
          </w:tcPr>
          <w:p w14:paraId="6DB23549"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HACCP</w:t>
            </w:r>
          </w:p>
        </w:tc>
      </w:tr>
    </w:tbl>
    <w:p w14:paraId="3A1D7F45" w14:textId="77777777" w:rsidR="00E51251" w:rsidRDefault="00E51251" w:rsidP="00E51251">
      <w:pPr>
        <w:ind w:left="0" w:hanging="2"/>
        <w:jc w:val="both"/>
        <w:rPr>
          <w:rFonts w:ascii="Arial" w:hAnsi="Arial" w:cs="Arial"/>
          <w:sz w:val="20"/>
          <w:szCs w:val="20"/>
        </w:rPr>
        <w:sectPr w:rsidR="00E51251" w:rsidSect="00AC34CE">
          <w:type w:val="continuous"/>
          <w:pgSz w:w="11907" w:h="16840"/>
          <w:pgMar w:top="1701" w:right="1134" w:bottom="1701" w:left="1701" w:header="680" w:footer="680" w:gutter="0"/>
          <w:cols w:space="284"/>
          <w:titlePg/>
        </w:sectPr>
      </w:pPr>
    </w:p>
    <w:p w14:paraId="18A84D3D" w14:textId="77777777" w:rsidR="00E51251" w:rsidRPr="00185454" w:rsidRDefault="00E51251" w:rsidP="00E51251">
      <w:pPr>
        <w:pStyle w:val="Heading2"/>
        <w:spacing w:before="0" w:after="120" w:line="240" w:lineRule="auto"/>
        <w:ind w:leftChars="0" w:left="0" w:firstLineChars="0" w:firstLine="0"/>
        <w:jc w:val="both"/>
        <w:rPr>
          <w:rFonts w:ascii="Arial" w:hAnsi="Arial" w:cs="Arial"/>
          <w:sz w:val="20"/>
          <w:szCs w:val="20"/>
        </w:rPr>
      </w:pPr>
      <w:r w:rsidRPr="00185454">
        <w:rPr>
          <w:rFonts w:ascii="Arial" w:hAnsi="Arial" w:cs="Arial"/>
          <w:sz w:val="20"/>
          <w:szCs w:val="20"/>
        </w:rPr>
        <w:t>Implementation</w:t>
      </w:r>
    </w:p>
    <w:p w14:paraId="0BA7E877" w14:textId="77777777" w:rsidR="00E51251" w:rsidRPr="00185454" w:rsidRDefault="00E51251" w:rsidP="00E51251">
      <w:pPr>
        <w:spacing w:after="0" w:line="240" w:lineRule="auto"/>
        <w:ind w:left="0" w:hanging="2"/>
        <w:jc w:val="both"/>
        <w:rPr>
          <w:rFonts w:ascii="Arial" w:hAnsi="Arial" w:cs="Arial"/>
          <w:sz w:val="20"/>
          <w:szCs w:val="20"/>
        </w:rPr>
      </w:pPr>
      <w:r w:rsidRPr="00185454">
        <w:rPr>
          <w:rFonts w:ascii="Arial" w:hAnsi="Arial" w:cs="Arial"/>
          <w:sz w:val="20"/>
          <w:szCs w:val="20"/>
        </w:rPr>
        <w:t>The implementation stage was divided into: (</w:t>
      </w:r>
      <w:proofErr w:type="spellStart"/>
      <w:r>
        <w:rPr>
          <w:rFonts w:ascii="Arial" w:hAnsi="Arial" w:cs="Arial"/>
          <w:sz w:val="20"/>
          <w:szCs w:val="20"/>
        </w:rPr>
        <w:t>i</w:t>
      </w:r>
      <w:proofErr w:type="spellEnd"/>
      <w:r w:rsidRPr="00185454">
        <w:rPr>
          <w:rFonts w:ascii="Arial" w:hAnsi="Arial" w:cs="Arial"/>
          <w:sz w:val="20"/>
          <w:szCs w:val="20"/>
        </w:rPr>
        <w:t>) LM relationship with QS, (</w:t>
      </w:r>
      <w:r>
        <w:rPr>
          <w:rFonts w:ascii="Arial" w:hAnsi="Arial" w:cs="Arial"/>
          <w:sz w:val="20"/>
          <w:szCs w:val="20"/>
        </w:rPr>
        <w:t>ii</w:t>
      </w:r>
      <w:r w:rsidRPr="00185454">
        <w:rPr>
          <w:rFonts w:ascii="Arial" w:hAnsi="Arial" w:cs="Arial"/>
          <w:sz w:val="20"/>
          <w:szCs w:val="20"/>
        </w:rPr>
        <w:t>) LM implementation and (</w:t>
      </w:r>
      <w:r>
        <w:rPr>
          <w:rFonts w:ascii="Arial" w:hAnsi="Arial" w:cs="Arial"/>
          <w:sz w:val="20"/>
          <w:szCs w:val="20"/>
        </w:rPr>
        <w:t>iii</w:t>
      </w:r>
      <w:r w:rsidRPr="00185454">
        <w:rPr>
          <w:rFonts w:ascii="Arial" w:hAnsi="Arial" w:cs="Arial"/>
          <w:sz w:val="20"/>
          <w:szCs w:val="20"/>
        </w:rPr>
        <w:t>) performance analysis. The results of these factors were used as a reference for the application of LM in the food industry.</w:t>
      </w:r>
    </w:p>
    <w:p w14:paraId="438DE5C3" w14:textId="77777777" w:rsidR="00E51251" w:rsidRPr="00185454" w:rsidRDefault="00E51251" w:rsidP="00E51251">
      <w:pPr>
        <w:spacing w:after="0" w:line="240" w:lineRule="auto"/>
        <w:ind w:left="0" w:hanging="2"/>
        <w:jc w:val="both"/>
        <w:rPr>
          <w:rFonts w:ascii="Arial" w:hAnsi="Arial" w:cs="Arial"/>
          <w:sz w:val="20"/>
          <w:szCs w:val="20"/>
        </w:rPr>
      </w:pPr>
      <w:r w:rsidRPr="00185454">
        <w:rPr>
          <w:rFonts w:ascii="Arial" w:hAnsi="Arial" w:cs="Arial"/>
          <w:sz w:val="20"/>
          <w:szCs w:val="20"/>
        </w:rPr>
        <w:t>The LM-QS relationship explains the relationship between two variables (LM-QS) in the four companies. The relationship was defined as follows.</w:t>
      </w:r>
    </w:p>
    <w:p w14:paraId="35B43D16" w14:textId="77777777" w:rsidR="00E51251" w:rsidRPr="00185454" w:rsidRDefault="00E51251" w:rsidP="00E51251">
      <w:pPr>
        <w:spacing w:after="0" w:line="240" w:lineRule="auto"/>
        <w:ind w:left="0" w:hanging="2"/>
        <w:jc w:val="both"/>
        <w:rPr>
          <w:rFonts w:ascii="Arial" w:hAnsi="Arial" w:cs="Arial"/>
          <w:sz w:val="20"/>
          <w:szCs w:val="20"/>
        </w:rPr>
      </w:pPr>
      <w:r w:rsidRPr="00185454">
        <w:rPr>
          <w:rFonts w:ascii="Arial" w:hAnsi="Arial" w:cs="Arial"/>
          <w:sz w:val="20"/>
          <w:szCs w:val="20"/>
        </w:rPr>
        <w:t>Separate: QS was not a part/tool of LM. QS was seen as a quality system whose position was parallel to LM and QS's position is more prioritized than LM.</w:t>
      </w:r>
    </w:p>
    <w:p w14:paraId="5E984743" w14:textId="77777777" w:rsidR="00E51251" w:rsidRPr="00185454" w:rsidRDefault="00E51251" w:rsidP="00E51251">
      <w:pPr>
        <w:spacing w:after="0" w:line="240" w:lineRule="auto"/>
        <w:ind w:left="0" w:hanging="2"/>
        <w:jc w:val="both"/>
        <w:rPr>
          <w:rFonts w:ascii="Arial" w:hAnsi="Arial" w:cs="Arial"/>
          <w:sz w:val="20"/>
          <w:szCs w:val="20"/>
        </w:rPr>
      </w:pPr>
      <w:r w:rsidRPr="00185454">
        <w:rPr>
          <w:rFonts w:ascii="Arial" w:hAnsi="Arial" w:cs="Arial"/>
          <w:sz w:val="20"/>
          <w:szCs w:val="20"/>
        </w:rPr>
        <w:t>Converge: QS was a set of LM tools, while LM was the company's main priority.</w:t>
      </w:r>
    </w:p>
    <w:p w14:paraId="12F2C01E" w14:textId="77777777" w:rsidR="00E51251" w:rsidRPr="00185454" w:rsidRDefault="00E51251" w:rsidP="00E51251">
      <w:pPr>
        <w:spacing w:after="0" w:line="240" w:lineRule="auto"/>
        <w:ind w:left="0" w:hanging="2"/>
        <w:jc w:val="both"/>
        <w:rPr>
          <w:rFonts w:ascii="Arial" w:hAnsi="Arial" w:cs="Arial"/>
          <w:sz w:val="20"/>
          <w:szCs w:val="20"/>
        </w:rPr>
      </w:pPr>
      <w:r w:rsidRPr="00185454">
        <w:rPr>
          <w:rFonts w:ascii="Arial" w:hAnsi="Arial" w:cs="Arial"/>
          <w:sz w:val="20"/>
          <w:szCs w:val="20"/>
        </w:rPr>
        <w:t xml:space="preserve">All four companies selected and used LM tools. Use of LM tools depends on company policy. At this stage, the comparative study focuses on implementation: (a) Step by Step; selecting an LM tool through stages (choosing one tool to be applied with QS. If successful, you may add another LM tool. (b) Simultaneously, where QS was part of an LM tool that was used together with other LM tools. Sometimes, five LM tools (JIT, TQM, TPM, Kanban, 5S) were used simultaneously. The selection of LM-QS relationships and their application are presented in Table 2. </w:t>
      </w:r>
    </w:p>
    <w:p w14:paraId="05C0EC29" w14:textId="77777777" w:rsidR="00E51251" w:rsidRDefault="00E51251" w:rsidP="00E51251">
      <w:pPr>
        <w:pStyle w:val="IJPMETableFigureCaption"/>
        <w:sectPr w:rsidR="00E51251">
          <w:type w:val="continuous"/>
          <w:pgSz w:w="11907" w:h="16840"/>
          <w:pgMar w:top="1701" w:right="1134" w:bottom="1701" w:left="1701" w:header="680" w:footer="680" w:gutter="0"/>
          <w:cols w:num="2" w:space="720" w:equalWidth="0">
            <w:col w:w="4394" w:space="284"/>
            <w:col w:w="4394" w:space="0"/>
          </w:cols>
          <w:titlePg/>
        </w:sectPr>
      </w:pPr>
    </w:p>
    <w:p w14:paraId="55308948" w14:textId="77777777" w:rsidR="00E51251" w:rsidRPr="00185454" w:rsidRDefault="00E51251" w:rsidP="00E51251">
      <w:pPr>
        <w:pStyle w:val="IJPMETableFigureCaption"/>
      </w:pPr>
      <w:r w:rsidRPr="00185454">
        <w:t>Table 2. Lean Manufacturing Implementation</w:t>
      </w:r>
    </w:p>
    <w:tbl>
      <w:tblPr>
        <w:tblStyle w:val="LightShading"/>
        <w:tblW w:w="9045" w:type="dxa"/>
        <w:jc w:val="center"/>
        <w:tblBorders>
          <w:top w:val="single" w:sz="8" w:space="0" w:color="000000" w:themeColor="text1"/>
          <w:bottom w:val="single" w:sz="8" w:space="0" w:color="000000" w:themeColor="text1"/>
        </w:tblBorders>
        <w:tblLayout w:type="fixed"/>
        <w:tblLook w:val="04A0" w:firstRow="1" w:lastRow="0" w:firstColumn="1" w:lastColumn="0" w:noHBand="0" w:noVBand="1"/>
      </w:tblPr>
      <w:tblGrid>
        <w:gridCol w:w="1066"/>
        <w:gridCol w:w="1486"/>
        <w:gridCol w:w="1523"/>
        <w:gridCol w:w="1237"/>
        <w:gridCol w:w="3733"/>
      </w:tblGrid>
      <w:tr w:rsidR="00E51251" w:rsidRPr="00185454" w14:paraId="5625B194" w14:textId="77777777" w:rsidTr="00DA29D4">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066" w:type="dxa"/>
            <w:tcBorders>
              <w:top w:val="single" w:sz="8" w:space="0" w:color="000000" w:themeColor="text1"/>
              <w:left w:val="nil"/>
              <w:bottom w:val="single" w:sz="8" w:space="0" w:color="000000" w:themeColor="text1"/>
            </w:tcBorders>
            <w:vAlign w:val="center"/>
            <w:hideMark/>
          </w:tcPr>
          <w:p w14:paraId="420F6553"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Plant</w:t>
            </w:r>
          </w:p>
        </w:tc>
        <w:tc>
          <w:tcPr>
            <w:tcW w:w="1486" w:type="dxa"/>
            <w:tcBorders>
              <w:top w:val="single" w:sz="8" w:space="0" w:color="000000" w:themeColor="text1"/>
              <w:bottom w:val="single" w:sz="8" w:space="0" w:color="000000" w:themeColor="text1"/>
            </w:tcBorders>
            <w:vAlign w:val="center"/>
            <w:hideMark/>
          </w:tcPr>
          <w:p w14:paraId="63AEF6A5" w14:textId="77777777" w:rsidR="00E51251" w:rsidRPr="00185454" w:rsidRDefault="00E51251" w:rsidP="00AC34CE">
            <w:pPr>
              <w:pStyle w:val="IJPMETabletext"/>
              <w:spacing w:after="0" w:line="240" w:lineRule="auto"/>
              <w:ind w:hanging="2"/>
              <w:jc w:val="both"/>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Relationship</w:t>
            </w:r>
          </w:p>
          <w:p w14:paraId="4A38FB72" w14:textId="77777777" w:rsidR="00E51251" w:rsidRPr="00185454" w:rsidRDefault="00E51251" w:rsidP="00AC34CE">
            <w:pPr>
              <w:pStyle w:val="IJPMETabletext"/>
              <w:spacing w:after="0" w:line="240" w:lineRule="auto"/>
              <w:ind w:hanging="2"/>
              <w:jc w:val="both"/>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LM-QS</w:t>
            </w:r>
          </w:p>
        </w:tc>
        <w:tc>
          <w:tcPr>
            <w:tcW w:w="1523" w:type="dxa"/>
            <w:tcBorders>
              <w:top w:val="single" w:sz="8" w:space="0" w:color="000000" w:themeColor="text1"/>
              <w:bottom w:val="single" w:sz="8" w:space="0" w:color="000000" w:themeColor="text1"/>
            </w:tcBorders>
            <w:vAlign w:val="center"/>
            <w:hideMark/>
          </w:tcPr>
          <w:p w14:paraId="071326A6" w14:textId="77777777" w:rsidR="00E51251" w:rsidRPr="00185454" w:rsidRDefault="00E51251" w:rsidP="00AC34CE">
            <w:pPr>
              <w:pStyle w:val="IJPMETabletext"/>
              <w:spacing w:after="0" w:line="240" w:lineRule="auto"/>
              <w:ind w:hanging="2"/>
              <w:jc w:val="both"/>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LM Tool</w:t>
            </w:r>
          </w:p>
        </w:tc>
        <w:tc>
          <w:tcPr>
            <w:tcW w:w="1237" w:type="dxa"/>
            <w:tcBorders>
              <w:top w:val="single" w:sz="8" w:space="0" w:color="000000" w:themeColor="text1"/>
              <w:bottom w:val="single" w:sz="8" w:space="0" w:color="000000" w:themeColor="text1"/>
            </w:tcBorders>
            <w:vAlign w:val="center"/>
            <w:hideMark/>
          </w:tcPr>
          <w:p w14:paraId="04BE66CE" w14:textId="77777777" w:rsidR="00E51251" w:rsidRPr="00185454" w:rsidRDefault="00E51251" w:rsidP="00AC34CE">
            <w:pPr>
              <w:pStyle w:val="IJPMETabletext"/>
              <w:spacing w:after="0" w:line="240" w:lineRule="auto"/>
              <w:ind w:hanging="2"/>
              <w:jc w:val="both"/>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Method</w:t>
            </w:r>
          </w:p>
        </w:tc>
        <w:tc>
          <w:tcPr>
            <w:tcW w:w="3733" w:type="dxa"/>
            <w:tcBorders>
              <w:top w:val="single" w:sz="8" w:space="0" w:color="000000" w:themeColor="text1"/>
              <w:bottom w:val="single" w:sz="8" w:space="0" w:color="000000" w:themeColor="text1"/>
            </w:tcBorders>
            <w:vAlign w:val="center"/>
            <w:hideMark/>
          </w:tcPr>
          <w:p w14:paraId="177A9EAB" w14:textId="77777777" w:rsidR="00E51251" w:rsidRPr="00185454" w:rsidRDefault="00E51251" w:rsidP="00AC34CE">
            <w:pPr>
              <w:pStyle w:val="IJPMETabletext"/>
              <w:spacing w:after="0" w:line="240" w:lineRule="auto"/>
              <w:ind w:hanging="2"/>
              <w:jc w:val="both"/>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Implementation</w:t>
            </w:r>
          </w:p>
        </w:tc>
      </w:tr>
      <w:tr w:rsidR="00E51251" w:rsidRPr="00185454" w14:paraId="29B7C811" w14:textId="77777777" w:rsidTr="00DA29D4">
        <w:trPr>
          <w:trHeight w:val="657"/>
          <w:jc w:val="center"/>
        </w:trPr>
        <w:tc>
          <w:tcPr>
            <w:cnfStyle w:val="001000000000" w:firstRow="0" w:lastRow="0" w:firstColumn="1" w:lastColumn="0" w:oddVBand="0" w:evenVBand="0" w:oddHBand="0" w:evenHBand="0" w:firstRowFirstColumn="0" w:firstRowLastColumn="0" w:lastRowFirstColumn="0" w:lastRowLastColumn="0"/>
            <w:tcW w:w="1066" w:type="dxa"/>
            <w:tcBorders>
              <w:top w:val="nil"/>
              <w:left w:val="nil"/>
              <w:bottom w:val="nil"/>
              <w:right w:val="nil"/>
            </w:tcBorders>
            <w:shd w:val="clear" w:color="auto" w:fill="C0C0C0" w:themeFill="text1" w:themeFillTint="3F"/>
            <w:vAlign w:val="center"/>
            <w:hideMark/>
          </w:tcPr>
          <w:p w14:paraId="7F1A6217"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A</w:t>
            </w:r>
          </w:p>
        </w:tc>
        <w:tc>
          <w:tcPr>
            <w:tcW w:w="1486" w:type="dxa"/>
            <w:tcBorders>
              <w:top w:val="nil"/>
              <w:left w:val="nil"/>
              <w:bottom w:val="nil"/>
              <w:right w:val="nil"/>
            </w:tcBorders>
            <w:shd w:val="clear" w:color="auto" w:fill="C0C0C0" w:themeFill="text1" w:themeFillTint="3F"/>
            <w:vAlign w:val="center"/>
            <w:hideMark/>
          </w:tcPr>
          <w:p w14:paraId="3231F8B4"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separate</w:t>
            </w:r>
          </w:p>
        </w:tc>
        <w:tc>
          <w:tcPr>
            <w:tcW w:w="1523" w:type="dxa"/>
            <w:tcBorders>
              <w:top w:val="nil"/>
              <w:left w:val="nil"/>
              <w:bottom w:val="nil"/>
              <w:right w:val="nil"/>
            </w:tcBorders>
            <w:shd w:val="clear" w:color="auto" w:fill="C0C0C0" w:themeFill="text1" w:themeFillTint="3F"/>
            <w:vAlign w:val="center"/>
            <w:hideMark/>
          </w:tcPr>
          <w:p w14:paraId="421EDE0B" w14:textId="266D1DFE"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5S</w:t>
            </w:r>
            <w:r w:rsidR="00DA29D4">
              <w:rPr>
                <w:rFonts w:ascii="Arial" w:hAnsi="Arial" w:cs="Arial"/>
                <w:szCs w:val="20"/>
              </w:rPr>
              <w:t xml:space="preserve"> </w:t>
            </w:r>
            <w:r w:rsidRPr="00185454">
              <w:rPr>
                <w:rFonts w:ascii="Arial" w:hAnsi="Arial" w:cs="Arial"/>
                <w:szCs w:val="20"/>
              </w:rPr>
              <w:t>1t</w:t>
            </w:r>
            <w:r w:rsidRPr="00DA29D4">
              <w:rPr>
                <w:rFonts w:ascii="Arial" w:hAnsi="Arial" w:cs="Arial"/>
                <w:szCs w:val="20"/>
                <w:vertAlign w:val="superscript"/>
              </w:rPr>
              <w:t>h</w:t>
            </w:r>
            <w:r w:rsidRPr="00185454">
              <w:rPr>
                <w:rFonts w:ascii="Arial" w:hAnsi="Arial" w:cs="Arial"/>
                <w:szCs w:val="20"/>
              </w:rPr>
              <w:t>; JIT</w:t>
            </w:r>
            <w:r w:rsidR="00DA29D4">
              <w:rPr>
                <w:rFonts w:ascii="Arial" w:hAnsi="Arial" w:cs="Arial"/>
                <w:szCs w:val="20"/>
              </w:rPr>
              <w:t xml:space="preserve"> </w:t>
            </w:r>
            <w:r w:rsidRPr="00185454">
              <w:rPr>
                <w:rFonts w:ascii="Arial" w:hAnsi="Arial" w:cs="Arial"/>
                <w:szCs w:val="20"/>
              </w:rPr>
              <w:t>2</w:t>
            </w:r>
            <w:r w:rsidRPr="00DA29D4">
              <w:rPr>
                <w:rFonts w:ascii="Arial" w:hAnsi="Arial" w:cs="Arial"/>
                <w:szCs w:val="20"/>
                <w:vertAlign w:val="superscript"/>
              </w:rPr>
              <w:t>th</w:t>
            </w:r>
          </w:p>
        </w:tc>
        <w:tc>
          <w:tcPr>
            <w:tcW w:w="1237" w:type="dxa"/>
            <w:tcBorders>
              <w:top w:val="nil"/>
              <w:left w:val="nil"/>
              <w:bottom w:val="nil"/>
              <w:right w:val="nil"/>
            </w:tcBorders>
            <w:shd w:val="clear" w:color="auto" w:fill="C0C0C0" w:themeFill="text1" w:themeFillTint="3F"/>
            <w:vAlign w:val="center"/>
            <w:hideMark/>
          </w:tcPr>
          <w:p w14:paraId="35391EDE"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Gradual (Step by Step)</w:t>
            </w:r>
          </w:p>
        </w:tc>
        <w:tc>
          <w:tcPr>
            <w:tcW w:w="3733" w:type="dxa"/>
            <w:tcBorders>
              <w:top w:val="nil"/>
              <w:left w:val="nil"/>
              <w:bottom w:val="nil"/>
              <w:right w:val="nil"/>
            </w:tcBorders>
            <w:shd w:val="clear" w:color="auto" w:fill="C0C0C0" w:themeFill="text1" w:themeFillTint="3F"/>
            <w:hideMark/>
          </w:tcPr>
          <w:p w14:paraId="6B620070"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LM tools adjust to the characteristics of QS. In the first year, the implementation of QS was along with 5S and added with JIT implementation.</w:t>
            </w:r>
          </w:p>
        </w:tc>
      </w:tr>
      <w:tr w:rsidR="00E51251" w:rsidRPr="00185454" w14:paraId="568EA4D0" w14:textId="77777777" w:rsidTr="00DA29D4">
        <w:trPr>
          <w:trHeight w:val="804"/>
          <w:jc w:val="center"/>
        </w:trPr>
        <w:tc>
          <w:tcPr>
            <w:cnfStyle w:val="001000000000" w:firstRow="0" w:lastRow="0" w:firstColumn="1" w:lastColumn="0" w:oddVBand="0" w:evenVBand="0" w:oddHBand="0" w:evenHBand="0" w:firstRowFirstColumn="0" w:firstRowLastColumn="0" w:lastRowFirstColumn="0" w:lastRowLastColumn="0"/>
            <w:tcW w:w="1066" w:type="dxa"/>
            <w:tcBorders>
              <w:top w:val="nil"/>
              <w:left w:val="nil"/>
              <w:bottom w:val="nil"/>
              <w:right w:val="nil"/>
            </w:tcBorders>
            <w:vAlign w:val="center"/>
            <w:hideMark/>
          </w:tcPr>
          <w:p w14:paraId="0A8305ED"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B</w:t>
            </w:r>
          </w:p>
        </w:tc>
        <w:tc>
          <w:tcPr>
            <w:tcW w:w="1486" w:type="dxa"/>
            <w:tcBorders>
              <w:top w:val="nil"/>
              <w:left w:val="nil"/>
              <w:bottom w:val="nil"/>
              <w:right w:val="nil"/>
            </w:tcBorders>
            <w:vAlign w:val="center"/>
            <w:hideMark/>
          </w:tcPr>
          <w:p w14:paraId="5F870F17"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Separate</w:t>
            </w:r>
          </w:p>
        </w:tc>
        <w:tc>
          <w:tcPr>
            <w:tcW w:w="1523" w:type="dxa"/>
            <w:tcBorders>
              <w:top w:val="nil"/>
              <w:left w:val="nil"/>
              <w:bottom w:val="nil"/>
              <w:right w:val="nil"/>
            </w:tcBorders>
            <w:vAlign w:val="center"/>
            <w:hideMark/>
          </w:tcPr>
          <w:p w14:paraId="5B5AD5D2" w14:textId="62E35072"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JIT</w:t>
            </w:r>
            <w:r w:rsidR="00DA29D4">
              <w:rPr>
                <w:rFonts w:ascii="Arial" w:hAnsi="Arial" w:cs="Arial"/>
                <w:szCs w:val="20"/>
              </w:rPr>
              <w:t xml:space="preserve"> </w:t>
            </w:r>
            <w:r w:rsidRPr="00185454">
              <w:rPr>
                <w:rFonts w:ascii="Arial" w:hAnsi="Arial" w:cs="Arial"/>
                <w:szCs w:val="20"/>
              </w:rPr>
              <w:t>1</w:t>
            </w:r>
            <w:r w:rsidRPr="00DA29D4">
              <w:rPr>
                <w:rFonts w:ascii="Arial" w:hAnsi="Arial" w:cs="Arial"/>
                <w:szCs w:val="20"/>
                <w:vertAlign w:val="superscript"/>
              </w:rPr>
              <w:t>th</w:t>
            </w:r>
            <w:r w:rsidRPr="00185454">
              <w:rPr>
                <w:rFonts w:ascii="Arial" w:hAnsi="Arial" w:cs="Arial"/>
                <w:szCs w:val="20"/>
              </w:rPr>
              <w:t>; 5S</w:t>
            </w:r>
            <w:r w:rsidR="00DA29D4">
              <w:rPr>
                <w:rFonts w:ascii="Arial" w:hAnsi="Arial" w:cs="Arial"/>
                <w:szCs w:val="20"/>
              </w:rPr>
              <w:t xml:space="preserve"> </w:t>
            </w:r>
            <w:r w:rsidRPr="00185454">
              <w:rPr>
                <w:rFonts w:ascii="Arial" w:hAnsi="Arial" w:cs="Arial"/>
                <w:szCs w:val="20"/>
              </w:rPr>
              <w:t>2</w:t>
            </w:r>
            <w:r w:rsidRPr="00DA29D4">
              <w:rPr>
                <w:rFonts w:ascii="Arial" w:hAnsi="Arial" w:cs="Arial"/>
                <w:szCs w:val="20"/>
                <w:vertAlign w:val="superscript"/>
              </w:rPr>
              <w:t>th</w:t>
            </w:r>
          </w:p>
        </w:tc>
        <w:tc>
          <w:tcPr>
            <w:tcW w:w="1237" w:type="dxa"/>
            <w:tcBorders>
              <w:top w:val="nil"/>
              <w:left w:val="nil"/>
              <w:bottom w:val="nil"/>
              <w:right w:val="nil"/>
            </w:tcBorders>
            <w:vAlign w:val="center"/>
            <w:hideMark/>
          </w:tcPr>
          <w:p w14:paraId="46C9CBC8"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Gradual (Step by Step)</w:t>
            </w:r>
          </w:p>
        </w:tc>
        <w:tc>
          <w:tcPr>
            <w:tcW w:w="3733" w:type="dxa"/>
            <w:tcBorders>
              <w:top w:val="nil"/>
              <w:left w:val="nil"/>
              <w:bottom w:val="nil"/>
              <w:right w:val="nil"/>
            </w:tcBorders>
            <w:hideMark/>
          </w:tcPr>
          <w:p w14:paraId="469B801D"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 xml:space="preserve">LM tools adjust to the characteristics of QS. The JIT was implemented simultaneously with QS, in the first year while 5S was implemented in the second year. </w:t>
            </w:r>
          </w:p>
        </w:tc>
      </w:tr>
      <w:tr w:rsidR="00E51251" w:rsidRPr="00185454" w14:paraId="36E497AA" w14:textId="77777777" w:rsidTr="00DA29D4">
        <w:trPr>
          <w:trHeight w:val="483"/>
          <w:jc w:val="center"/>
        </w:trPr>
        <w:tc>
          <w:tcPr>
            <w:cnfStyle w:val="001000000000" w:firstRow="0" w:lastRow="0" w:firstColumn="1" w:lastColumn="0" w:oddVBand="0" w:evenVBand="0" w:oddHBand="0" w:evenHBand="0" w:firstRowFirstColumn="0" w:firstRowLastColumn="0" w:lastRowFirstColumn="0" w:lastRowLastColumn="0"/>
            <w:tcW w:w="1066" w:type="dxa"/>
            <w:tcBorders>
              <w:top w:val="nil"/>
              <w:left w:val="nil"/>
              <w:bottom w:val="nil"/>
              <w:right w:val="nil"/>
            </w:tcBorders>
            <w:shd w:val="clear" w:color="auto" w:fill="C0C0C0" w:themeFill="text1" w:themeFillTint="3F"/>
            <w:vAlign w:val="center"/>
            <w:hideMark/>
          </w:tcPr>
          <w:p w14:paraId="395595F5"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lastRenderedPageBreak/>
              <w:t>C</w:t>
            </w:r>
          </w:p>
        </w:tc>
        <w:tc>
          <w:tcPr>
            <w:tcW w:w="1486" w:type="dxa"/>
            <w:tcBorders>
              <w:top w:val="nil"/>
              <w:left w:val="nil"/>
              <w:bottom w:val="nil"/>
              <w:right w:val="nil"/>
            </w:tcBorders>
            <w:shd w:val="clear" w:color="auto" w:fill="C0C0C0" w:themeFill="text1" w:themeFillTint="3F"/>
            <w:vAlign w:val="center"/>
            <w:hideMark/>
          </w:tcPr>
          <w:p w14:paraId="23669C0A"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color w:val="auto"/>
                <w:szCs w:val="20"/>
              </w:rPr>
              <w:t>Converge</w:t>
            </w:r>
          </w:p>
        </w:tc>
        <w:tc>
          <w:tcPr>
            <w:tcW w:w="1523" w:type="dxa"/>
            <w:tcBorders>
              <w:top w:val="nil"/>
              <w:left w:val="nil"/>
              <w:bottom w:val="nil"/>
              <w:right w:val="nil"/>
            </w:tcBorders>
            <w:shd w:val="clear" w:color="auto" w:fill="C0C0C0" w:themeFill="text1" w:themeFillTint="3F"/>
            <w:vAlign w:val="center"/>
            <w:hideMark/>
          </w:tcPr>
          <w:p w14:paraId="327D02C7" w14:textId="59692D82"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JIT,</w:t>
            </w:r>
            <w:r w:rsidR="00DA29D4">
              <w:rPr>
                <w:rFonts w:ascii="Arial" w:hAnsi="Arial" w:cs="Arial"/>
                <w:szCs w:val="20"/>
              </w:rPr>
              <w:t xml:space="preserve"> </w:t>
            </w:r>
            <w:r w:rsidRPr="00185454">
              <w:rPr>
                <w:rFonts w:ascii="Arial" w:hAnsi="Arial" w:cs="Arial"/>
                <w:szCs w:val="20"/>
              </w:rPr>
              <w:t>TQM,</w:t>
            </w:r>
            <w:r w:rsidR="00DA29D4">
              <w:rPr>
                <w:rFonts w:ascii="Arial" w:hAnsi="Arial" w:cs="Arial"/>
                <w:szCs w:val="20"/>
              </w:rPr>
              <w:t xml:space="preserve"> </w:t>
            </w:r>
            <w:r w:rsidRPr="00185454">
              <w:rPr>
                <w:rFonts w:ascii="Arial" w:hAnsi="Arial" w:cs="Arial"/>
                <w:szCs w:val="20"/>
              </w:rPr>
              <w:t>TPM, 5S, Kanban</w:t>
            </w:r>
          </w:p>
        </w:tc>
        <w:tc>
          <w:tcPr>
            <w:tcW w:w="1237" w:type="dxa"/>
            <w:tcBorders>
              <w:top w:val="nil"/>
              <w:left w:val="nil"/>
              <w:bottom w:val="nil"/>
              <w:right w:val="nil"/>
            </w:tcBorders>
            <w:shd w:val="clear" w:color="auto" w:fill="C0C0C0" w:themeFill="text1" w:themeFillTint="3F"/>
            <w:vAlign w:val="center"/>
            <w:hideMark/>
          </w:tcPr>
          <w:p w14:paraId="00E0494A"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Together</w:t>
            </w:r>
          </w:p>
        </w:tc>
        <w:tc>
          <w:tcPr>
            <w:tcW w:w="3733" w:type="dxa"/>
            <w:tcBorders>
              <w:top w:val="nil"/>
              <w:left w:val="nil"/>
              <w:bottom w:val="nil"/>
              <w:right w:val="nil"/>
            </w:tcBorders>
            <w:shd w:val="clear" w:color="auto" w:fill="C0C0C0" w:themeFill="text1" w:themeFillTint="3F"/>
            <w:hideMark/>
          </w:tcPr>
          <w:p w14:paraId="376849D1"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QS (TQM) was a LM tool. All LM tools were simultaneously applied.</w:t>
            </w:r>
          </w:p>
        </w:tc>
      </w:tr>
      <w:tr w:rsidR="00E51251" w:rsidRPr="00185454" w14:paraId="15DE6489" w14:textId="77777777" w:rsidTr="00DA29D4">
        <w:trPr>
          <w:trHeight w:val="335"/>
          <w:jc w:val="center"/>
        </w:trPr>
        <w:tc>
          <w:tcPr>
            <w:cnfStyle w:val="001000000000" w:firstRow="0" w:lastRow="0" w:firstColumn="1" w:lastColumn="0" w:oddVBand="0" w:evenVBand="0" w:oddHBand="0" w:evenHBand="0" w:firstRowFirstColumn="0" w:firstRowLastColumn="0" w:lastRowFirstColumn="0" w:lastRowLastColumn="0"/>
            <w:tcW w:w="1066" w:type="dxa"/>
            <w:tcBorders>
              <w:top w:val="nil"/>
              <w:left w:val="nil"/>
              <w:bottom w:val="single" w:sz="8" w:space="0" w:color="000000" w:themeColor="text1"/>
              <w:right w:val="nil"/>
            </w:tcBorders>
            <w:vAlign w:val="center"/>
            <w:hideMark/>
          </w:tcPr>
          <w:p w14:paraId="7A9B37A9" w14:textId="77777777" w:rsidR="00E51251" w:rsidRPr="00185454" w:rsidRDefault="00E51251" w:rsidP="00AC34CE">
            <w:pPr>
              <w:pStyle w:val="IJPMETabletext"/>
              <w:spacing w:after="0" w:line="240" w:lineRule="auto"/>
              <w:ind w:hanging="2"/>
              <w:jc w:val="both"/>
              <w:rPr>
                <w:rFonts w:ascii="Arial" w:hAnsi="Arial" w:cs="Arial"/>
                <w:szCs w:val="20"/>
              </w:rPr>
            </w:pPr>
            <w:r w:rsidRPr="00185454">
              <w:rPr>
                <w:rFonts w:ascii="Arial" w:hAnsi="Arial" w:cs="Arial"/>
                <w:szCs w:val="20"/>
              </w:rPr>
              <w:t>D</w:t>
            </w:r>
          </w:p>
        </w:tc>
        <w:tc>
          <w:tcPr>
            <w:tcW w:w="1486" w:type="dxa"/>
            <w:tcBorders>
              <w:top w:val="nil"/>
              <w:left w:val="nil"/>
              <w:bottom w:val="single" w:sz="8" w:space="0" w:color="000000" w:themeColor="text1"/>
              <w:right w:val="nil"/>
            </w:tcBorders>
            <w:vAlign w:val="center"/>
            <w:hideMark/>
          </w:tcPr>
          <w:p w14:paraId="2FB3459B"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color w:val="auto"/>
                <w:szCs w:val="20"/>
              </w:rPr>
              <w:t>Converge</w:t>
            </w:r>
          </w:p>
        </w:tc>
        <w:tc>
          <w:tcPr>
            <w:tcW w:w="1523" w:type="dxa"/>
            <w:tcBorders>
              <w:top w:val="nil"/>
              <w:left w:val="nil"/>
              <w:bottom w:val="single" w:sz="8" w:space="0" w:color="000000" w:themeColor="text1"/>
              <w:right w:val="nil"/>
            </w:tcBorders>
            <w:vAlign w:val="center"/>
            <w:hideMark/>
          </w:tcPr>
          <w:p w14:paraId="0B8224DA"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TQM, 5S, JIT, Kanban</w:t>
            </w:r>
          </w:p>
        </w:tc>
        <w:tc>
          <w:tcPr>
            <w:tcW w:w="1237" w:type="dxa"/>
            <w:tcBorders>
              <w:top w:val="nil"/>
              <w:left w:val="nil"/>
              <w:bottom w:val="single" w:sz="8" w:space="0" w:color="000000" w:themeColor="text1"/>
              <w:right w:val="nil"/>
            </w:tcBorders>
            <w:vAlign w:val="center"/>
            <w:hideMark/>
          </w:tcPr>
          <w:p w14:paraId="1ACC74FF"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Together</w:t>
            </w:r>
          </w:p>
        </w:tc>
        <w:tc>
          <w:tcPr>
            <w:tcW w:w="3733" w:type="dxa"/>
            <w:tcBorders>
              <w:top w:val="nil"/>
              <w:left w:val="nil"/>
              <w:bottom w:val="single" w:sz="8" w:space="0" w:color="000000" w:themeColor="text1"/>
              <w:right w:val="nil"/>
            </w:tcBorders>
            <w:hideMark/>
          </w:tcPr>
          <w:p w14:paraId="30B11E26" w14:textId="77777777" w:rsidR="00E51251" w:rsidRPr="00185454" w:rsidRDefault="00E51251" w:rsidP="00AC34CE">
            <w:pPr>
              <w:pStyle w:val="IJPMETabletext"/>
              <w:spacing w:after="0" w:line="240" w:lineRule="auto"/>
              <w:ind w:hanging="2"/>
              <w:jc w:val="both"/>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85454">
              <w:rPr>
                <w:rFonts w:ascii="Arial" w:hAnsi="Arial" w:cs="Arial"/>
                <w:szCs w:val="20"/>
              </w:rPr>
              <w:t>QS (TQM) was LM tool, the four LM tools were implemented simultaneously.</w:t>
            </w:r>
          </w:p>
        </w:tc>
      </w:tr>
    </w:tbl>
    <w:p w14:paraId="0FC38F40" w14:textId="77777777" w:rsidR="00E51251" w:rsidRDefault="00E51251" w:rsidP="00E51251">
      <w:pPr>
        <w:ind w:left="0" w:hanging="2"/>
        <w:jc w:val="both"/>
        <w:rPr>
          <w:rFonts w:ascii="Arial" w:hAnsi="Arial" w:cs="Arial"/>
          <w:sz w:val="20"/>
          <w:szCs w:val="20"/>
        </w:rPr>
        <w:sectPr w:rsidR="00E51251" w:rsidSect="00AC34CE">
          <w:type w:val="continuous"/>
          <w:pgSz w:w="11907" w:h="16840"/>
          <w:pgMar w:top="1701" w:right="1134" w:bottom="1701" w:left="1701" w:header="680" w:footer="680" w:gutter="0"/>
          <w:cols w:space="720"/>
          <w:titlePg/>
        </w:sectPr>
      </w:pPr>
    </w:p>
    <w:p w14:paraId="5C5B358F" w14:textId="77777777" w:rsidR="00E51251" w:rsidRPr="00185454" w:rsidRDefault="00E51251" w:rsidP="00E51251">
      <w:pPr>
        <w:ind w:left="0" w:hanging="2"/>
        <w:jc w:val="both"/>
        <w:rPr>
          <w:rFonts w:ascii="Arial" w:hAnsi="Arial" w:cs="Arial"/>
          <w:sz w:val="20"/>
          <w:szCs w:val="20"/>
        </w:rPr>
      </w:pPr>
    </w:p>
    <w:p w14:paraId="32228857" w14:textId="77777777" w:rsidR="00E51251" w:rsidRPr="00185454" w:rsidRDefault="00E51251" w:rsidP="00E51251">
      <w:pPr>
        <w:spacing w:line="240" w:lineRule="auto"/>
        <w:ind w:left="-2" w:firstLineChars="0" w:firstLine="0"/>
        <w:jc w:val="both"/>
        <w:rPr>
          <w:rFonts w:ascii="Arial" w:hAnsi="Arial" w:cs="Arial"/>
          <w:sz w:val="20"/>
          <w:szCs w:val="20"/>
        </w:rPr>
      </w:pPr>
      <w:r w:rsidRPr="00185454">
        <w:rPr>
          <w:rFonts w:ascii="Arial" w:hAnsi="Arial" w:cs="Arial"/>
          <w:sz w:val="20"/>
          <w:szCs w:val="20"/>
        </w:rPr>
        <w:t>In the final stage, performance analysis was carried out based on the following indicators: a) on-time delivery (%) which shows the timeliness of delivery, b) Reject Cost (%) which refers to costs incurred due to product defects and expiration. c) Sales Growth (%) within 6 months compared to the highest achievement in 2023.</w:t>
      </w:r>
    </w:p>
    <w:p w14:paraId="71D53FD4" w14:textId="77777777" w:rsidR="00E51251" w:rsidRPr="00185454" w:rsidRDefault="00E51251" w:rsidP="00E51251">
      <w:pPr>
        <w:pStyle w:val="Heading2"/>
        <w:spacing w:before="0" w:after="120" w:line="240" w:lineRule="auto"/>
        <w:ind w:left="0" w:hanging="2"/>
        <w:jc w:val="both"/>
        <w:rPr>
          <w:rFonts w:ascii="Arial" w:hAnsi="Arial" w:cs="Arial"/>
          <w:sz w:val="20"/>
          <w:szCs w:val="20"/>
        </w:rPr>
      </w:pPr>
      <w:r w:rsidRPr="00185454">
        <w:rPr>
          <w:rFonts w:ascii="Arial" w:hAnsi="Arial" w:cs="Arial"/>
          <w:sz w:val="20"/>
          <w:szCs w:val="20"/>
        </w:rPr>
        <w:t xml:space="preserve">Statistics </w:t>
      </w:r>
    </w:p>
    <w:p w14:paraId="1CFE9A22" w14:textId="77777777" w:rsidR="00E51251" w:rsidRPr="00185454" w:rsidRDefault="00E51251" w:rsidP="00E51251">
      <w:pPr>
        <w:spacing w:line="240" w:lineRule="auto"/>
        <w:ind w:left="0" w:hanging="2"/>
        <w:jc w:val="both"/>
        <w:rPr>
          <w:rFonts w:ascii="Arial" w:hAnsi="Arial" w:cs="Arial"/>
          <w:b/>
          <w:sz w:val="20"/>
          <w:szCs w:val="20"/>
        </w:rPr>
      </w:pPr>
      <w:r w:rsidRPr="00185454">
        <w:rPr>
          <w:rFonts w:ascii="Arial" w:hAnsi="Arial" w:cs="Arial"/>
          <w:sz w:val="20"/>
          <w:szCs w:val="20"/>
        </w:rPr>
        <w:t>The application of Response Surface Methodology and Box-Behnken Design was to optimize the performance of the LM tool. Performance was measured based on achieving standards set by the company internally. Variable measurement is based on a 1-5 Likert scale. Where 1= very bad; 2= poor; 3= balanced (neutral); 4= good; and 5= very good. We involved 20 respondents who were experts in the field of LM, namely sustainable manufacturing consultants in Indonesian companies.</w:t>
      </w:r>
    </w:p>
    <w:p w14:paraId="6E6BD667" w14:textId="77777777" w:rsidR="00E51251" w:rsidRPr="00185454" w:rsidRDefault="00E51251" w:rsidP="00E51251">
      <w:pPr>
        <w:spacing w:line="240" w:lineRule="auto"/>
        <w:ind w:left="0" w:hanging="2"/>
        <w:jc w:val="both"/>
        <w:rPr>
          <w:rFonts w:ascii="Arial" w:hAnsi="Arial" w:cs="Arial"/>
          <w:sz w:val="20"/>
          <w:szCs w:val="20"/>
        </w:rPr>
      </w:pPr>
      <w:r w:rsidRPr="00185454">
        <w:rPr>
          <w:rFonts w:ascii="Arial" w:hAnsi="Arial" w:cs="Arial"/>
          <w:sz w:val="20"/>
          <w:szCs w:val="20"/>
        </w:rPr>
        <w:t>Plant A: performance optimization was measured using three (3) variable factors, namely implementation time, JIT, and 5S.</w:t>
      </w:r>
    </w:p>
    <w:p w14:paraId="3A0D1545" w14:textId="77777777" w:rsidR="00E51251" w:rsidRPr="00185454" w:rsidRDefault="00E51251" w:rsidP="00E51251">
      <w:pPr>
        <w:spacing w:line="240" w:lineRule="auto"/>
        <w:ind w:left="0" w:hanging="2"/>
        <w:jc w:val="both"/>
        <w:rPr>
          <w:rFonts w:ascii="Arial" w:hAnsi="Arial" w:cs="Arial"/>
          <w:sz w:val="20"/>
          <w:szCs w:val="20"/>
        </w:rPr>
      </w:pPr>
      <w:r w:rsidRPr="00185454">
        <w:rPr>
          <w:rFonts w:ascii="Arial" w:hAnsi="Arial" w:cs="Arial"/>
          <w:sz w:val="20"/>
          <w:szCs w:val="20"/>
        </w:rPr>
        <w:t>Plant B: performance optimization is measured using three (3) variable factors, namely implementation time, JIT, and 5S.</w:t>
      </w:r>
    </w:p>
    <w:p w14:paraId="22F5C89E" w14:textId="77777777" w:rsidR="00E51251" w:rsidRPr="00185454" w:rsidRDefault="00E51251" w:rsidP="00E51251">
      <w:pPr>
        <w:spacing w:line="240" w:lineRule="auto"/>
        <w:ind w:left="0" w:hanging="2"/>
        <w:jc w:val="both"/>
        <w:rPr>
          <w:rFonts w:ascii="Arial" w:hAnsi="Arial" w:cs="Arial"/>
          <w:sz w:val="20"/>
          <w:szCs w:val="20"/>
        </w:rPr>
      </w:pPr>
      <w:r w:rsidRPr="00185454">
        <w:rPr>
          <w:rFonts w:ascii="Arial" w:hAnsi="Arial" w:cs="Arial"/>
          <w:sz w:val="20"/>
          <w:szCs w:val="20"/>
        </w:rPr>
        <w:t>Plant C: performance optimization was measured using six (6) variable factors, namely implementation time, JIT, 5S, TQM, TPM, and Kanban.</w:t>
      </w:r>
    </w:p>
    <w:p w14:paraId="4A1E12FD" w14:textId="77777777" w:rsidR="00E51251" w:rsidRPr="00185454" w:rsidRDefault="00E51251" w:rsidP="00E51251">
      <w:pPr>
        <w:spacing w:line="240" w:lineRule="auto"/>
        <w:ind w:left="0" w:hanging="2"/>
        <w:jc w:val="both"/>
        <w:rPr>
          <w:rFonts w:ascii="Arial" w:hAnsi="Arial" w:cs="Arial"/>
          <w:sz w:val="20"/>
          <w:szCs w:val="20"/>
        </w:rPr>
      </w:pPr>
      <w:r w:rsidRPr="00185454">
        <w:rPr>
          <w:rFonts w:ascii="Arial" w:hAnsi="Arial" w:cs="Arial"/>
          <w:sz w:val="20"/>
          <w:szCs w:val="20"/>
        </w:rPr>
        <w:t>Plant D: performance optimization was measured using five (5) variable factors, namely implementation time, JIT, 5S, TQM, and Kanban.</w:t>
      </w:r>
    </w:p>
    <w:p w14:paraId="7ECB5996" w14:textId="77777777" w:rsidR="00E51251" w:rsidRPr="00185454" w:rsidRDefault="00E51251" w:rsidP="00E51251">
      <w:pPr>
        <w:spacing w:after="0" w:line="240" w:lineRule="auto"/>
        <w:ind w:left="0" w:hanging="2"/>
        <w:jc w:val="both"/>
        <w:rPr>
          <w:rFonts w:ascii="Arial" w:hAnsi="Arial" w:cs="Arial"/>
          <w:sz w:val="20"/>
          <w:szCs w:val="20"/>
        </w:rPr>
      </w:pPr>
      <w:r w:rsidRPr="00185454">
        <w:rPr>
          <w:rFonts w:ascii="Arial" w:hAnsi="Arial" w:cs="Arial"/>
          <w:sz w:val="20"/>
          <w:szCs w:val="20"/>
        </w:rPr>
        <w:t xml:space="preserve">To evaluate the performance of the four companies, Principal Component Analysis (PCA) </w:t>
      </w:r>
      <w:r w:rsidRPr="00185454">
        <w:rPr>
          <w:rFonts w:ascii="Arial" w:hAnsi="Arial" w:cs="Arial"/>
          <w:sz w:val="20"/>
          <w:szCs w:val="20"/>
        </w:rPr>
        <w:t>was conducted based on three main variables: percentage of rejects, sales growth, and on-time delivery. Company performance data was obtained from the 2021-2023 period. This PCA analysis aims to identify the principal components that contribute most to the variation in company performance and to simplify the complexity of the data into a few significant principal components.</w:t>
      </w:r>
    </w:p>
    <w:p w14:paraId="5A38BBFD" w14:textId="77777777" w:rsidR="00E51251" w:rsidRDefault="00E51251" w:rsidP="00E51251">
      <w:pPr>
        <w:spacing w:after="0" w:line="240" w:lineRule="auto"/>
        <w:ind w:left="0" w:hanging="2"/>
        <w:jc w:val="both"/>
        <w:rPr>
          <w:rFonts w:ascii="Arial" w:eastAsia="Arial" w:hAnsi="Arial" w:cs="Arial"/>
          <w:sz w:val="20"/>
          <w:szCs w:val="20"/>
        </w:rPr>
      </w:pPr>
    </w:p>
    <w:p w14:paraId="4D90B359" w14:textId="77777777" w:rsidR="00E51251" w:rsidRDefault="00E51251" w:rsidP="00E51251">
      <w:pPr>
        <w:spacing w:after="0" w:line="240" w:lineRule="auto"/>
        <w:ind w:left="0" w:hanging="2"/>
        <w:jc w:val="both"/>
        <w:rPr>
          <w:rFonts w:ascii="Arial" w:eastAsia="Arial" w:hAnsi="Arial" w:cs="Arial"/>
          <w:sz w:val="20"/>
          <w:szCs w:val="20"/>
        </w:rPr>
      </w:pPr>
    </w:p>
    <w:p w14:paraId="433D4063" w14:textId="07B16623" w:rsidR="00E51251" w:rsidRDefault="00E51251" w:rsidP="00E51251">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RESULTS AND DISCUSSION</w:t>
      </w:r>
    </w:p>
    <w:p w14:paraId="3BA811E0" w14:textId="77777777" w:rsidR="0063024C" w:rsidRDefault="0063024C" w:rsidP="00E51251">
      <w:pPr>
        <w:spacing w:after="0" w:line="240" w:lineRule="auto"/>
        <w:ind w:left="0" w:hanging="2"/>
        <w:jc w:val="both"/>
        <w:rPr>
          <w:rFonts w:ascii="Arial" w:eastAsia="Arial" w:hAnsi="Arial" w:cs="Arial"/>
          <w:b/>
          <w:color w:val="1F4E79"/>
          <w:sz w:val="20"/>
          <w:szCs w:val="20"/>
        </w:rPr>
      </w:pPr>
    </w:p>
    <w:p w14:paraId="1FDBF4C0" w14:textId="77777777" w:rsidR="00E51251" w:rsidRPr="00585CE5" w:rsidRDefault="00E51251" w:rsidP="00E51251">
      <w:pPr>
        <w:spacing w:line="240" w:lineRule="auto"/>
        <w:ind w:left="0" w:hanging="2"/>
        <w:jc w:val="both"/>
        <w:rPr>
          <w:rFonts w:ascii="Arial" w:hAnsi="Arial" w:cs="Arial"/>
          <w:b/>
          <w:sz w:val="20"/>
          <w:szCs w:val="20"/>
        </w:rPr>
      </w:pPr>
      <w:r w:rsidRPr="00585CE5">
        <w:rPr>
          <w:rFonts w:ascii="Arial" w:hAnsi="Arial" w:cs="Arial"/>
          <w:sz w:val="20"/>
          <w:szCs w:val="20"/>
        </w:rPr>
        <w:t>Based on the mapping results of previous researchers in 2010 - 2023, the role of QS (TQM) which was forced to become an LM indicator caused the crucial role of QS in the food industry to be reduced by the LM strategy. So many companies separate QS from LM. However, on the other hand, QS becomes an LM tool (if referring to the initial concept of LM formation). Fig.2 helps in mapping QS placement and research hypotheses. Referring to Figure 2a, we map the papers based on research objectives: (</w:t>
      </w:r>
      <w:proofErr w:type="spellStart"/>
      <w:r w:rsidRPr="00585CE5">
        <w:rPr>
          <w:rFonts w:ascii="Arial" w:hAnsi="Arial" w:cs="Arial"/>
          <w:sz w:val="20"/>
          <w:szCs w:val="20"/>
        </w:rPr>
        <w:t>i</w:t>
      </w:r>
      <w:proofErr w:type="spellEnd"/>
      <w:r w:rsidRPr="00585CE5">
        <w:rPr>
          <w:rFonts w:ascii="Arial" w:hAnsi="Arial" w:cs="Arial"/>
          <w:sz w:val="20"/>
          <w:szCs w:val="20"/>
        </w:rPr>
        <w:t>) placement of QS in LM implementation (ii) how to implement LM.</w:t>
      </w:r>
    </w:p>
    <w:p w14:paraId="54493AF9" w14:textId="77777777" w:rsidR="00E51251" w:rsidRPr="00585CE5" w:rsidRDefault="00E51251" w:rsidP="00E51251">
      <w:pPr>
        <w:spacing w:line="240" w:lineRule="auto"/>
        <w:ind w:left="0" w:hanging="2"/>
        <w:jc w:val="both"/>
        <w:rPr>
          <w:rFonts w:ascii="Arial" w:hAnsi="Arial" w:cs="Arial"/>
          <w:b/>
          <w:sz w:val="20"/>
          <w:szCs w:val="20"/>
        </w:rPr>
      </w:pPr>
      <w:r w:rsidRPr="00585CE5">
        <w:rPr>
          <w:rFonts w:ascii="Arial" w:hAnsi="Arial" w:cs="Arial"/>
          <w:sz w:val="20"/>
          <w:szCs w:val="20"/>
        </w:rPr>
        <w:t>Fig. 2b provides an understanding of the LM evolution process. LM development was dominated by non-processing companies such as: textiles, electronics, automotive, furniture, etc. Developments in processing industries such as food, pharmaceuticals and chemicals had not seen their dominance. LM continues to develop in terms of paradigm, philosophy and implementation to gain efficiency and productivity. LM was a derivative of sustainable manufacturing so its evolution must follow developments. In 2018 until now, LM has been collaborated with the nature of Agile manufacturing to gain agility in responding to customer desires.</w:t>
      </w:r>
    </w:p>
    <w:p w14:paraId="18683867" w14:textId="77777777" w:rsidR="00E51251" w:rsidRDefault="00E51251" w:rsidP="00E51251">
      <w:pPr>
        <w:spacing w:before="100" w:beforeAutospacing="1" w:after="100" w:afterAutospacing="1"/>
        <w:ind w:left="0" w:hanging="2"/>
        <w:jc w:val="both"/>
        <w:rPr>
          <w:rFonts w:ascii="Arial" w:hAnsi="Arial" w:cs="Arial"/>
          <w:b/>
          <w:sz w:val="20"/>
          <w:szCs w:val="20"/>
        </w:rPr>
        <w:sectPr w:rsidR="00E51251">
          <w:type w:val="continuous"/>
          <w:pgSz w:w="11907" w:h="16840"/>
          <w:pgMar w:top="1701" w:right="1134" w:bottom="1701" w:left="1701" w:header="680" w:footer="680" w:gutter="0"/>
          <w:cols w:num="2" w:space="720" w:equalWidth="0">
            <w:col w:w="4394" w:space="284"/>
            <w:col w:w="4394" w:space="0"/>
          </w:cols>
          <w:titlePg/>
        </w:sectPr>
      </w:pPr>
    </w:p>
    <w:tbl>
      <w:tblPr>
        <w:tblStyle w:val="TableGrid"/>
        <w:tblW w:w="0" w:type="auto"/>
        <w:tblLook w:val="04A0" w:firstRow="1" w:lastRow="0" w:firstColumn="1" w:lastColumn="0" w:noHBand="0" w:noVBand="1"/>
      </w:tblPr>
      <w:tblGrid>
        <w:gridCol w:w="4746"/>
        <w:gridCol w:w="4264"/>
      </w:tblGrid>
      <w:tr w:rsidR="00E51251" w:rsidRPr="00585CE5" w14:paraId="56757E9D" w14:textId="77777777" w:rsidTr="00AC34CE">
        <w:tc>
          <w:tcPr>
            <w:tcW w:w="4746" w:type="dxa"/>
            <w:tcBorders>
              <w:top w:val="single" w:sz="4" w:space="0" w:color="auto"/>
              <w:left w:val="single" w:sz="4" w:space="0" w:color="auto"/>
              <w:bottom w:val="single" w:sz="4" w:space="0" w:color="auto"/>
              <w:right w:val="single" w:sz="4" w:space="0" w:color="auto"/>
            </w:tcBorders>
            <w:hideMark/>
          </w:tcPr>
          <w:p w14:paraId="71488801" w14:textId="77777777" w:rsidR="00E51251" w:rsidRPr="00585CE5" w:rsidRDefault="00E51251" w:rsidP="00AC34CE">
            <w:pPr>
              <w:spacing w:before="100" w:beforeAutospacing="1" w:after="100" w:afterAutospacing="1"/>
              <w:ind w:left="0" w:hanging="2"/>
              <w:jc w:val="center"/>
              <w:rPr>
                <w:rFonts w:ascii="Arial" w:hAnsi="Arial" w:cs="Arial"/>
                <w:sz w:val="20"/>
                <w:szCs w:val="20"/>
              </w:rPr>
            </w:pPr>
            <w:r w:rsidRPr="00585CE5">
              <w:rPr>
                <w:rFonts w:ascii="Arial" w:hAnsi="Arial" w:cs="Arial"/>
                <w:noProof/>
                <w:sz w:val="20"/>
                <w:szCs w:val="20"/>
              </w:rPr>
              <w:lastRenderedPageBreak/>
              <w:drawing>
                <wp:inline distT="0" distB="0" distL="0" distR="0" wp14:anchorId="22187689" wp14:editId="1F8827DC">
                  <wp:extent cx="2822483" cy="1929226"/>
                  <wp:effectExtent l="0" t="0" r="0" b="0"/>
                  <wp:docPr id="9" name="Picture 9" descr="C:\Users\HP\AppData\Local\Packages\Microsoft.Windows.Photos_8wekyb3d8bbwe\TempState\ShareServiceTempFolder\network LM_1-m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Packages\Microsoft.Windows.Photos_8wekyb3d8bbwe\TempState\ShareServiceTempFolder\network LM_1-min.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4250" cy="1930434"/>
                          </a:xfrm>
                          <a:prstGeom prst="rect">
                            <a:avLst/>
                          </a:prstGeom>
                          <a:noFill/>
                          <a:ln>
                            <a:noFill/>
                          </a:ln>
                        </pic:spPr>
                      </pic:pic>
                    </a:graphicData>
                  </a:graphic>
                </wp:inline>
              </w:drawing>
            </w:r>
            <w:r w:rsidRPr="00585CE5">
              <w:rPr>
                <w:rFonts w:ascii="Arial" w:hAnsi="Arial" w:cs="Arial"/>
                <w:b/>
                <w:sz w:val="20"/>
                <w:szCs w:val="20"/>
              </w:rPr>
              <w:t>a</w:t>
            </w:r>
          </w:p>
        </w:tc>
        <w:tc>
          <w:tcPr>
            <w:tcW w:w="4258" w:type="dxa"/>
            <w:tcBorders>
              <w:top w:val="single" w:sz="4" w:space="0" w:color="auto"/>
              <w:left w:val="single" w:sz="4" w:space="0" w:color="auto"/>
              <w:bottom w:val="single" w:sz="4" w:space="0" w:color="auto"/>
              <w:right w:val="single" w:sz="4" w:space="0" w:color="auto"/>
            </w:tcBorders>
            <w:hideMark/>
          </w:tcPr>
          <w:p w14:paraId="06967E3C" w14:textId="77777777" w:rsidR="00E51251" w:rsidRPr="00585CE5" w:rsidRDefault="00E51251" w:rsidP="00AC34CE">
            <w:pPr>
              <w:spacing w:before="100" w:beforeAutospacing="1" w:after="100" w:afterAutospacing="1"/>
              <w:ind w:left="0" w:hanging="2"/>
              <w:jc w:val="center"/>
              <w:rPr>
                <w:rFonts w:ascii="Arial" w:hAnsi="Arial" w:cs="Arial"/>
                <w:sz w:val="20"/>
                <w:szCs w:val="20"/>
              </w:rPr>
            </w:pPr>
            <w:r w:rsidRPr="00585CE5">
              <w:rPr>
                <w:rFonts w:ascii="Arial" w:hAnsi="Arial" w:cs="Arial"/>
                <w:noProof/>
                <w:sz w:val="20"/>
                <w:szCs w:val="20"/>
              </w:rPr>
              <w:drawing>
                <wp:inline distT="0" distB="0" distL="0" distR="0" wp14:anchorId="456DDE57" wp14:editId="22F78B05">
                  <wp:extent cx="2568775" cy="1929226"/>
                  <wp:effectExtent l="0" t="0" r="3175" b="0"/>
                  <wp:docPr id="18" name="Picture 18" descr="C:\Users\HP\AppData\Local\Packages\Microsoft.Windows.Photos_8wekyb3d8bbwe\TempState\ShareServiceTempFolder\overlay LM-m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Packages\Microsoft.Windows.Photos_8wekyb3d8bbwe\TempState\ShareServiceTempFolder\overlay LM-min.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0651" cy="1930635"/>
                          </a:xfrm>
                          <a:prstGeom prst="rect">
                            <a:avLst/>
                          </a:prstGeom>
                          <a:noFill/>
                          <a:ln>
                            <a:noFill/>
                          </a:ln>
                        </pic:spPr>
                      </pic:pic>
                    </a:graphicData>
                  </a:graphic>
                </wp:inline>
              </w:drawing>
            </w:r>
            <w:r w:rsidRPr="00585CE5">
              <w:rPr>
                <w:rFonts w:ascii="Arial" w:hAnsi="Arial" w:cs="Arial"/>
                <w:b/>
                <w:sz w:val="20"/>
                <w:szCs w:val="20"/>
              </w:rPr>
              <w:t>b</w:t>
            </w:r>
          </w:p>
        </w:tc>
      </w:tr>
    </w:tbl>
    <w:p w14:paraId="74873D6D" w14:textId="77777777" w:rsidR="00E51251" w:rsidRPr="00585CE5" w:rsidRDefault="00E51251" w:rsidP="00E51251">
      <w:pPr>
        <w:pStyle w:val="IJPMETableFigureCaption"/>
        <w:spacing w:after="0"/>
        <w:jc w:val="both"/>
        <w:rPr>
          <w:rFonts w:ascii="Arial" w:eastAsia="Garamond" w:hAnsi="Arial" w:cs="Arial"/>
          <w:sz w:val="20"/>
        </w:rPr>
      </w:pPr>
      <w:r w:rsidRPr="00585CE5">
        <w:rPr>
          <w:rFonts w:ascii="Arial" w:eastAsia="Garamond" w:hAnsi="Arial" w:cs="Arial"/>
          <w:b/>
          <w:sz w:val="20"/>
        </w:rPr>
        <w:t>Figure. 2</w:t>
      </w:r>
      <w:r w:rsidRPr="00585CE5">
        <w:rPr>
          <w:rFonts w:ascii="Arial" w:eastAsia="Garamond" w:hAnsi="Arial" w:cs="Arial"/>
          <w:sz w:val="20"/>
        </w:rPr>
        <w:t xml:space="preserve">. Mapping of previous research for the period 2010-2023 using </w:t>
      </w:r>
      <w:proofErr w:type="spellStart"/>
      <w:r w:rsidRPr="00585CE5">
        <w:rPr>
          <w:rFonts w:ascii="Arial" w:eastAsia="Garamond" w:hAnsi="Arial" w:cs="Arial"/>
          <w:sz w:val="20"/>
        </w:rPr>
        <w:t>VosViewer</w:t>
      </w:r>
      <w:proofErr w:type="spellEnd"/>
      <w:r w:rsidRPr="00585CE5">
        <w:rPr>
          <w:rFonts w:ascii="Arial" w:eastAsia="Garamond" w:hAnsi="Arial" w:cs="Arial"/>
          <w:sz w:val="20"/>
        </w:rPr>
        <w:t>. Mapping of research based on correlation between variables (</w:t>
      </w:r>
      <w:r w:rsidRPr="00585CE5">
        <w:rPr>
          <w:rFonts w:ascii="Arial" w:eastAsia="Garamond" w:hAnsi="Arial" w:cs="Arial"/>
          <w:b/>
          <w:sz w:val="20"/>
        </w:rPr>
        <w:t>a</w:t>
      </w:r>
      <w:r w:rsidRPr="00585CE5">
        <w:rPr>
          <w:rFonts w:ascii="Arial" w:eastAsia="Garamond" w:hAnsi="Arial" w:cs="Arial"/>
          <w:sz w:val="20"/>
        </w:rPr>
        <w:t>). Mapping based on LM development from the period 2010-2023 (</w:t>
      </w:r>
      <w:r w:rsidRPr="00585CE5">
        <w:rPr>
          <w:rFonts w:ascii="Arial" w:eastAsia="Garamond" w:hAnsi="Arial" w:cs="Arial"/>
          <w:b/>
          <w:sz w:val="20"/>
        </w:rPr>
        <w:t>b</w:t>
      </w:r>
      <w:r w:rsidRPr="00585CE5">
        <w:rPr>
          <w:rFonts w:ascii="Arial" w:eastAsia="Garamond" w:hAnsi="Arial" w:cs="Arial"/>
          <w:sz w:val="20"/>
        </w:rPr>
        <w:t xml:space="preserve">). </w:t>
      </w:r>
    </w:p>
    <w:p w14:paraId="034C6A20" w14:textId="77777777" w:rsidR="00E51251" w:rsidRDefault="00E51251" w:rsidP="00E51251">
      <w:pPr>
        <w:ind w:left="0" w:hanging="2"/>
        <w:jc w:val="both"/>
        <w:rPr>
          <w:rFonts w:ascii="Arial" w:hAnsi="Arial" w:cs="Arial"/>
          <w:sz w:val="20"/>
          <w:szCs w:val="20"/>
        </w:rPr>
        <w:sectPr w:rsidR="00E51251" w:rsidSect="00AC34CE">
          <w:type w:val="continuous"/>
          <w:pgSz w:w="11907" w:h="16840"/>
          <w:pgMar w:top="1701" w:right="1134" w:bottom="1701" w:left="1701" w:header="680" w:footer="680" w:gutter="0"/>
          <w:cols w:space="720"/>
          <w:titlePg/>
        </w:sectPr>
      </w:pPr>
    </w:p>
    <w:p w14:paraId="258FF3EA" w14:textId="77777777" w:rsidR="00E51251" w:rsidRPr="00585CE5" w:rsidRDefault="00E51251" w:rsidP="00E51251">
      <w:pPr>
        <w:ind w:left="0" w:hanging="2"/>
        <w:jc w:val="both"/>
        <w:rPr>
          <w:rFonts w:ascii="Arial" w:hAnsi="Arial" w:cs="Arial"/>
          <w:sz w:val="20"/>
          <w:szCs w:val="20"/>
        </w:rPr>
      </w:pPr>
    </w:p>
    <w:p w14:paraId="1E8D2AE2" w14:textId="77777777" w:rsidR="00E51251" w:rsidRPr="00585CE5" w:rsidRDefault="00E51251" w:rsidP="00E51251">
      <w:pPr>
        <w:ind w:left="0" w:hanging="2"/>
        <w:jc w:val="both"/>
        <w:rPr>
          <w:rFonts w:ascii="Arial" w:hAnsi="Arial" w:cs="Arial"/>
          <w:sz w:val="20"/>
          <w:szCs w:val="20"/>
        </w:rPr>
      </w:pPr>
      <w:r w:rsidRPr="00585CE5">
        <w:rPr>
          <w:rFonts w:ascii="Arial" w:hAnsi="Arial" w:cs="Arial"/>
          <w:sz w:val="20"/>
          <w:szCs w:val="20"/>
        </w:rPr>
        <w:t xml:space="preserve">The placement of QS separately from LM turned out to be higher (41%) compared to the placement of QS as an indicator of LM (30%). Implementing </w:t>
      </w:r>
      <w:r w:rsidRPr="00585CE5">
        <w:rPr>
          <w:rFonts w:ascii="Arial" w:hAnsi="Arial" w:cs="Arial"/>
          <w:sz w:val="20"/>
          <w:szCs w:val="20"/>
        </w:rPr>
        <w:t>LM gradually (step by step) also showed greater results (39%) than simultaneous implementation (0.16% + 2% = 18%). We show the complete results in table 3</w:t>
      </w:r>
    </w:p>
    <w:p w14:paraId="28B2E689" w14:textId="77777777" w:rsidR="00E51251" w:rsidRDefault="00E51251" w:rsidP="00E51251">
      <w:pPr>
        <w:pStyle w:val="IJPMETableFigureCaption"/>
        <w:jc w:val="both"/>
        <w:rPr>
          <w:rFonts w:ascii="Arial" w:eastAsia="Garamond" w:hAnsi="Arial" w:cs="Arial"/>
          <w:b/>
          <w:sz w:val="20"/>
        </w:rPr>
        <w:sectPr w:rsidR="00E51251">
          <w:type w:val="continuous"/>
          <w:pgSz w:w="11907" w:h="16840"/>
          <w:pgMar w:top="1701" w:right="1134" w:bottom="1701" w:left="1701" w:header="680" w:footer="680" w:gutter="0"/>
          <w:cols w:num="2" w:space="720" w:equalWidth="0">
            <w:col w:w="4394" w:space="284"/>
            <w:col w:w="4394" w:space="0"/>
          </w:cols>
          <w:titlePg/>
        </w:sectPr>
      </w:pPr>
    </w:p>
    <w:p w14:paraId="7242E5B7" w14:textId="77777777" w:rsidR="00E51251" w:rsidRDefault="00E51251" w:rsidP="00E51251">
      <w:pPr>
        <w:pStyle w:val="IJPMETableFigureCaption"/>
        <w:jc w:val="both"/>
        <w:rPr>
          <w:rFonts w:ascii="Arial" w:eastAsia="Garamond" w:hAnsi="Arial" w:cs="Arial"/>
          <w:b/>
          <w:sz w:val="20"/>
        </w:rPr>
      </w:pPr>
    </w:p>
    <w:p w14:paraId="0B73966B" w14:textId="77777777" w:rsidR="00E51251" w:rsidRPr="00585CE5" w:rsidRDefault="00E51251" w:rsidP="00E51251">
      <w:pPr>
        <w:pStyle w:val="IJPMETableFigureCaption"/>
        <w:rPr>
          <w:rFonts w:ascii="Arial" w:eastAsia="Garamond" w:hAnsi="Arial" w:cs="Arial"/>
          <w:sz w:val="20"/>
        </w:rPr>
      </w:pPr>
      <w:r w:rsidRPr="00585CE5">
        <w:rPr>
          <w:rFonts w:ascii="Arial" w:eastAsia="Garamond" w:hAnsi="Arial" w:cs="Arial"/>
          <w:b/>
          <w:sz w:val="20"/>
        </w:rPr>
        <w:t>Table 3</w:t>
      </w:r>
      <w:r w:rsidRPr="00585CE5">
        <w:rPr>
          <w:rFonts w:ascii="Arial" w:eastAsia="Garamond" w:hAnsi="Arial" w:cs="Arial"/>
          <w:sz w:val="20"/>
        </w:rPr>
        <w:t>. The research mapping of the application of LM in the food industry for the period 2010- 2023</w:t>
      </w:r>
    </w:p>
    <w:tbl>
      <w:tblPr>
        <w:tblW w:w="8401" w:type="dxa"/>
        <w:tblLook w:val="04A0" w:firstRow="1" w:lastRow="0" w:firstColumn="1" w:lastColumn="0" w:noHBand="0" w:noVBand="1"/>
      </w:tblPr>
      <w:tblGrid>
        <w:gridCol w:w="1286"/>
        <w:gridCol w:w="4054"/>
        <w:gridCol w:w="1922"/>
        <w:gridCol w:w="1139"/>
      </w:tblGrid>
      <w:tr w:rsidR="00E51251" w:rsidRPr="00650B28" w14:paraId="773638FF" w14:textId="77777777" w:rsidTr="00AC34CE">
        <w:trPr>
          <w:trHeight w:val="207"/>
        </w:trPr>
        <w:tc>
          <w:tcPr>
            <w:tcW w:w="1286" w:type="dxa"/>
            <w:vMerge w:val="restart"/>
            <w:tcBorders>
              <w:top w:val="single" w:sz="4" w:space="0" w:color="auto"/>
            </w:tcBorders>
            <w:noWrap/>
            <w:hideMark/>
          </w:tcPr>
          <w:p w14:paraId="6C5E40F0"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Number</w:t>
            </w:r>
          </w:p>
        </w:tc>
        <w:tc>
          <w:tcPr>
            <w:tcW w:w="4054" w:type="dxa"/>
            <w:vMerge w:val="restart"/>
            <w:tcBorders>
              <w:top w:val="single" w:sz="4" w:space="0" w:color="auto"/>
            </w:tcBorders>
            <w:noWrap/>
            <w:hideMark/>
          </w:tcPr>
          <w:p w14:paraId="76EE2E9F"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Description</w:t>
            </w:r>
          </w:p>
        </w:tc>
        <w:tc>
          <w:tcPr>
            <w:tcW w:w="3061" w:type="dxa"/>
            <w:gridSpan w:val="2"/>
            <w:tcBorders>
              <w:top w:val="single" w:sz="4" w:space="0" w:color="auto"/>
            </w:tcBorders>
            <w:noWrap/>
            <w:hideMark/>
          </w:tcPr>
          <w:p w14:paraId="2A7F7848"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Quantity</w:t>
            </w:r>
          </w:p>
        </w:tc>
      </w:tr>
      <w:tr w:rsidR="00E51251" w:rsidRPr="00650B28" w14:paraId="39DA3A10" w14:textId="77777777" w:rsidTr="00AC34CE">
        <w:trPr>
          <w:trHeight w:val="207"/>
        </w:trPr>
        <w:tc>
          <w:tcPr>
            <w:tcW w:w="0" w:type="auto"/>
            <w:vMerge/>
            <w:tcBorders>
              <w:bottom w:val="single" w:sz="4" w:space="0" w:color="auto"/>
            </w:tcBorders>
            <w:hideMark/>
          </w:tcPr>
          <w:p w14:paraId="76357C7B" w14:textId="77777777" w:rsidR="00E51251" w:rsidRPr="00650B28" w:rsidRDefault="00E51251" w:rsidP="00AC34CE">
            <w:pPr>
              <w:pStyle w:val="IJPMETabletext"/>
              <w:spacing w:after="0" w:line="240" w:lineRule="auto"/>
              <w:ind w:hanging="2"/>
              <w:jc w:val="both"/>
              <w:rPr>
                <w:rFonts w:ascii="Arial" w:hAnsi="Arial" w:cs="Arial"/>
              </w:rPr>
            </w:pPr>
          </w:p>
        </w:tc>
        <w:tc>
          <w:tcPr>
            <w:tcW w:w="0" w:type="auto"/>
            <w:vMerge/>
            <w:tcBorders>
              <w:bottom w:val="single" w:sz="4" w:space="0" w:color="auto"/>
            </w:tcBorders>
            <w:hideMark/>
          </w:tcPr>
          <w:p w14:paraId="7CF55F9C" w14:textId="77777777" w:rsidR="00E51251" w:rsidRPr="00650B28" w:rsidRDefault="00E51251" w:rsidP="00AC34CE">
            <w:pPr>
              <w:pStyle w:val="IJPMETabletext"/>
              <w:spacing w:after="0" w:line="240" w:lineRule="auto"/>
              <w:ind w:hanging="2"/>
              <w:jc w:val="both"/>
              <w:rPr>
                <w:rFonts w:ascii="Arial" w:hAnsi="Arial" w:cs="Arial"/>
              </w:rPr>
            </w:pPr>
          </w:p>
        </w:tc>
        <w:tc>
          <w:tcPr>
            <w:tcW w:w="1922" w:type="dxa"/>
            <w:tcBorders>
              <w:bottom w:val="single" w:sz="4" w:space="0" w:color="auto"/>
            </w:tcBorders>
            <w:noWrap/>
            <w:hideMark/>
          </w:tcPr>
          <w:p w14:paraId="6C61D749"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paper</w:t>
            </w:r>
          </w:p>
        </w:tc>
        <w:tc>
          <w:tcPr>
            <w:tcW w:w="1138" w:type="dxa"/>
            <w:tcBorders>
              <w:bottom w:val="single" w:sz="4" w:space="0" w:color="auto"/>
            </w:tcBorders>
            <w:noWrap/>
            <w:hideMark/>
          </w:tcPr>
          <w:p w14:paraId="008CEFDA"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w:t>
            </w:r>
          </w:p>
        </w:tc>
      </w:tr>
      <w:tr w:rsidR="00E51251" w:rsidRPr="00650B28" w14:paraId="3D178CCA" w14:textId="77777777" w:rsidTr="00AC34CE">
        <w:trPr>
          <w:trHeight w:val="173"/>
        </w:trPr>
        <w:tc>
          <w:tcPr>
            <w:tcW w:w="1286" w:type="dxa"/>
            <w:vMerge w:val="restart"/>
            <w:tcBorders>
              <w:top w:val="single" w:sz="4" w:space="0" w:color="auto"/>
            </w:tcBorders>
            <w:noWrap/>
            <w:vAlign w:val="center"/>
            <w:hideMark/>
          </w:tcPr>
          <w:p w14:paraId="03F256AD"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1</w:t>
            </w:r>
          </w:p>
        </w:tc>
        <w:tc>
          <w:tcPr>
            <w:tcW w:w="4054" w:type="dxa"/>
            <w:tcBorders>
              <w:top w:val="single" w:sz="4" w:space="0" w:color="auto"/>
            </w:tcBorders>
            <w:noWrap/>
            <w:hideMark/>
          </w:tcPr>
          <w:p w14:paraId="02F3E825"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 xml:space="preserve">Number of papers </w:t>
            </w:r>
          </w:p>
        </w:tc>
        <w:tc>
          <w:tcPr>
            <w:tcW w:w="1922" w:type="dxa"/>
            <w:tcBorders>
              <w:top w:val="single" w:sz="4" w:space="0" w:color="auto"/>
            </w:tcBorders>
            <w:noWrap/>
            <w:hideMark/>
          </w:tcPr>
          <w:p w14:paraId="621D76E1"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1000</w:t>
            </w:r>
          </w:p>
        </w:tc>
        <w:tc>
          <w:tcPr>
            <w:tcW w:w="1138" w:type="dxa"/>
            <w:tcBorders>
              <w:top w:val="single" w:sz="4" w:space="0" w:color="auto"/>
            </w:tcBorders>
            <w:noWrap/>
            <w:hideMark/>
          </w:tcPr>
          <w:p w14:paraId="1F6692B9"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100%</w:t>
            </w:r>
          </w:p>
        </w:tc>
      </w:tr>
      <w:tr w:rsidR="00E51251" w:rsidRPr="00650B28" w14:paraId="2F06726B" w14:textId="77777777" w:rsidTr="00AC34CE">
        <w:trPr>
          <w:trHeight w:val="200"/>
        </w:trPr>
        <w:tc>
          <w:tcPr>
            <w:tcW w:w="0" w:type="auto"/>
            <w:vMerge/>
            <w:vAlign w:val="center"/>
            <w:hideMark/>
          </w:tcPr>
          <w:p w14:paraId="4B80E318" w14:textId="77777777" w:rsidR="00E51251" w:rsidRPr="00650B28" w:rsidRDefault="00E51251" w:rsidP="00AC34CE">
            <w:pPr>
              <w:pStyle w:val="IJPMETabletext"/>
              <w:spacing w:after="0" w:line="240" w:lineRule="auto"/>
              <w:ind w:hanging="2"/>
              <w:jc w:val="both"/>
              <w:rPr>
                <w:rFonts w:ascii="Arial" w:hAnsi="Arial" w:cs="Arial"/>
              </w:rPr>
            </w:pPr>
          </w:p>
        </w:tc>
        <w:tc>
          <w:tcPr>
            <w:tcW w:w="4054" w:type="dxa"/>
            <w:noWrap/>
            <w:hideMark/>
          </w:tcPr>
          <w:p w14:paraId="2A94F506"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 xml:space="preserve">Scopus indexed papers </w:t>
            </w:r>
          </w:p>
        </w:tc>
        <w:tc>
          <w:tcPr>
            <w:tcW w:w="1922" w:type="dxa"/>
            <w:noWrap/>
            <w:hideMark/>
          </w:tcPr>
          <w:p w14:paraId="2F88B0D6"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650</w:t>
            </w:r>
          </w:p>
        </w:tc>
        <w:tc>
          <w:tcPr>
            <w:tcW w:w="1138" w:type="dxa"/>
            <w:noWrap/>
            <w:hideMark/>
          </w:tcPr>
          <w:p w14:paraId="29F4CA6D"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65%</w:t>
            </w:r>
          </w:p>
        </w:tc>
      </w:tr>
      <w:tr w:rsidR="00E51251" w:rsidRPr="00650B28" w14:paraId="6E04662A" w14:textId="77777777" w:rsidTr="00AC34CE">
        <w:trPr>
          <w:trHeight w:val="219"/>
        </w:trPr>
        <w:tc>
          <w:tcPr>
            <w:tcW w:w="0" w:type="auto"/>
            <w:vMerge/>
            <w:vAlign w:val="center"/>
            <w:hideMark/>
          </w:tcPr>
          <w:p w14:paraId="25603CE7" w14:textId="77777777" w:rsidR="00E51251" w:rsidRPr="00650B28" w:rsidRDefault="00E51251" w:rsidP="00AC34CE">
            <w:pPr>
              <w:pStyle w:val="IJPMETabletext"/>
              <w:spacing w:after="0" w:line="240" w:lineRule="auto"/>
              <w:ind w:hanging="2"/>
              <w:jc w:val="both"/>
              <w:rPr>
                <w:rFonts w:ascii="Arial" w:hAnsi="Arial" w:cs="Arial"/>
              </w:rPr>
            </w:pPr>
          </w:p>
        </w:tc>
        <w:tc>
          <w:tcPr>
            <w:tcW w:w="4054" w:type="dxa"/>
            <w:noWrap/>
            <w:hideMark/>
          </w:tcPr>
          <w:p w14:paraId="780D2F13"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 xml:space="preserve">papers indexed by Web of Science </w:t>
            </w:r>
          </w:p>
        </w:tc>
        <w:tc>
          <w:tcPr>
            <w:tcW w:w="1922" w:type="dxa"/>
            <w:noWrap/>
            <w:hideMark/>
          </w:tcPr>
          <w:p w14:paraId="2CD3DED8"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350</w:t>
            </w:r>
          </w:p>
        </w:tc>
        <w:tc>
          <w:tcPr>
            <w:tcW w:w="1138" w:type="dxa"/>
            <w:noWrap/>
            <w:hideMark/>
          </w:tcPr>
          <w:p w14:paraId="5718D085"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35%</w:t>
            </w:r>
          </w:p>
        </w:tc>
      </w:tr>
      <w:tr w:rsidR="00E51251" w:rsidRPr="00650B28" w14:paraId="614E21BE" w14:textId="77777777" w:rsidTr="00AC34CE">
        <w:trPr>
          <w:trHeight w:val="108"/>
        </w:trPr>
        <w:tc>
          <w:tcPr>
            <w:tcW w:w="1286" w:type="dxa"/>
            <w:vMerge w:val="restart"/>
            <w:noWrap/>
            <w:vAlign w:val="center"/>
            <w:hideMark/>
          </w:tcPr>
          <w:p w14:paraId="39D05005"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2</w:t>
            </w:r>
          </w:p>
        </w:tc>
        <w:tc>
          <w:tcPr>
            <w:tcW w:w="4054" w:type="dxa"/>
            <w:noWrap/>
            <w:hideMark/>
          </w:tcPr>
          <w:p w14:paraId="079AA5EA"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QS variable was separate from LM</w:t>
            </w:r>
          </w:p>
        </w:tc>
        <w:tc>
          <w:tcPr>
            <w:tcW w:w="1922" w:type="dxa"/>
            <w:noWrap/>
            <w:hideMark/>
          </w:tcPr>
          <w:p w14:paraId="52DBAA2B"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410</w:t>
            </w:r>
          </w:p>
        </w:tc>
        <w:tc>
          <w:tcPr>
            <w:tcW w:w="1138" w:type="dxa"/>
            <w:noWrap/>
            <w:hideMark/>
          </w:tcPr>
          <w:p w14:paraId="501C1B3F"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41%</w:t>
            </w:r>
          </w:p>
        </w:tc>
      </w:tr>
      <w:tr w:rsidR="00E51251" w:rsidRPr="00650B28" w14:paraId="46B85530" w14:textId="77777777" w:rsidTr="00AC34CE">
        <w:trPr>
          <w:trHeight w:val="84"/>
        </w:trPr>
        <w:tc>
          <w:tcPr>
            <w:tcW w:w="0" w:type="auto"/>
            <w:vMerge/>
            <w:vAlign w:val="center"/>
            <w:hideMark/>
          </w:tcPr>
          <w:p w14:paraId="0D715868" w14:textId="77777777" w:rsidR="00E51251" w:rsidRPr="00650B28" w:rsidRDefault="00E51251" w:rsidP="00AC34CE">
            <w:pPr>
              <w:pStyle w:val="IJPMETabletext"/>
              <w:spacing w:after="0" w:line="240" w:lineRule="auto"/>
              <w:ind w:hanging="2"/>
              <w:jc w:val="both"/>
              <w:rPr>
                <w:rFonts w:ascii="Arial" w:hAnsi="Arial" w:cs="Arial"/>
              </w:rPr>
            </w:pPr>
          </w:p>
        </w:tc>
        <w:tc>
          <w:tcPr>
            <w:tcW w:w="4054" w:type="dxa"/>
            <w:noWrap/>
            <w:hideMark/>
          </w:tcPr>
          <w:p w14:paraId="50595437"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LM implementation (step by step)</w:t>
            </w:r>
          </w:p>
        </w:tc>
        <w:tc>
          <w:tcPr>
            <w:tcW w:w="1922" w:type="dxa"/>
            <w:noWrap/>
            <w:hideMark/>
          </w:tcPr>
          <w:p w14:paraId="0E0091EF"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390</w:t>
            </w:r>
          </w:p>
        </w:tc>
        <w:tc>
          <w:tcPr>
            <w:tcW w:w="1138" w:type="dxa"/>
            <w:noWrap/>
            <w:hideMark/>
          </w:tcPr>
          <w:p w14:paraId="46EB2A08"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39%</w:t>
            </w:r>
          </w:p>
        </w:tc>
      </w:tr>
      <w:tr w:rsidR="00E51251" w:rsidRPr="00650B28" w14:paraId="07035987" w14:textId="77777777" w:rsidTr="00AC34CE">
        <w:trPr>
          <w:trHeight w:val="84"/>
        </w:trPr>
        <w:tc>
          <w:tcPr>
            <w:tcW w:w="0" w:type="auto"/>
            <w:vMerge/>
            <w:vAlign w:val="center"/>
            <w:hideMark/>
          </w:tcPr>
          <w:p w14:paraId="28A8FBF0" w14:textId="77777777" w:rsidR="00E51251" w:rsidRPr="00650B28" w:rsidRDefault="00E51251" w:rsidP="00AC34CE">
            <w:pPr>
              <w:pStyle w:val="IJPMETabletext"/>
              <w:spacing w:after="0" w:line="240" w:lineRule="auto"/>
              <w:ind w:hanging="2"/>
              <w:jc w:val="both"/>
              <w:rPr>
                <w:rFonts w:ascii="Arial" w:hAnsi="Arial" w:cs="Arial"/>
              </w:rPr>
            </w:pPr>
          </w:p>
        </w:tc>
        <w:tc>
          <w:tcPr>
            <w:tcW w:w="4054" w:type="dxa"/>
            <w:noWrap/>
            <w:hideMark/>
          </w:tcPr>
          <w:p w14:paraId="75D5F66F"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LM implementation (simultaneously)</w:t>
            </w:r>
          </w:p>
        </w:tc>
        <w:tc>
          <w:tcPr>
            <w:tcW w:w="1922" w:type="dxa"/>
            <w:noWrap/>
            <w:hideMark/>
          </w:tcPr>
          <w:p w14:paraId="2C5BEEC5"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20</w:t>
            </w:r>
          </w:p>
        </w:tc>
        <w:tc>
          <w:tcPr>
            <w:tcW w:w="1138" w:type="dxa"/>
            <w:noWrap/>
            <w:hideMark/>
          </w:tcPr>
          <w:p w14:paraId="5DE3CB83"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2%</w:t>
            </w:r>
          </w:p>
        </w:tc>
      </w:tr>
      <w:tr w:rsidR="00E51251" w:rsidRPr="00650B28" w14:paraId="3CCC4B04" w14:textId="77777777" w:rsidTr="00AC34CE">
        <w:trPr>
          <w:trHeight w:val="95"/>
        </w:trPr>
        <w:tc>
          <w:tcPr>
            <w:tcW w:w="1286" w:type="dxa"/>
            <w:vMerge w:val="restart"/>
            <w:noWrap/>
            <w:vAlign w:val="center"/>
            <w:hideMark/>
          </w:tcPr>
          <w:p w14:paraId="268E49F7"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3</w:t>
            </w:r>
          </w:p>
        </w:tc>
        <w:tc>
          <w:tcPr>
            <w:tcW w:w="4054" w:type="dxa"/>
            <w:noWrap/>
            <w:hideMark/>
          </w:tcPr>
          <w:p w14:paraId="3BB84BDE"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 xml:space="preserve">QS variable becomes LM tool </w:t>
            </w:r>
          </w:p>
        </w:tc>
        <w:tc>
          <w:tcPr>
            <w:tcW w:w="1922" w:type="dxa"/>
            <w:noWrap/>
            <w:hideMark/>
          </w:tcPr>
          <w:p w14:paraId="284353E6"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300</w:t>
            </w:r>
          </w:p>
        </w:tc>
        <w:tc>
          <w:tcPr>
            <w:tcW w:w="1138" w:type="dxa"/>
            <w:noWrap/>
            <w:hideMark/>
          </w:tcPr>
          <w:p w14:paraId="39F666A3"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30%</w:t>
            </w:r>
          </w:p>
        </w:tc>
      </w:tr>
      <w:tr w:rsidR="00E51251" w:rsidRPr="00650B28" w14:paraId="2CFFB53F" w14:textId="77777777" w:rsidTr="00AC34CE">
        <w:trPr>
          <w:trHeight w:val="108"/>
        </w:trPr>
        <w:tc>
          <w:tcPr>
            <w:tcW w:w="0" w:type="auto"/>
            <w:vMerge/>
            <w:vAlign w:val="center"/>
            <w:hideMark/>
          </w:tcPr>
          <w:p w14:paraId="04669D17" w14:textId="77777777" w:rsidR="00E51251" w:rsidRPr="00650B28" w:rsidRDefault="00E51251" w:rsidP="00AC34CE">
            <w:pPr>
              <w:pStyle w:val="IJPMETabletext"/>
              <w:spacing w:after="0" w:line="240" w:lineRule="auto"/>
              <w:ind w:hanging="2"/>
              <w:jc w:val="both"/>
              <w:rPr>
                <w:rFonts w:ascii="Arial" w:hAnsi="Arial" w:cs="Arial"/>
              </w:rPr>
            </w:pPr>
          </w:p>
        </w:tc>
        <w:tc>
          <w:tcPr>
            <w:tcW w:w="4054" w:type="dxa"/>
            <w:noWrap/>
            <w:hideMark/>
          </w:tcPr>
          <w:p w14:paraId="6FA53D84"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LM implementation (simultaneously)</w:t>
            </w:r>
          </w:p>
        </w:tc>
        <w:tc>
          <w:tcPr>
            <w:tcW w:w="1922" w:type="dxa"/>
            <w:noWrap/>
            <w:hideMark/>
          </w:tcPr>
          <w:p w14:paraId="3135D9B4"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158</w:t>
            </w:r>
          </w:p>
        </w:tc>
        <w:tc>
          <w:tcPr>
            <w:tcW w:w="1138" w:type="dxa"/>
            <w:noWrap/>
            <w:hideMark/>
          </w:tcPr>
          <w:p w14:paraId="79EDA5D4"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16%</w:t>
            </w:r>
          </w:p>
        </w:tc>
      </w:tr>
      <w:tr w:rsidR="00E51251" w:rsidRPr="00650B28" w14:paraId="42090FCE" w14:textId="77777777" w:rsidTr="00AC34CE">
        <w:trPr>
          <w:trHeight w:val="122"/>
        </w:trPr>
        <w:tc>
          <w:tcPr>
            <w:tcW w:w="0" w:type="auto"/>
            <w:vMerge/>
            <w:vAlign w:val="center"/>
            <w:hideMark/>
          </w:tcPr>
          <w:p w14:paraId="68D8F5D8" w14:textId="77777777" w:rsidR="00E51251" w:rsidRPr="00650B28" w:rsidRDefault="00E51251" w:rsidP="00AC34CE">
            <w:pPr>
              <w:pStyle w:val="IJPMETabletext"/>
              <w:spacing w:after="0" w:line="240" w:lineRule="auto"/>
              <w:ind w:hanging="2"/>
              <w:jc w:val="both"/>
              <w:rPr>
                <w:rFonts w:ascii="Arial" w:hAnsi="Arial" w:cs="Arial"/>
              </w:rPr>
            </w:pPr>
          </w:p>
        </w:tc>
        <w:tc>
          <w:tcPr>
            <w:tcW w:w="4054" w:type="dxa"/>
            <w:noWrap/>
            <w:hideMark/>
          </w:tcPr>
          <w:p w14:paraId="665C5601"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Does not explain the implementation</w:t>
            </w:r>
          </w:p>
        </w:tc>
        <w:tc>
          <w:tcPr>
            <w:tcW w:w="1922" w:type="dxa"/>
            <w:noWrap/>
            <w:hideMark/>
          </w:tcPr>
          <w:p w14:paraId="7F5C4BD6"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142</w:t>
            </w:r>
          </w:p>
        </w:tc>
        <w:tc>
          <w:tcPr>
            <w:tcW w:w="1138" w:type="dxa"/>
            <w:noWrap/>
            <w:hideMark/>
          </w:tcPr>
          <w:p w14:paraId="12D64B07"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14%</w:t>
            </w:r>
          </w:p>
        </w:tc>
      </w:tr>
      <w:tr w:rsidR="00E51251" w:rsidRPr="00650B28" w14:paraId="7D1EAD90" w14:textId="77777777" w:rsidTr="00AC34CE">
        <w:trPr>
          <w:trHeight w:val="103"/>
        </w:trPr>
        <w:tc>
          <w:tcPr>
            <w:tcW w:w="1286" w:type="dxa"/>
            <w:tcBorders>
              <w:bottom w:val="single" w:sz="4" w:space="0" w:color="auto"/>
            </w:tcBorders>
            <w:noWrap/>
            <w:vAlign w:val="center"/>
            <w:hideMark/>
          </w:tcPr>
          <w:p w14:paraId="70B01784"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4.</w:t>
            </w:r>
          </w:p>
        </w:tc>
        <w:tc>
          <w:tcPr>
            <w:tcW w:w="4054" w:type="dxa"/>
            <w:tcBorders>
              <w:bottom w:val="single" w:sz="4" w:space="0" w:color="auto"/>
            </w:tcBorders>
            <w:noWrap/>
            <w:hideMark/>
          </w:tcPr>
          <w:p w14:paraId="2E83204F"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 xml:space="preserve">Others </w:t>
            </w:r>
          </w:p>
        </w:tc>
        <w:tc>
          <w:tcPr>
            <w:tcW w:w="1922" w:type="dxa"/>
            <w:tcBorders>
              <w:bottom w:val="single" w:sz="4" w:space="0" w:color="auto"/>
            </w:tcBorders>
            <w:noWrap/>
            <w:hideMark/>
          </w:tcPr>
          <w:p w14:paraId="777B4C30"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290</w:t>
            </w:r>
          </w:p>
        </w:tc>
        <w:tc>
          <w:tcPr>
            <w:tcW w:w="1138" w:type="dxa"/>
            <w:tcBorders>
              <w:bottom w:val="single" w:sz="4" w:space="0" w:color="auto"/>
            </w:tcBorders>
            <w:noWrap/>
            <w:hideMark/>
          </w:tcPr>
          <w:p w14:paraId="5026D74E" w14:textId="77777777" w:rsidR="00E51251" w:rsidRPr="00650B28" w:rsidRDefault="00E51251" w:rsidP="00AC34CE">
            <w:pPr>
              <w:pStyle w:val="IJPMETabletext"/>
              <w:spacing w:after="0" w:line="240" w:lineRule="auto"/>
              <w:ind w:hanging="2"/>
              <w:jc w:val="both"/>
              <w:rPr>
                <w:rFonts w:ascii="Arial" w:hAnsi="Arial" w:cs="Arial"/>
              </w:rPr>
            </w:pPr>
            <w:r w:rsidRPr="00650B28">
              <w:rPr>
                <w:rFonts w:ascii="Arial" w:hAnsi="Arial" w:cs="Arial"/>
              </w:rPr>
              <w:t>29%</w:t>
            </w:r>
          </w:p>
        </w:tc>
      </w:tr>
    </w:tbl>
    <w:p w14:paraId="1CF5728A" w14:textId="77777777" w:rsidR="00E51251" w:rsidRPr="00DA29D4" w:rsidRDefault="00E51251" w:rsidP="00E51251">
      <w:pPr>
        <w:spacing w:after="0" w:line="240" w:lineRule="auto"/>
        <w:ind w:left="0" w:hanging="2"/>
        <w:jc w:val="both"/>
        <w:rPr>
          <w:rFonts w:ascii="Arial" w:eastAsia="Garamond" w:hAnsi="Arial" w:cs="Arial"/>
          <w:i/>
          <w:sz w:val="16"/>
          <w:szCs w:val="20"/>
        </w:rPr>
      </w:pPr>
      <w:r w:rsidRPr="00DA29D4">
        <w:rPr>
          <w:rFonts w:ascii="Arial" w:eastAsia="Garamond" w:hAnsi="Arial" w:cs="Arial"/>
          <w:i/>
          <w:sz w:val="16"/>
          <w:szCs w:val="20"/>
        </w:rPr>
        <w:t>Note: % based on total number of papers (1000 papers)</w:t>
      </w:r>
    </w:p>
    <w:p w14:paraId="0F37CA1D" w14:textId="77777777" w:rsidR="00E51251" w:rsidRDefault="00E51251" w:rsidP="00E51251">
      <w:pPr>
        <w:spacing w:after="0" w:line="240" w:lineRule="auto"/>
        <w:ind w:left="0" w:hanging="2"/>
        <w:jc w:val="both"/>
        <w:rPr>
          <w:rFonts w:ascii="Arial" w:eastAsia="Arial" w:hAnsi="Arial" w:cs="Arial"/>
          <w:color w:val="1F4E79"/>
          <w:sz w:val="20"/>
          <w:szCs w:val="20"/>
        </w:rPr>
      </w:pPr>
    </w:p>
    <w:p w14:paraId="6A5173EE" w14:textId="77777777" w:rsidR="00E51251" w:rsidRDefault="00E51251" w:rsidP="00E51251">
      <w:pPr>
        <w:spacing w:after="0" w:line="240" w:lineRule="auto"/>
        <w:ind w:left="0" w:hanging="2"/>
        <w:jc w:val="both"/>
        <w:rPr>
          <w:rFonts w:ascii="Arial" w:eastAsia="Arial" w:hAnsi="Arial" w:cs="Arial"/>
          <w:color w:val="1F4E79"/>
          <w:sz w:val="20"/>
          <w:szCs w:val="20"/>
        </w:rPr>
        <w:sectPr w:rsidR="00E51251" w:rsidSect="00AC34CE">
          <w:type w:val="continuous"/>
          <w:pgSz w:w="11907" w:h="16840"/>
          <w:pgMar w:top="1701" w:right="1134" w:bottom="1701" w:left="1701" w:header="680" w:footer="680" w:gutter="0"/>
          <w:cols w:space="284"/>
          <w:titlePg/>
        </w:sectPr>
      </w:pPr>
    </w:p>
    <w:p w14:paraId="079B9A84" w14:textId="14A766EB" w:rsidR="009945F3" w:rsidRPr="009945F3" w:rsidRDefault="009945F3" w:rsidP="00E51251">
      <w:pPr>
        <w:spacing w:line="240" w:lineRule="auto"/>
        <w:ind w:left="0" w:hanging="2"/>
        <w:jc w:val="both"/>
        <w:rPr>
          <w:rFonts w:ascii="Arial" w:hAnsi="Arial" w:cs="Arial"/>
          <w:sz w:val="18"/>
          <w:szCs w:val="20"/>
        </w:rPr>
      </w:pPr>
      <w:r w:rsidRPr="009945F3">
        <w:rPr>
          <w:rFonts w:ascii="Arial" w:hAnsi="Arial" w:cs="Arial"/>
          <w:sz w:val="20"/>
        </w:rPr>
        <w:t>This study reveals that in the food industry, QS is more frequently separated from LM (41%) rather than being used as an LM tool (30%), due to QS's crucial role in maintaining product quality and safety. A step-by-step LM approach (39%) is also proven to be more effective than simultaneous implementation (18%), avoiding confusion between QS and LM. These findings support previous studies in non-food sectors</w:t>
      </w:r>
      <w:r w:rsidR="008B2034">
        <w:rPr>
          <w:rFonts w:ascii="Arial" w:hAnsi="Arial" w:cs="Arial"/>
          <w:sz w:val="20"/>
        </w:rPr>
        <w:t xml:space="preserve"> </w:t>
      </w:r>
      <w:r w:rsidR="008B2034">
        <w:rPr>
          <w:rFonts w:ascii="Arial" w:hAnsi="Arial" w:cs="Arial"/>
          <w:sz w:val="20"/>
        </w:rPr>
        <w:fldChar w:fldCharType="begin" w:fldLock="1"/>
      </w:r>
      <w:r w:rsidR="009E3E15">
        <w:rPr>
          <w:rFonts w:ascii="Arial" w:hAnsi="Arial" w:cs="Arial"/>
          <w:sz w:val="20"/>
        </w:rPr>
        <w:instrText>ADDIN CSL_CITATION {"citationItems":[{"id":"ITEM-1","itemData":{"abstract":"… Lean manufacturing (LM) and Agile manufacturing (AM) are the prevalent concerns for the companies which consider the development in the profit and the market uptake aspects. The …","author":[{"dropping-particle":"","family":"Rabbani","given":"M","non-dropping-particle":"","parse-names":false,"suffix":""},{"dropping-particle":"","family":"Aghamohamadi-Bosjin","given":"S","non-dropping-particle":"","parse-names":false,"suffix":""},{"dropping-particle":"","family":"...","given":"","non-dropping-particle":"","parse-names":false,"suffix":""}],"container-title":"RAIRO-Operations …","id":"ITEM-1","issued":{"date-parts":[["2021"]]},"note":"Cited By (since 2021): 1","publisher":"rairo-ro.org","title":"Leagile supply chain network design through a dynamic two-phase optimization in view of order penetration point","type":"article-journal"},"uris":["http://www.mendeley.com/documents/?uuid=b0dde83b-2655-44da-ac1a-78047746442f"]},{"id":"ITEM-2","itemData":{"abstract":"… of agile manufacturing using DEMATEL: A case from an indian metal fabrication industry. Journal of Modern Manufacturing … Leagility: Integrating the lean and agile manufacturing …","author":[{"dropping-particle":"","family":"Li","given":"Y","non-dropping-particle":"","parse-names":false,"suffix":""},{"dropping-particle":"","family":"Diabat","given":"A","non-dropping-particle":"","parse-names":false,"suffix":""},{"dropping-particle":"","family":"Lu","given":"C C","non-dropping-particle":"","parse-names":false,"suffix":""}],"container-title":"Annals of Operations Research","id":"ITEM-2","issued":{"date-parts":[["2020"]]},"note":"Cited By (since 2020): 39","publisher":"Springer","title":"Leagile supplier selection in Chinese textile industries: a DEMATEL approach","type":"article-journal"},"uris":["http://www.mendeley.com/documents/?uuid=afcc3598-38a6-4fc5-83a4-0be472b2a9e2"]},{"id":"ITEM-3","itemData":{"abstract":"… to model green lean and agile manufacturing with the factors of … attributes of green lean and agile manufacturing were ranked … attributes of green lean and agile manufacturing in order to …","author":[{"dropping-particle":"","family":"Tiwari","given":"R K","non-dropping-particle":"","parse-names":false,"suffix":""},{"dropping-particle":"","family":"Tiwari","given":"J K","non-dropping-particle":"","parse-names":false,"suffix":""}],"container-title":"International Journal of Industrial and …","id":"ITEM-3","issued":{"date-parts":[["2020"]]},"note":"Cited By (since 2020): 1","publisher":"inderscienceonline.com","title":"Prioritisation of attributes of green leanness and agility to achieve sustainable strategic advantages in Indian automotive SMEs environment","type":"article-journal"},"uris":["http://www.mendeley.com/documents/?uuid=48657fcf-6fd8-485c-b709-17cf24d7e395"]},{"id":"ITEM-4","itemData":{"DOI":"10.32479/irmm.10680","abstract":"The purpose of this study is to determine the effect of lean six sigma and the quality of the product and manufacturing process. Further, its focus on understanding the impact on the defect, over production, Motion, Waiting time, through the role of Manufacturing Process on quality of products. The study applied the questionnaire, which was adapted from past literature. The questionnaire was distributed to a sample of 180 respondents, and the number of returned items was 142. The study applied a purposive sample that (employee) hold positions related to quality management, production, research and development (R&amp;D) at Jordanian food industry. The data analysis was performed using Statistical procedures being used several methods were used, including the exploratory analysis, the global empirical analysis, the Cronbach alpha analysis, Impact coefficients (beta), and the arithmetic mean, standard deviation, multiple regression, to test moderating hypothesis the Process macro analyses. Accordingly, and based on a multiple regression analysis, the alternative hypothesis is adopted, concluding that the elements of lean six sigma influence the consistency of the goods excluding the variables of motion and waiting time from the respondent’s point of view. As a consequence of the manufacturing process, the relationship between the lean six sigma variable and the quality of the product has a positive moderation effect.","author":[{"dropping-particle":"","family":"Omoush","given":"Majd Mohammad","non-dropping-particle":"","parse-names":false,"suffix":""}],"container-title":"International Review of Management and Marketing","id":"ITEM-4","issue":"6","issued":{"date-parts":[["2020"]]},"page":"1-12","title":"Lean Six Sigma Effect on the Quality of the Products in Jordanian Food Companies: the Moderating Role of the Manufacturing Process","type":"article-journal","volume":"10"},"uris":["http://www.mendeley.com/documents/?uuid=98c12458-5007-4361-aefd-429afba8935f"]}],"mendeley":{"formattedCitation":"[23], [24], [25], [26]","plainTextFormattedCitation":"[23], [24], [25], [26]","previouslyFormattedCitation":"[23], [24], [25], [26]"},"properties":{"noteIndex":0},"schema":"https://github.com/citation-style-language/schema/raw/master/csl-citation.json"}</w:instrText>
      </w:r>
      <w:r w:rsidR="008B2034">
        <w:rPr>
          <w:rFonts w:ascii="Arial" w:hAnsi="Arial" w:cs="Arial"/>
          <w:sz w:val="20"/>
        </w:rPr>
        <w:fldChar w:fldCharType="separate"/>
      </w:r>
      <w:r w:rsidR="00EC06B7" w:rsidRPr="00EC06B7">
        <w:rPr>
          <w:rFonts w:ascii="Arial" w:hAnsi="Arial" w:cs="Arial"/>
          <w:noProof/>
          <w:sz w:val="20"/>
        </w:rPr>
        <w:t>[23], [24], [25], [26]</w:t>
      </w:r>
      <w:r w:rsidR="008B2034">
        <w:rPr>
          <w:rFonts w:ascii="Arial" w:hAnsi="Arial" w:cs="Arial"/>
          <w:sz w:val="20"/>
        </w:rPr>
        <w:fldChar w:fldCharType="end"/>
      </w:r>
      <w:r w:rsidRPr="009945F3">
        <w:rPr>
          <w:rFonts w:ascii="Arial" w:hAnsi="Arial" w:cs="Arial"/>
          <w:sz w:val="20"/>
        </w:rPr>
        <w:t xml:space="preserve"> but challenge the assumption that the relationship between QS and LM can be directly applied to the food industry</w:t>
      </w:r>
      <w:r w:rsidR="009E3E15">
        <w:rPr>
          <w:rFonts w:ascii="Arial" w:hAnsi="Arial" w:cs="Arial"/>
          <w:sz w:val="20"/>
        </w:rPr>
        <w:t xml:space="preserve"> </w:t>
      </w:r>
      <w:r w:rsidR="009E3E15">
        <w:rPr>
          <w:rFonts w:ascii="Arial" w:hAnsi="Arial" w:cs="Arial"/>
          <w:sz w:val="20"/>
        </w:rPr>
        <w:fldChar w:fldCharType="begin" w:fldLock="1"/>
      </w:r>
      <w:r w:rsidR="009E3E15">
        <w:rPr>
          <w:rFonts w:ascii="Arial" w:hAnsi="Arial" w:cs="Arial"/>
          <w:sz w:val="20"/>
        </w:rPr>
        <w:instrText>ADDIN CSL_CITATION {"citationItems":[{"id":"ITEM-1","itemData":{"abstract":"Attract satisfactory business performance is the basis for the enterprise's survival and the principal reason for the existence of the firm, especially in the food industry, which faces challenges, such as advanced manufacturing philosophies, which make the existing methods obsolete, therefore, changing the traditional way of working to a world-class management system such as lean production which could help companies survive and stay competitive s. Therefore, this paper aims to examine the relationship between lean production and business performance of Malaysian companies in the food industry. To have empirical evidence about these relationships, data have been collected from (187) executive managers for (1309) Malaysian companies in the food industry. using a self-administered questionnaire. The collected data have been analyzed using both descriptive statistics and multiple regressions. Correlation analysis and multiple regressions using SPSS, version 22 have been performed to measure the relationship between variables and to test the hypotheses related to the study. The results of the paper reveal that lean production practices have a direct positive effect on business performance. The study will help practitioners to anticipate potential obstacles and take proper measures to deal with them during lean implementation.","author":[{"dropping-particle":"","family":"Yaseen","given":"Maryam Hamid","non-dropping-particle":"","parse-names":false,"suffix":""},{"dropping-particle":"","family":"Kasim","given":"Rozilah","non-dropping-particle":"","parse-names":false,"suffix":""},{"dropping-particle":"","family":"Saleem","given":"Falah","non-dropping-particle":"","parse-names":false,"suffix":""},{"dropping-particle":"","family":"Hammood","given":"Ahmed Mohammed","non-dropping-particle":"","parse-names":false,"suffix":""},{"dropping-particle":"","family":"Falih","given":"Falah Saleem","non-dropping-particle":"","parse-names":false,"suffix":""},{"dropping-particle":"","family":"Ihsan","given":"Mohammed","non-dropping-particle":"","parse-names":false,"suffix":""},{"dropping-particle":"","family":"Sabah","given":"Ahmed","non-dropping-particle":"","parse-names":false,"suffix":""}],"container-title":"Solid State Technology","id":"ITEM-1","issue":"6","issued":{"date-parts":[["2021"]]},"page":"6143-6158","title":"The Relationship of Lean Production and Business Performance in Malaysian Food Industry Facilities Provision for Persons With Disabilities View project Facilities Management Services View project The Relationship of Lean Production and Business Performanc","type":"article-journal","volume":"63"},"uris":["http://www.mendeley.com/documents/?uuid=99beeea4-d2fb-410c-be7f-ac117d69b9b8"]}],"mendeley":{"formattedCitation":"[27]","plainTextFormattedCitation":"[27]","previouslyFormattedCitation":"[27]"},"properties":{"noteIndex":0},"schema":"https://github.com/citation-style-language/schema/raw/master/csl-citation.json"}</w:instrText>
      </w:r>
      <w:r w:rsidR="009E3E15">
        <w:rPr>
          <w:rFonts w:ascii="Arial" w:hAnsi="Arial" w:cs="Arial"/>
          <w:sz w:val="20"/>
        </w:rPr>
        <w:fldChar w:fldCharType="separate"/>
      </w:r>
      <w:r w:rsidR="009E3E15" w:rsidRPr="009E3E15">
        <w:rPr>
          <w:rFonts w:ascii="Arial" w:hAnsi="Arial" w:cs="Arial"/>
          <w:noProof/>
          <w:sz w:val="20"/>
        </w:rPr>
        <w:t>[27]</w:t>
      </w:r>
      <w:r w:rsidR="009E3E15">
        <w:rPr>
          <w:rFonts w:ascii="Arial" w:hAnsi="Arial" w:cs="Arial"/>
          <w:sz w:val="20"/>
        </w:rPr>
        <w:fldChar w:fldCharType="end"/>
      </w:r>
      <w:r w:rsidRPr="009945F3">
        <w:rPr>
          <w:rFonts w:ascii="Arial" w:hAnsi="Arial" w:cs="Arial"/>
          <w:sz w:val="20"/>
        </w:rPr>
        <w:t xml:space="preserve">. This research provides significant contributions to understanding </w:t>
      </w:r>
      <w:r w:rsidRPr="009945F3">
        <w:rPr>
          <w:rFonts w:ascii="Arial" w:hAnsi="Arial" w:cs="Arial"/>
          <w:sz w:val="20"/>
        </w:rPr>
        <w:t>a more contextual integration strategy for QS and LM in the food sector.</w:t>
      </w:r>
    </w:p>
    <w:p w14:paraId="51D9508B" w14:textId="2A4886B4" w:rsidR="00E51251" w:rsidRDefault="00E51251" w:rsidP="00E51251">
      <w:pPr>
        <w:spacing w:line="240" w:lineRule="auto"/>
        <w:ind w:left="0" w:hanging="2"/>
        <w:jc w:val="both"/>
        <w:rPr>
          <w:rFonts w:ascii="Arial" w:hAnsi="Arial" w:cs="Arial"/>
          <w:sz w:val="20"/>
          <w:szCs w:val="20"/>
        </w:rPr>
      </w:pPr>
      <w:r w:rsidRPr="00650B28">
        <w:rPr>
          <w:rFonts w:ascii="Arial" w:hAnsi="Arial" w:cs="Arial"/>
          <w:sz w:val="20"/>
          <w:szCs w:val="20"/>
        </w:rPr>
        <w:t xml:space="preserve">The placement of QS into an LM tool and the relationship between the two have been researched previously. Collaboration in manufacturing fields such as automotive, electronics, textiles, furniture, etc. provides strong evidence that these two concepts support each other and can be used simultaneously </w:t>
      </w:r>
      <w:r w:rsidRPr="00650B28">
        <w:rPr>
          <w:rFonts w:ascii="Arial" w:hAnsi="Arial" w:cs="Arial"/>
          <w:sz w:val="20"/>
          <w:szCs w:val="20"/>
        </w:rPr>
        <w:fldChar w:fldCharType="begin" w:fldLock="1"/>
      </w:r>
      <w:r w:rsidR="009E3E15">
        <w:rPr>
          <w:rFonts w:ascii="Arial" w:hAnsi="Arial" w:cs="Arial"/>
          <w:sz w:val="20"/>
          <w:szCs w:val="20"/>
        </w:rPr>
        <w:instrText>ADDIN CSL_CITATION {"citationItems":[{"id":"ITEM-1","itemData":{"DOI":"10.2478/orga-2014-0013","ISSN":"1581-1832","abstract":" Background and Purpose: The objective of this paper was to evaluate effects of implementing lean manufacturing in a Serbian confectionery production company during a period of 24 months, emphasizing observed benefits and constrains. Company ‘case study’ is a leading confectionery producer in Serbia with annual production of more than 25,000 t.  Methodology/Approach: The research method was case study. The approach in implementing lean manufacturing was structured in five phases, as follows: (i) training, (ii) analysis of lean wastes on one technological line, (iii) choice of lean tools to be implemented in the factory, (iv) implementation of lean tools in production and maintenance, (v) development of continual improvement sector and further deployment of lean tools.  Results: Lean manufacturing tools implemented in the production process were visual control and single minute exchange of dies (SMED). Maintenance process implemented 5S with total productive maintenance (TPM) and problem solving sessions being the tools implemented in both processes. During the observed period, results of these tools showed the following: visual control tables initiated 61 improvement memos out of which 39% were fully implemented; a total of 2284 minor problems had been recorded, with over 95% of issues revealed in due time; total SMED time decreased for 7.6%; 19 problem solving sessions were initiated with 58% of solving effectiveness, and the remaining converted to on-going projects. In maintenance 5S improved from 29.9 to 60.3; overall equipment effectiveness (OEE) indicator increased from 87.9% to 92.3%; mean time between failure (MTBF) increased for 16.4%. Conclusion: As a result of all activities, 20 in-house trainings and 2 ‘kaizen’ events including motivational training have been initiated with 54 documents being revised and improved in order to contribute to more efficient processes. ","author":[{"dropping-particle":"","family":"Djekic","given":"Ilija","non-dropping-particle":"","parse-names":false,"suffix":""},{"dropping-particle":"","family":"Zivanovic","given":"Dragan","non-dropping-particle":"","parse-names":false,"suffix":""},{"dropping-particle":"","family":"Dragojlovic","given":"Sladjana","non-dropping-particle":"","parse-names":false,"suffix":""},{"dropping-particle":"","family":"Dragovic","given":"Radoslava","non-dropping-particle":"","parse-names":false,"suffix":""}],"container-title":"Organizacija","id":"ITEM-1","issue":"3","issued":{"date-parts":[["2014"]]},"page":"143-152","title":"Lean Manufacturing Effects in a Serbian Confectionery Company – Case Study","type":"article-journal","volume":"47"},"uris":["http://www.mendeley.com/documents/?uuid=4c980448-e40c-4949-be0f-3309d0e0382c"]},{"id":"ITEM-2","itemData":{"DOI":"10.3390/su6129179","ISBN":"0718-2724","ISSN":"07182724","abstract":"Recent years have shown an increasing use of lean manufacturing (LM) principles and tools in several industrial sectors. Already a well-established management philosophy, it has shown numerous successful applications even outside production environments. This work presents the application of some LM tools, and the corresponding shift in philosophy, in two Portuguese companies of the food and beverage industries. Main implementation issues are presented and discussed; followed by the results obtained from the application of LM tools in the production system of these companies. Significant gains are obtained in both companies and, more importantly, it instills a continuous improvement culture and increases production flexibility while reducing lead times.","author":[{"dropping-particle":"","family":"Manzouri","given":"Malihe","non-dropping-particle":"","parse-names":false,"suffix":""},{"dropping-particle":"","family":"Ab-Rahman","given":"Mohd Nizam","non-dropping-particle":"","parse-names":false,"suffix":""},{"dropping-particle":"","family":"Zain","given":"Che Rosmawati Che Mohd","non-dropping-particle":"","parse-names":false,"suffix":""},{"dropping-particle":"","family":"Jamsari","given":"Ezad Azraai","non-dropping-particle":"","parse-names":false,"suffix":""},{"dropping-particle":"","family":"Neha","given":"Sharma","non-dropping-particle":"","parse-names":false,"suffix":""},{"dropping-particle":"","family":"Singh","given":"Matharou Gurpreet","non-dropping-particle":"","parse-names":false,"suffix":""},{"dropping-particle":"","family":"Simran","given":"Kaur","non-dropping-particle":"","parse-names":false,"suffix":""},{"dropping-particle":"","family":"Pramod","given":"Gupta","non-dropping-particle":"","parse-names":false,"suffix":""},{"dropping-particle":"","family":"Uk","given":"The","non-dropping-particle":"","parse-names":false,"suffix":""},{"dropping-particle":"","family":"Centre","given":"Food Chain","non-dropping-particle":"","parse-names":false,"suffix":""},{"dropping-particle":"","family":"Heymans","given":"By Brian","non-dropping-particle":"","parse-names":false,"suffix":""},{"dropping-particle":"","family":"Lopes","given":"Rui Borges","non-dropping-particle":"","parse-names":false,"suffix":""},{"dropping-particle":"","family":"Freitas","given":"Filipa","non-dropping-particle":"","parse-names":false,"suffix":""},{"dropping-particle":"","family":"Sousa","given":"Inês","non-dropping-particle":"","parse-names":false,"suffix":""}],"container-title":"Journal of Technology Management and Innovation","id":"ITEM-2","issued":{"date-parts":[["2015"]]},"title":"Lean Manufacturing and the Food Industry .","type":"article-journal"},"uris":["http://www.mendeley.com/documents/?uuid=40568c3a-93ea-48d7-b00b-73ec24f3e628"]}],"mendeley":{"formattedCitation":"[2], [28]","manualFormatting":"[9 ,11]","plainTextFormattedCitation":"[2], [28]","previouslyFormattedCitation":"[2], [28]"},"properties":{"noteIndex":0},"schema":"https://github.com/citation-style-language/schema/raw/master/csl-citation.json"}</w:instrText>
      </w:r>
      <w:r w:rsidRPr="00650B28">
        <w:rPr>
          <w:rFonts w:ascii="Arial" w:hAnsi="Arial" w:cs="Arial"/>
          <w:sz w:val="20"/>
          <w:szCs w:val="20"/>
        </w:rPr>
        <w:fldChar w:fldCharType="separate"/>
      </w:r>
      <w:r w:rsidR="00F4260A" w:rsidRPr="00F4260A">
        <w:rPr>
          <w:rFonts w:ascii="Arial" w:hAnsi="Arial" w:cs="Arial"/>
          <w:noProof/>
          <w:sz w:val="20"/>
          <w:szCs w:val="20"/>
        </w:rPr>
        <w:t>[</w:t>
      </w:r>
      <w:r w:rsidR="00F4260A" w:rsidRPr="00F4260A">
        <w:rPr>
          <w:rFonts w:ascii="Arial" w:hAnsi="Arial" w:cs="Arial"/>
          <w:noProof/>
          <w:color w:val="2F5496" w:themeColor="accent1" w:themeShade="BF"/>
          <w:sz w:val="20"/>
          <w:szCs w:val="20"/>
        </w:rPr>
        <w:t>9 ,11</w:t>
      </w:r>
      <w:r w:rsidR="00F4260A" w:rsidRPr="00F4260A">
        <w:rPr>
          <w:rFonts w:ascii="Arial" w:hAnsi="Arial" w:cs="Arial"/>
          <w:noProof/>
          <w:sz w:val="20"/>
          <w:szCs w:val="20"/>
        </w:rPr>
        <w:t>]</w:t>
      </w:r>
      <w:r w:rsidRPr="00650B28">
        <w:rPr>
          <w:rFonts w:ascii="Arial" w:hAnsi="Arial" w:cs="Arial"/>
          <w:sz w:val="20"/>
          <w:szCs w:val="20"/>
        </w:rPr>
        <w:fldChar w:fldCharType="end"/>
      </w:r>
      <w:r w:rsidRPr="00650B28">
        <w:rPr>
          <w:rFonts w:ascii="Arial" w:hAnsi="Arial" w:cs="Arial"/>
          <w:sz w:val="20"/>
          <w:szCs w:val="20"/>
        </w:rPr>
        <w:t xml:space="preserve">. The application of LM in the food industry has produced different conditions. The food industry has tried to implement LM simultaneously with QS, confusion has occurred in implementing the LM. </w:t>
      </w:r>
      <w:r w:rsidRPr="00650B28">
        <w:rPr>
          <w:rFonts w:ascii="Arial" w:hAnsi="Arial" w:cs="Arial"/>
          <w:sz w:val="20"/>
          <w:szCs w:val="20"/>
        </w:rPr>
        <w:lastRenderedPageBreak/>
        <w:t xml:space="preserve">An in-depth study of the literature review also shows results that are not much different </w:t>
      </w:r>
      <w:r w:rsidRPr="00650B28">
        <w:rPr>
          <w:rFonts w:ascii="Arial" w:hAnsi="Arial" w:cs="Arial"/>
          <w:sz w:val="20"/>
          <w:szCs w:val="20"/>
        </w:rPr>
        <w:fldChar w:fldCharType="begin" w:fldLock="1"/>
      </w:r>
      <w:r w:rsidR="00AC34CE">
        <w:rPr>
          <w:rFonts w:ascii="Arial" w:hAnsi="Arial" w:cs="Arial"/>
          <w:sz w:val="20"/>
          <w:szCs w:val="20"/>
        </w:rPr>
        <w:instrText>ADDIN CSL_CITATION {"citationItems":[{"id":"ITEM-1","itemData":{"DOI":"10.1016/j.tifs.2013.03.002","ISSN":"09242244","abstract":"This study analyzes the application of lean manufacturing, its impact on operational performance and critical success factors in the food processing SMEs. The review of current literature was complemented with a survey of food processing companies in three European countries in order to gain a deeper understanding of lean manufacturing in the backdrop of other similar quality initiatives. The findings show that the application of lean manufacturing practices in food SMEs is still at its infancy. Food processing SMEs place more emphasis on food safety than on process improvement methods. The respondents indicated improvement in operational performance, especially with overall productivity from the application of lean manufacturing. Skill of workforce, in-house expertise and organizational culture are critical factors for successful implementation of lean manufacturing practices. •The lean manufacturing practices in food SMEs is still at its infancy.•Food processing SMEs place more emphasis on food safety than on process improvement.•Lean manufacturing improve operational performance, mainly productivity and quality.•Skill of workforce, in-house expertise and organizational culture are critical success factors. © 2013 Elsevier Ltd.","author":[{"dropping-particle":"","family":"Dora","given":"Manoj","non-dropping-particle":"","parse-names":false,"suffix":""},{"dropping-particle":"","family":"Kumar","given":"Maneesh","non-dropping-particle":"","parse-names":false,"suffix":""},{"dropping-particle":"","family":"Goubergen","given":"Dirk","non-dropping-particle":"Van","parse-names":false,"suffix":""},{"dropping-particle":"","family":"Molnar","given":"Adrienn","non-dropping-particle":"","parse-names":false,"suffix":""},{"dropping-particle":"","family":"Gellynck","given":"Xavier","non-dropping-particle":"","parse-names":false,"suffix":""}],"container-title":"Trends in Food Science and Technology","id":"ITEM-1","issue":"2","issued":{"date-parts":[["2013"]]},"page":"156-164","publisher":"Elsevier Ltd","title":"Operational performance and critical success factors of lean manufacturing in European food processing SMEs","type":"article-journal","volume":"31"},"uris":["http://www.mendeley.com/documents/?uuid=ba78bfbc-976a-4d58-81cb-31e57c211654"]},{"id":"ITEM-2","itemData":{"ISSN":"2071-1050","author":[{"dropping-particle":"","family":"Veseli","given":"Artan","non-dropping-particle":"","parse-names":false,"suffix":""},{"dropping-particle":"","family":"Bajraktari","given":"Agron","non-dropping-particle":"","parse-names":false,"suffix":""},{"dropping-particle":"","family":"Trajkovska Petkoska","given":"Anka","non-dropping-particle":"","parse-names":false,"suffix":""}],"container-title":"Sustainability (2071-1050)","id":"ITEM-2","issue":"14","issued":{"date-parts":[["2024"]]},"title":"The Implementation of Lean Manufacturing on Zero Waste Technologies in the Food Processing Industry: Insights from Food Processing Companies in Kosovo and North Macedonia.","type":"article-journal","volume":"16"},"uris":["http://www.mendeley.com/documents/?uuid=0fae8adc-fd12-44a7-85d8-03bd3d20e5cc"]},{"id":"ITEM-3","itemData":{"ISSN":"2071-1050","author":[{"dropping-particle":"","family":"Domínguez","given":"Rut Azucena","non-dropping-particle":"","parse-names":false,"suffix":""},{"dropping-particle":"","family":"Espinosa","given":"María del Mar","non-dropping-particle":"","parse-names":false,"suffix":""},{"dropping-particle":"","family":"Domínguez","given":"Manuel","non-dropping-particle":"","parse-names":false,"suffix":""},{"dropping-particle":"","family":"Romero","given":"Luis","non-dropping-particle":"","parse-names":false,"suffix":""}],"container-title":"Sustainability","id":"ITEM-3","issue":"22","issued":{"date-parts":[["2021"]]},"page":"12577","publisher":"MDPI","title":"Lean 6S in Food Production: HACCP as a Benchmark for the Sixth S “Safety”","type":"article-journal","volume":"13"},"uris":["http://www.mendeley.com/documents/?uuid=f716c436-c8d2-43ac-b527-e4d19592d100"]}],"mendeley":{"formattedCitation":"[8], [29], [30]","plainTextFormattedCitation":"[8], [29], [30]","previouslyFormattedCitation":"[8], [29], [30]"},"properties":{"noteIndex":0},"schema":"https://github.com/citation-style-language/schema/raw/master/csl-citation.json"}</w:instrText>
      </w:r>
      <w:r w:rsidRPr="00650B28">
        <w:rPr>
          <w:rFonts w:ascii="Arial" w:hAnsi="Arial" w:cs="Arial"/>
          <w:sz w:val="20"/>
          <w:szCs w:val="20"/>
        </w:rPr>
        <w:fldChar w:fldCharType="separate"/>
      </w:r>
      <w:r w:rsidR="009E3E15" w:rsidRPr="009E3E15">
        <w:rPr>
          <w:rFonts w:ascii="Arial" w:hAnsi="Arial" w:cs="Arial"/>
          <w:noProof/>
          <w:sz w:val="20"/>
          <w:szCs w:val="20"/>
        </w:rPr>
        <w:t>[8], [29], [30]</w:t>
      </w:r>
      <w:r w:rsidRPr="00650B28">
        <w:rPr>
          <w:rFonts w:ascii="Arial" w:hAnsi="Arial" w:cs="Arial"/>
          <w:sz w:val="20"/>
          <w:szCs w:val="20"/>
        </w:rPr>
        <w:fldChar w:fldCharType="end"/>
      </w:r>
      <w:r w:rsidRPr="00650B28">
        <w:rPr>
          <w:rFonts w:ascii="Arial" w:hAnsi="Arial" w:cs="Arial"/>
          <w:sz w:val="20"/>
          <w:szCs w:val="20"/>
        </w:rPr>
        <w:t>.</w:t>
      </w:r>
    </w:p>
    <w:p w14:paraId="18F3D198" w14:textId="77777777" w:rsidR="00E51251" w:rsidRPr="00B761CB" w:rsidRDefault="00E51251" w:rsidP="00E51251">
      <w:pPr>
        <w:spacing w:after="0" w:line="240" w:lineRule="auto"/>
        <w:ind w:left="0" w:hanging="2"/>
        <w:jc w:val="both"/>
        <w:rPr>
          <w:rFonts w:ascii="Arial" w:eastAsia="Garamond" w:hAnsi="Arial" w:cs="Arial"/>
          <w:sz w:val="20"/>
          <w:szCs w:val="20"/>
        </w:rPr>
      </w:pPr>
      <w:r w:rsidRPr="00B761CB">
        <w:rPr>
          <w:rFonts w:ascii="Arial" w:hAnsi="Arial" w:cs="Arial"/>
          <w:sz w:val="20"/>
          <w:szCs w:val="20"/>
        </w:rPr>
        <w:t xml:space="preserve">We prove the results of this literature mapping with an in-depth case study in a food company with high researcher involvement. Recommendations for the application of LM in food companies are proposed based on comparative studies. Data regarding performance analysis was presented first to determine the effectiveness of the various strategies implemented by the company which </w:t>
      </w:r>
      <w:r w:rsidRPr="00B761CB">
        <w:rPr>
          <w:rFonts w:ascii="Arial" w:hAnsi="Arial" w:cs="Arial"/>
          <w:sz w:val="20"/>
          <w:szCs w:val="20"/>
        </w:rPr>
        <w:t>supports the performance analysis of this study (Fig. 3).</w:t>
      </w:r>
    </w:p>
    <w:p w14:paraId="5CBC79AD" w14:textId="77777777" w:rsidR="00E51251" w:rsidRPr="00B761CB" w:rsidRDefault="00E51251" w:rsidP="00E51251">
      <w:pPr>
        <w:spacing w:after="0" w:line="240" w:lineRule="auto"/>
        <w:ind w:left="0" w:hanging="2"/>
        <w:jc w:val="both"/>
        <w:rPr>
          <w:rFonts w:ascii="Arial" w:hAnsi="Arial" w:cs="Arial"/>
          <w:sz w:val="20"/>
          <w:szCs w:val="20"/>
        </w:rPr>
      </w:pPr>
      <w:r w:rsidRPr="00B761CB">
        <w:rPr>
          <w:rFonts w:ascii="Arial" w:hAnsi="Arial" w:cs="Arial"/>
          <w:sz w:val="20"/>
          <w:szCs w:val="20"/>
        </w:rPr>
        <w:t>Fig. 3 shows the performance of the four companies in terms of on time delivery, reject costs and sales growth. On time delivery at company B showed an improvement and its achievement in the 24</w:t>
      </w:r>
      <w:r w:rsidRPr="00B761CB">
        <w:rPr>
          <w:rFonts w:ascii="Arial" w:hAnsi="Arial" w:cs="Arial"/>
          <w:sz w:val="20"/>
          <w:szCs w:val="20"/>
          <w:vertAlign w:val="superscript"/>
        </w:rPr>
        <w:t>th</w:t>
      </w:r>
      <w:r w:rsidRPr="00B761CB">
        <w:rPr>
          <w:rFonts w:ascii="Arial" w:hAnsi="Arial" w:cs="Arial"/>
          <w:sz w:val="20"/>
          <w:szCs w:val="20"/>
        </w:rPr>
        <w:t xml:space="preserve"> month was almost perfect (close to 100%), followed by company A and the reverse condition was seen in companies C and D (Fig 3a). </w:t>
      </w:r>
    </w:p>
    <w:p w14:paraId="4594CA4C" w14:textId="77777777" w:rsidR="00E51251" w:rsidRPr="00B761CB" w:rsidRDefault="00E51251" w:rsidP="00E51251">
      <w:pPr>
        <w:spacing w:after="0" w:line="240" w:lineRule="auto"/>
        <w:ind w:left="0" w:hanging="2"/>
        <w:jc w:val="both"/>
        <w:rPr>
          <w:rFonts w:ascii="Arial" w:hAnsi="Arial" w:cs="Arial"/>
          <w:sz w:val="20"/>
          <w:szCs w:val="20"/>
        </w:rPr>
      </w:pPr>
    </w:p>
    <w:p w14:paraId="7821A763" w14:textId="77777777" w:rsidR="00E51251" w:rsidRDefault="00E51251" w:rsidP="00E51251">
      <w:pPr>
        <w:ind w:left="0" w:hanging="2"/>
        <w:jc w:val="both"/>
        <w:rPr>
          <w:rFonts w:ascii="Arial" w:hAnsi="Arial" w:cs="Arial"/>
          <w:sz w:val="20"/>
          <w:szCs w:val="20"/>
        </w:rPr>
        <w:sectPr w:rsidR="00E51251">
          <w:type w:val="continuous"/>
          <w:pgSz w:w="11907" w:h="16840"/>
          <w:pgMar w:top="1701" w:right="1134" w:bottom="1701" w:left="1701" w:header="680" w:footer="680" w:gutter="0"/>
          <w:cols w:num="2" w:space="720" w:equalWidth="0">
            <w:col w:w="4394" w:space="284"/>
            <w:col w:w="4394" w:space="0"/>
          </w:cols>
          <w:titlePg/>
        </w:sectPr>
      </w:pPr>
    </w:p>
    <w:tbl>
      <w:tblPr>
        <w:tblStyle w:val="TableGrid"/>
        <w:tblW w:w="8880" w:type="dxa"/>
        <w:tblLayout w:type="fixed"/>
        <w:tblLook w:val="04A0" w:firstRow="1" w:lastRow="0" w:firstColumn="1" w:lastColumn="0" w:noHBand="0" w:noVBand="1"/>
      </w:tblPr>
      <w:tblGrid>
        <w:gridCol w:w="3028"/>
        <w:gridCol w:w="2862"/>
        <w:gridCol w:w="2990"/>
      </w:tblGrid>
      <w:tr w:rsidR="00E51251" w:rsidRPr="00B761CB" w14:paraId="4DE458B0" w14:textId="77777777" w:rsidTr="00AC34CE">
        <w:trPr>
          <w:trHeight w:val="2380"/>
        </w:trPr>
        <w:tc>
          <w:tcPr>
            <w:tcW w:w="3028" w:type="dxa"/>
            <w:tcBorders>
              <w:top w:val="single" w:sz="4" w:space="0" w:color="auto"/>
              <w:left w:val="single" w:sz="4" w:space="0" w:color="auto"/>
              <w:bottom w:val="single" w:sz="4" w:space="0" w:color="auto"/>
              <w:right w:val="single" w:sz="4" w:space="0" w:color="auto"/>
            </w:tcBorders>
            <w:hideMark/>
          </w:tcPr>
          <w:p w14:paraId="3E1F82BE" w14:textId="77777777" w:rsidR="00E51251" w:rsidRPr="00B761CB" w:rsidRDefault="00E51251" w:rsidP="00DA29D4">
            <w:pPr>
              <w:spacing w:after="0" w:line="240" w:lineRule="auto"/>
              <w:ind w:left="0" w:hanging="2"/>
              <w:jc w:val="center"/>
              <w:rPr>
                <w:rFonts w:ascii="Arial" w:hAnsi="Arial" w:cs="Arial"/>
                <w:sz w:val="20"/>
                <w:szCs w:val="20"/>
              </w:rPr>
            </w:pPr>
            <w:r w:rsidRPr="00B761CB">
              <w:rPr>
                <w:rFonts w:ascii="Arial" w:hAnsi="Arial" w:cs="Arial"/>
                <w:b/>
                <w:noProof/>
                <w:sz w:val="20"/>
                <w:szCs w:val="20"/>
              </w:rPr>
              <w:drawing>
                <wp:inline distT="0" distB="0" distL="0" distR="0" wp14:anchorId="0D9D0960" wp14:editId="3404CDA6">
                  <wp:extent cx="1683385" cy="1498387"/>
                  <wp:effectExtent l="0" t="0" r="0" b="6985"/>
                  <wp:docPr id="13" name="Picture 13" descr="Description: on time deliveri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on time deliveri .300dp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8355" cy="1502811"/>
                          </a:xfrm>
                          <a:prstGeom prst="rect">
                            <a:avLst/>
                          </a:prstGeom>
                          <a:noFill/>
                          <a:ln>
                            <a:noFill/>
                          </a:ln>
                        </pic:spPr>
                      </pic:pic>
                    </a:graphicData>
                  </a:graphic>
                </wp:inline>
              </w:drawing>
            </w:r>
          </w:p>
          <w:p w14:paraId="59E77D93" w14:textId="77777777" w:rsidR="00E51251" w:rsidRPr="00B761CB" w:rsidRDefault="00E51251" w:rsidP="00DA29D4">
            <w:pPr>
              <w:spacing w:after="0" w:line="240" w:lineRule="auto"/>
              <w:ind w:left="0" w:hanging="2"/>
              <w:jc w:val="center"/>
              <w:rPr>
                <w:rFonts w:ascii="Arial" w:hAnsi="Arial" w:cs="Arial"/>
                <w:sz w:val="20"/>
                <w:szCs w:val="20"/>
              </w:rPr>
            </w:pPr>
            <w:r w:rsidRPr="00B761CB">
              <w:rPr>
                <w:rFonts w:ascii="Arial" w:hAnsi="Arial" w:cs="Arial"/>
                <w:sz w:val="20"/>
                <w:szCs w:val="20"/>
              </w:rPr>
              <w:t>a</w:t>
            </w:r>
          </w:p>
        </w:tc>
        <w:tc>
          <w:tcPr>
            <w:tcW w:w="2861" w:type="dxa"/>
            <w:tcBorders>
              <w:top w:val="single" w:sz="4" w:space="0" w:color="auto"/>
              <w:left w:val="single" w:sz="4" w:space="0" w:color="auto"/>
              <w:bottom w:val="single" w:sz="4" w:space="0" w:color="auto"/>
              <w:right w:val="single" w:sz="4" w:space="0" w:color="auto"/>
            </w:tcBorders>
            <w:hideMark/>
          </w:tcPr>
          <w:p w14:paraId="20C96657" w14:textId="77777777" w:rsidR="00E51251" w:rsidRPr="00B761CB" w:rsidRDefault="00E51251" w:rsidP="00DA29D4">
            <w:pPr>
              <w:spacing w:after="0" w:line="240" w:lineRule="auto"/>
              <w:ind w:left="0" w:hanging="2"/>
              <w:jc w:val="center"/>
              <w:rPr>
                <w:rFonts w:ascii="Arial" w:hAnsi="Arial" w:cs="Arial"/>
                <w:sz w:val="20"/>
                <w:szCs w:val="20"/>
              </w:rPr>
            </w:pPr>
            <w:r w:rsidRPr="00B761CB">
              <w:rPr>
                <w:rFonts w:ascii="Arial" w:hAnsi="Arial" w:cs="Arial"/>
                <w:b/>
                <w:noProof/>
                <w:sz w:val="20"/>
                <w:szCs w:val="20"/>
              </w:rPr>
              <w:drawing>
                <wp:inline distT="0" distB="0" distL="0" distR="0" wp14:anchorId="4E9C8F16" wp14:editId="672A0D84">
                  <wp:extent cx="1590040" cy="1485265"/>
                  <wp:effectExtent l="0" t="0" r="0" b="635"/>
                  <wp:docPr id="12" name="Picture 12" descr="Description: reject cost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reject cost .300dp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040" cy="1485265"/>
                          </a:xfrm>
                          <a:prstGeom prst="rect">
                            <a:avLst/>
                          </a:prstGeom>
                          <a:noFill/>
                          <a:ln>
                            <a:noFill/>
                          </a:ln>
                        </pic:spPr>
                      </pic:pic>
                    </a:graphicData>
                  </a:graphic>
                </wp:inline>
              </w:drawing>
            </w:r>
          </w:p>
          <w:p w14:paraId="6967EDB2" w14:textId="77777777" w:rsidR="00E51251" w:rsidRPr="00B761CB" w:rsidRDefault="00E51251" w:rsidP="00DA29D4">
            <w:pPr>
              <w:spacing w:after="0" w:line="240" w:lineRule="auto"/>
              <w:ind w:left="0" w:hanging="2"/>
              <w:jc w:val="center"/>
              <w:rPr>
                <w:rFonts w:ascii="Arial" w:hAnsi="Arial" w:cs="Arial"/>
                <w:sz w:val="20"/>
                <w:szCs w:val="20"/>
              </w:rPr>
            </w:pPr>
            <w:r w:rsidRPr="00B761CB">
              <w:rPr>
                <w:rFonts w:ascii="Arial" w:hAnsi="Arial" w:cs="Arial"/>
                <w:sz w:val="20"/>
                <w:szCs w:val="20"/>
              </w:rPr>
              <w:t>b</w:t>
            </w:r>
          </w:p>
        </w:tc>
        <w:tc>
          <w:tcPr>
            <w:tcW w:w="2989" w:type="dxa"/>
            <w:tcBorders>
              <w:top w:val="single" w:sz="4" w:space="0" w:color="auto"/>
              <w:left w:val="single" w:sz="4" w:space="0" w:color="auto"/>
              <w:bottom w:val="single" w:sz="4" w:space="0" w:color="auto"/>
              <w:right w:val="single" w:sz="4" w:space="0" w:color="auto"/>
            </w:tcBorders>
            <w:hideMark/>
          </w:tcPr>
          <w:p w14:paraId="5316BA8D" w14:textId="77777777" w:rsidR="00E51251" w:rsidRPr="00B761CB" w:rsidRDefault="00E51251" w:rsidP="00DA29D4">
            <w:pPr>
              <w:spacing w:after="0" w:line="240" w:lineRule="auto"/>
              <w:ind w:left="0" w:hanging="2"/>
              <w:jc w:val="center"/>
              <w:rPr>
                <w:rFonts w:ascii="Arial" w:hAnsi="Arial" w:cs="Arial"/>
                <w:sz w:val="20"/>
                <w:szCs w:val="20"/>
              </w:rPr>
            </w:pPr>
            <w:r w:rsidRPr="00B761CB">
              <w:rPr>
                <w:rFonts w:ascii="Arial" w:hAnsi="Arial" w:cs="Arial"/>
                <w:b/>
                <w:noProof/>
                <w:sz w:val="20"/>
                <w:szCs w:val="20"/>
              </w:rPr>
              <w:drawing>
                <wp:inline distT="0" distB="0" distL="0" distR="0" wp14:anchorId="53556894" wp14:editId="0E99D7A0">
                  <wp:extent cx="1607185" cy="1485265"/>
                  <wp:effectExtent l="0" t="0" r="0" b="635"/>
                  <wp:docPr id="11" name="Picture 11" descr="Description: sales growth.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ales growth.300dp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7185" cy="1485265"/>
                          </a:xfrm>
                          <a:prstGeom prst="rect">
                            <a:avLst/>
                          </a:prstGeom>
                          <a:noFill/>
                          <a:ln>
                            <a:noFill/>
                          </a:ln>
                        </pic:spPr>
                      </pic:pic>
                    </a:graphicData>
                  </a:graphic>
                </wp:inline>
              </w:drawing>
            </w:r>
          </w:p>
          <w:p w14:paraId="29FF9ADA" w14:textId="77777777" w:rsidR="00E51251" w:rsidRPr="00B761CB" w:rsidRDefault="00E51251" w:rsidP="00DA29D4">
            <w:pPr>
              <w:spacing w:after="0" w:line="240" w:lineRule="auto"/>
              <w:ind w:left="0" w:hanging="2"/>
              <w:jc w:val="center"/>
              <w:rPr>
                <w:rFonts w:ascii="Arial" w:hAnsi="Arial" w:cs="Arial"/>
                <w:sz w:val="20"/>
                <w:szCs w:val="20"/>
              </w:rPr>
            </w:pPr>
            <w:r w:rsidRPr="00B761CB">
              <w:rPr>
                <w:rFonts w:ascii="Arial" w:hAnsi="Arial" w:cs="Arial"/>
                <w:sz w:val="20"/>
                <w:szCs w:val="20"/>
              </w:rPr>
              <w:t>c</w:t>
            </w:r>
          </w:p>
        </w:tc>
      </w:tr>
    </w:tbl>
    <w:p w14:paraId="4C2B3A51" w14:textId="77777777" w:rsidR="00E51251" w:rsidRPr="00B761CB" w:rsidRDefault="00E51251" w:rsidP="00E51251">
      <w:pPr>
        <w:pStyle w:val="IJPMETableFigureCaption"/>
        <w:rPr>
          <w:rFonts w:ascii="Arial" w:hAnsi="Arial" w:cs="Arial"/>
          <w:sz w:val="20"/>
        </w:rPr>
      </w:pPr>
      <w:r w:rsidRPr="00B761CB">
        <w:rPr>
          <w:rFonts w:ascii="Arial" w:hAnsi="Arial" w:cs="Arial"/>
          <w:b/>
          <w:sz w:val="20"/>
        </w:rPr>
        <w:t>Figure 3</w:t>
      </w:r>
      <w:r w:rsidRPr="00B761CB">
        <w:rPr>
          <w:rFonts w:ascii="Arial" w:hAnsi="Arial" w:cs="Arial"/>
          <w:sz w:val="20"/>
        </w:rPr>
        <w:t>. The Performance of LM Implementation. Percentage (%) on time delivery (a). performance based on % reject (b), and performance based on sales growth (c).</w:t>
      </w:r>
    </w:p>
    <w:p w14:paraId="31692239" w14:textId="77777777" w:rsidR="00E51251" w:rsidRDefault="00E51251" w:rsidP="00E51251">
      <w:pPr>
        <w:ind w:left="0" w:hanging="2"/>
        <w:jc w:val="both"/>
        <w:rPr>
          <w:rFonts w:ascii="Arial" w:hAnsi="Arial" w:cs="Arial"/>
          <w:sz w:val="20"/>
          <w:szCs w:val="20"/>
        </w:rPr>
        <w:sectPr w:rsidR="00E51251" w:rsidSect="00AC34CE">
          <w:type w:val="continuous"/>
          <w:pgSz w:w="11907" w:h="16840"/>
          <w:pgMar w:top="1701" w:right="1134" w:bottom="1701" w:left="1701" w:header="680" w:footer="680" w:gutter="0"/>
          <w:cols w:space="720"/>
          <w:titlePg/>
        </w:sectPr>
      </w:pPr>
    </w:p>
    <w:p w14:paraId="2952B4A8" w14:textId="77777777" w:rsidR="00E51251" w:rsidRPr="00B761CB" w:rsidRDefault="00E51251" w:rsidP="00E51251">
      <w:pPr>
        <w:spacing w:line="240" w:lineRule="auto"/>
        <w:ind w:leftChars="0" w:left="0" w:firstLineChars="0" w:firstLine="0"/>
        <w:jc w:val="both"/>
        <w:rPr>
          <w:rFonts w:ascii="Arial" w:hAnsi="Arial" w:cs="Arial"/>
          <w:sz w:val="20"/>
          <w:szCs w:val="20"/>
        </w:rPr>
      </w:pPr>
      <w:r w:rsidRPr="00B761CB">
        <w:rPr>
          <w:rFonts w:ascii="Arial" w:hAnsi="Arial" w:cs="Arial"/>
          <w:sz w:val="20"/>
          <w:szCs w:val="20"/>
        </w:rPr>
        <w:t>The results of interviews with factory managers and supervisors at factory B show: a) the implementation of JIT supports distribution effectiveness, b) the selection of an LM tool was intended to be more focused in dealing with obstacles c) the implementation of JIT was intended to meet market demand with guaranteed quality. In this performance analysis, the implementation of factory B strategy was found to be more effective.</w:t>
      </w:r>
    </w:p>
    <w:p w14:paraId="64E9639A" w14:textId="77777777" w:rsidR="00E51251" w:rsidRPr="00B761CB" w:rsidRDefault="00E51251" w:rsidP="00E51251">
      <w:pPr>
        <w:spacing w:line="240" w:lineRule="auto"/>
        <w:ind w:left="0" w:hanging="2"/>
        <w:jc w:val="both"/>
        <w:rPr>
          <w:rFonts w:ascii="Arial" w:hAnsi="Arial" w:cs="Arial"/>
          <w:sz w:val="20"/>
          <w:szCs w:val="20"/>
        </w:rPr>
      </w:pPr>
      <w:r w:rsidRPr="00B761CB">
        <w:rPr>
          <w:rFonts w:ascii="Arial" w:hAnsi="Arial" w:cs="Arial"/>
          <w:sz w:val="20"/>
          <w:szCs w:val="20"/>
        </w:rPr>
        <w:t>The "Reject Cost" performance indicator shows that success can be seen from the reduction in costs caused by product defects and product returns (Fig 3b). Plant A succeeded in reducing reject costs gradually from 9% to 3% through implementing one tool (5S) in the first year and JIT in the second year. Factory B succeeded in reducing reject costs from 6% to 3.9%. In contrast, Factories C and D never succeeded in reducing their reject costs. Factory A implements a more effective strategy in reducing rejection costs. Factory managers and supervisors admit that: a) 5S LM tools which were synonymous with sanitation really help QS in avoiding product contamination. b) The product's lifespan was quite short, and must be supported by strong quality to anticipate damage due to processing and contamination by microorganisms. c) after successful implementation of 5S, JIT is implemented in stages.</w:t>
      </w:r>
    </w:p>
    <w:p w14:paraId="689EEB3A" w14:textId="77777777" w:rsidR="00E51251" w:rsidRPr="00B761CB" w:rsidRDefault="00E51251" w:rsidP="00E51251">
      <w:pPr>
        <w:spacing w:line="240" w:lineRule="auto"/>
        <w:ind w:left="0" w:hanging="2"/>
        <w:jc w:val="both"/>
        <w:rPr>
          <w:rFonts w:ascii="Arial" w:hAnsi="Arial" w:cs="Arial"/>
          <w:sz w:val="20"/>
          <w:szCs w:val="20"/>
        </w:rPr>
      </w:pPr>
      <w:r w:rsidRPr="00B761CB">
        <w:rPr>
          <w:rFonts w:ascii="Arial" w:hAnsi="Arial" w:cs="Arial"/>
          <w:sz w:val="20"/>
          <w:szCs w:val="20"/>
        </w:rPr>
        <w:t>The performance indicator "Sales Growth" shows an increase in the number of sales compared to 2020. Factory A was more effective as shown by a continuous increase in sales percentage. Factory B experienced a decline in sales growth after 5S was implemented. Meanwhile, factory C and factory D experienced different conditions (Fig.3c). Factory manager A admitted that this happened because a) the use of JIT tools was implemented when 5S had been firmly embedded in the company. b) the implementation of JIT had to be carried out because the product life was relatively short.</w:t>
      </w:r>
    </w:p>
    <w:p w14:paraId="33B2F992" w14:textId="579325FA" w:rsidR="00E51251" w:rsidRDefault="00E51251" w:rsidP="00E51251">
      <w:pPr>
        <w:spacing w:line="240" w:lineRule="auto"/>
        <w:ind w:left="0" w:hanging="2"/>
        <w:jc w:val="both"/>
        <w:rPr>
          <w:rFonts w:ascii="Arial" w:hAnsi="Arial" w:cs="Arial"/>
          <w:sz w:val="20"/>
          <w:szCs w:val="20"/>
        </w:rPr>
      </w:pPr>
      <w:r w:rsidRPr="00B761CB">
        <w:rPr>
          <w:rFonts w:ascii="Arial" w:hAnsi="Arial" w:cs="Arial"/>
          <w:sz w:val="20"/>
          <w:szCs w:val="20"/>
        </w:rPr>
        <w:t xml:space="preserve">Interviews conducted with factory managers C and D yielded similar findings: a) the company experienced confusion as to whether the LM tool should be implemented simultaneously or the quality system should be seen as part of the LM tool. b) Overlapping priorities of LM tools cause companies to be unable to focus on main problems. c) Confusion continues to the evaluation and </w:t>
      </w:r>
      <w:proofErr w:type="gramStart"/>
      <w:r w:rsidRPr="00B761CB">
        <w:rPr>
          <w:rFonts w:ascii="Arial" w:hAnsi="Arial" w:cs="Arial"/>
          <w:sz w:val="20"/>
          <w:szCs w:val="20"/>
        </w:rPr>
        <w:t>problem</w:t>
      </w:r>
      <w:r w:rsidR="00F91466">
        <w:rPr>
          <w:rFonts w:ascii="Arial" w:hAnsi="Arial" w:cs="Arial"/>
          <w:sz w:val="20"/>
          <w:szCs w:val="20"/>
        </w:rPr>
        <w:t xml:space="preserve"> </w:t>
      </w:r>
      <w:r w:rsidRPr="00B761CB">
        <w:rPr>
          <w:rFonts w:ascii="Arial" w:hAnsi="Arial" w:cs="Arial"/>
          <w:sz w:val="20"/>
          <w:szCs w:val="20"/>
        </w:rPr>
        <w:t>solving</w:t>
      </w:r>
      <w:proofErr w:type="gramEnd"/>
      <w:r w:rsidRPr="00B761CB">
        <w:rPr>
          <w:rFonts w:ascii="Arial" w:hAnsi="Arial" w:cs="Arial"/>
          <w:sz w:val="20"/>
          <w:szCs w:val="20"/>
        </w:rPr>
        <w:t xml:space="preserve"> stage.</w:t>
      </w:r>
    </w:p>
    <w:p w14:paraId="4324CC00" w14:textId="1CC2E05E" w:rsidR="00AC34CE" w:rsidRPr="00AC34CE" w:rsidRDefault="00AC34CE" w:rsidP="00E51251">
      <w:pPr>
        <w:spacing w:line="240" w:lineRule="auto"/>
        <w:ind w:left="0" w:hanging="2"/>
        <w:jc w:val="both"/>
        <w:rPr>
          <w:rFonts w:ascii="Arial" w:hAnsi="Arial" w:cs="Arial"/>
          <w:sz w:val="18"/>
          <w:szCs w:val="20"/>
        </w:rPr>
      </w:pPr>
      <w:r w:rsidRPr="00AC34CE">
        <w:rPr>
          <w:rFonts w:ascii="Arial" w:hAnsi="Arial" w:cs="Arial"/>
          <w:sz w:val="20"/>
        </w:rPr>
        <w:t xml:space="preserve">This study highlights the importance of a phased strategy in implementing Lean Manufacturing (LM) to improve efficiency and performance, particularly in industries with short product shelf lives, such as the food industry. Factory A successfully reduced rejection costs and significantly increased sales by first implementing </w:t>
      </w:r>
      <w:r w:rsidRPr="00AC34CE">
        <w:rPr>
          <w:rFonts w:ascii="Arial" w:hAnsi="Arial" w:cs="Arial"/>
          <w:sz w:val="20"/>
        </w:rPr>
        <w:lastRenderedPageBreak/>
        <w:t>5S, which focuses on sanitation to prevent contamination, before proceeding with Just-In-Time (JIT) to optimize distribution efficiency. In contrast, other factories that did not adopt a phased approach showed suboptimal performance, with some even experiencing a decline in sales growth. These findings reinforce the importance of flexibility in LM implementation tailored to the specific challenges of the industry</w:t>
      </w:r>
      <w:r w:rsidR="004C7BE8">
        <w:rPr>
          <w:rFonts w:ascii="Arial" w:hAnsi="Arial" w:cs="Arial"/>
          <w:sz w:val="20"/>
        </w:rPr>
        <w:t xml:space="preserve"> </w:t>
      </w:r>
      <w:r w:rsidR="004C7BE8">
        <w:rPr>
          <w:rFonts w:ascii="Arial" w:hAnsi="Arial" w:cs="Arial"/>
          <w:sz w:val="20"/>
        </w:rPr>
        <w:fldChar w:fldCharType="begin" w:fldLock="1"/>
      </w:r>
      <w:r w:rsidR="004C7BE8">
        <w:rPr>
          <w:rFonts w:ascii="Arial" w:hAnsi="Arial" w:cs="Arial"/>
          <w:sz w:val="20"/>
        </w:rPr>
        <w:instrText>ADDIN CSL_CITATION {"citationItems":[{"id":"ITEM-1","itemData":{"ISSN":"2666-7908","author":[{"dropping-particle":"","family":"Lakshmanan","given":"Rohit","non-dropping-particle":"","parse-names":false,"suffix":""},{"dropping-particle":"","family":"Nyamekye","given":"Patricia","non-dropping-particle":"","parse-names":false,"suffix":""},{"dropping-particle":"","family":"Virolainen","given":"Veli-Matti","non-dropping-particle":"","parse-names":false,"suffix":""},{"dropping-particle":"","family":"Piili","given":"Heidi","non-dropping-particle":"","parse-names":false,"suffix":""}],"container-title":"Cleaner Engineering and Technology","id":"ITEM-1","issued":{"date-parts":[["2023"]]},"page":"100620","publisher":"Elsevier","title":"The convergence of lean management and additive manufacturing: Case of manufacturing industries","type":"article-journal","volume":"13"},"uris":["http://www.mendeley.com/documents/?uuid=b22b3845-3e9a-4ccc-b727-2198d43ef2f3"]},{"id":"ITEM-2","itemData":{"ISSN":"1463-5771","author":[{"dropping-particle":"","family":"Sony","given":"Michael","non-dropping-particle":"","parse-names":false,"suffix":""},{"dropping-particle":"","family":"Antony","given":"Jiju","non-dropping-particle":"","parse-names":false,"suffix":""},{"dropping-particle":"","family":"Mc Dermott","given":"Olivia","non-dropping-particle":"","parse-names":false,"suffix":""}],"container-title":"Benchmarking: An International Journal","id":"ITEM-2","issue":"3","issued":{"date-parts":[["2023"]]},"page":"924-949","publisher":"Emerald Publishing Limited","title":"How do the technological capability and strategic flexibility of an organization impact its successful implementation of Industry 4.0? A qualitative viewpoint","type":"article-journal","volume":"30"},"uris":["http://www.mendeley.com/documents/?uuid=83448588-24d4-4b44-86d4-6e3fcb54c304"]}],"mendeley":{"formattedCitation":"[31], [32]","plainTextFormattedCitation":"[31], [32]","previouslyFormattedCitation":"[31], [32]"},"properties":{"noteIndex":0},"schema":"https://github.com/citation-style-language/schema/raw/master/csl-citation.json"}</w:instrText>
      </w:r>
      <w:r w:rsidR="004C7BE8">
        <w:rPr>
          <w:rFonts w:ascii="Arial" w:hAnsi="Arial" w:cs="Arial"/>
          <w:sz w:val="20"/>
        </w:rPr>
        <w:fldChar w:fldCharType="separate"/>
      </w:r>
      <w:r w:rsidR="004C7BE8" w:rsidRPr="00AC34CE">
        <w:rPr>
          <w:rFonts w:ascii="Arial" w:hAnsi="Arial" w:cs="Arial"/>
          <w:noProof/>
          <w:sz w:val="20"/>
        </w:rPr>
        <w:t>[31], [32]</w:t>
      </w:r>
      <w:r w:rsidR="004C7BE8">
        <w:rPr>
          <w:rFonts w:ascii="Arial" w:hAnsi="Arial" w:cs="Arial"/>
          <w:sz w:val="20"/>
        </w:rPr>
        <w:fldChar w:fldCharType="end"/>
      </w:r>
      <w:r w:rsidRPr="00AC34CE">
        <w:rPr>
          <w:rFonts w:ascii="Arial" w:hAnsi="Arial" w:cs="Arial"/>
          <w:sz w:val="20"/>
        </w:rPr>
        <w:t xml:space="preserve"> while challenging previous research claims that simultaneous LM implementation is universally effective across all sectors</w:t>
      </w:r>
      <w:r w:rsidR="004C7BE8">
        <w:rPr>
          <w:rFonts w:ascii="Arial" w:hAnsi="Arial" w:cs="Arial"/>
          <w:sz w:val="20"/>
        </w:rPr>
        <w:t xml:space="preserve"> </w:t>
      </w:r>
      <w:r w:rsidR="004C7BE8">
        <w:rPr>
          <w:rFonts w:ascii="Arial" w:hAnsi="Arial" w:cs="Arial"/>
          <w:sz w:val="20"/>
        </w:rPr>
        <w:fldChar w:fldCharType="begin" w:fldLock="1"/>
      </w:r>
      <w:r w:rsidR="004C7BE8">
        <w:rPr>
          <w:rFonts w:ascii="Arial" w:hAnsi="Arial" w:cs="Arial"/>
          <w:sz w:val="20"/>
        </w:rPr>
        <w:instrText>ADDIN CSL_CITATION {"citationItems":[{"id":"ITEM-1","itemData":{"ISSN":"1463-5771","author":[{"dropping-particle":"","family":"Nawanir","given":"Gusman","non-dropping-particle":"","parse-names":false,"suffix":""},{"dropping-particle":"","family":"Lim","given":"Kong Teong","non-dropping-particle":"","parse-names":false,"suffix":""},{"dropping-particle":"","family":"Ramayah","given":"T","non-dropping-particle":"","parse-names":false,"suffix":""},{"dropping-particle":"","family":"Mahmud","given":"Fatimah","non-dropping-particle":"","parse-names":false,"suffix":""},{"dropping-particle":"","family":"Lee","given":"Khai Loon","non-dropping-particle":"","parse-names":false,"suffix":""},{"dropping-particle":"","family":"Maarof","given":"Mohd Ghazali","non-dropping-particle":"","parse-names":false,"suffix":""}],"container-title":"Benchmarking: An International Journal","id":"ITEM-1","issue":"5","issued":{"date-parts":[["2020"]]},"page":"1815-1842","publisher":"Emerald Publishing Limited","title":"Synergistic effect of lean practices on lead time reduction: mediating role of manufacturing flexibility","type":"article-journal","volume":"27"},"uris":["http://www.mendeley.com/documents/?uuid=27b9eda6-e3c8-4135-85d1-b49a300e860d"]}],"mendeley":{"formattedCitation":"[33]","plainTextFormattedCitation":"[33]","previouslyFormattedCitation":"[33]"},"properties":{"noteIndex":0},"schema":"https://github.com/citation-style-language/schema/raw/master/csl-citation.json"}</w:instrText>
      </w:r>
      <w:r w:rsidR="004C7BE8">
        <w:rPr>
          <w:rFonts w:ascii="Arial" w:hAnsi="Arial" w:cs="Arial"/>
          <w:sz w:val="20"/>
        </w:rPr>
        <w:fldChar w:fldCharType="separate"/>
      </w:r>
      <w:r w:rsidR="004C7BE8" w:rsidRPr="004C7BE8">
        <w:rPr>
          <w:rFonts w:ascii="Arial" w:hAnsi="Arial" w:cs="Arial"/>
          <w:noProof/>
          <w:sz w:val="20"/>
        </w:rPr>
        <w:t>[33]</w:t>
      </w:r>
      <w:r w:rsidR="004C7BE8">
        <w:rPr>
          <w:rFonts w:ascii="Arial" w:hAnsi="Arial" w:cs="Arial"/>
          <w:sz w:val="20"/>
        </w:rPr>
        <w:fldChar w:fldCharType="end"/>
      </w:r>
      <w:r w:rsidRPr="00AC34CE">
        <w:rPr>
          <w:rFonts w:ascii="Arial" w:hAnsi="Arial" w:cs="Arial"/>
          <w:sz w:val="20"/>
        </w:rPr>
        <w:t>. This study contributes by emphasizing that the success of LM depends on system readiness and structured strategies</w:t>
      </w:r>
      <w:r w:rsidR="004C7BE8">
        <w:rPr>
          <w:rFonts w:ascii="Arial" w:hAnsi="Arial" w:cs="Arial"/>
          <w:sz w:val="20"/>
        </w:rPr>
        <w:fldChar w:fldCharType="begin" w:fldLock="1"/>
      </w:r>
      <w:r w:rsidR="009637A4">
        <w:rPr>
          <w:rFonts w:ascii="Arial" w:hAnsi="Arial" w:cs="Arial"/>
          <w:sz w:val="20"/>
        </w:rPr>
        <w:instrText>ADDIN CSL_CITATION {"citationItems":[{"id":"ITEM-1","itemData":{"ISSN":"2571-6255","author":[{"dropping-particle":"","family":"McFayden","given":"Colin B","non-dropping-particle":"","parse-names":false,"suffix":""},{"dropping-particle":"","family":"Hope","given":"Emily S","non-dropping-particle":"","parse-names":false,"suffix":""},{"dropping-particle":"","family":"Boychuk","given":"Den","non-dropping-particle":"","parse-names":false,"suffix":""},{"dropping-particle":"","family":"Johnston","given":"Lynn M","non-dropping-particle":"","parse-names":false,"suffix":""},{"dropping-particle":"","family":"Richardson","given":"Ashlin","non-dropping-particle":"","parse-names":false,"suffix":""},{"dropping-particle":"","family":"Coyle","given":"Matthew","non-dropping-particle":"","parse-names":false,"suffix":""},{"dropping-particle":"","family":"Sloane","given":"Meghan","non-dropping-particle":"","parse-names":false,"suffix":""},{"dropping-particle":"","family":"Cantin","given":"Alan S","non-dropping-particle":"","parse-names":false,"suffix":""},{"dropping-particle":"","family":"Johnston","given":"Joshua M","non-dropping-particle":"","parse-names":false,"suffix":""},{"dropping-particle":"","family":"Lynham","given":"Timothy J","non-dropping-particle":"","parse-names":false,"suffix":""}],"container-title":"Fire","id":"ITEM-1","issue":"2","issued":{"date-parts":[["2023"]]},"page":"73","publisher":"MDPI","title":"Canadian fire management agency readiness for WildFireSat: assessment and strategies for enhanced preparedness","type":"article-journal","volume":"6"},"uris":["http://www.mendeley.com/documents/?uuid=c66b10fa-a73d-4a4f-a43b-1c4e9dc01ea4"]}],"mendeley":{"formattedCitation":"[34]","plainTextFormattedCitation":"[34]","previouslyFormattedCitation":"[34]"},"properties":{"noteIndex":0},"schema":"https://github.com/citation-style-language/schema/raw/master/csl-citation.json"}</w:instrText>
      </w:r>
      <w:r w:rsidR="004C7BE8">
        <w:rPr>
          <w:rFonts w:ascii="Arial" w:hAnsi="Arial" w:cs="Arial"/>
          <w:sz w:val="20"/>
        </w:rPr>
        <w:fldChar w:fldCharType="separate"/>
      </w:r>
      <w:r w:rsidR="004C7BE8" w:rsidRPr="004C7BE8">
        <w:rPr>
          <w:rFonts w:ascii="Arial" w:hAnsi="Arial" w:cs="Arial"/>
          <w:noProof/>
          <w:sz w:val="20"/>
        </w:rPr>
        <w:t>[34]</w:t>
      </w:r>
      <w:r w:rsidR="004C7BE8">
        <w:rPr>
          <w:rFonts w:ascii="Arial" w:hAnsi="Arial" w:cs="Arial"/>
          <w:sz w:val="20"/>
        </w:rPr>
        <w:fldChar w:fldCharType="end"/>
      </w:r>
      <w:r w:rsidRPr="00AC34CE">
        <w:rPr>
          <w:rFonts w:ascii="Arial" w:hAnsi="Arial" w:cs="Arial"/>
          <w:sz w:val="20"/>
        </w:rPr>
        <w:t>.</w:t>
      </w:r>
    </w:p>
    <w:p w14:paraId="741D2649" w14:textId="77777777" w:rsidR="00E51251" w:rsidRPr="00B761CB" w:rsidRDefault="00E51251" w:rsidP="00E51251">
      <w:pPr>
        <w:spacing w:after="0" w:line="240" w:lineRule="auto"/>
        <w:ind w:left="0" w:hanging="2"/>
        <w:jc w:val="both"/>
        <w:rPr>
          <w:rFonts w:ascii="Arial" w:hAnsi="Arial" w:cs="Arial"/>
          <w:sz w:val="20"/>
          <w:szCs w:val="20"/>
        </w:rPr>
      </w:pPr>
      <w:r w:rsidRPr="00B761CB">
        <w:rPr>
          <w:rFonts w:ascii="Arial" w:hAnsi="Arial" w:cs="Arial"/>
          <w:sz w:val="20"/>
          <w:szCs w:val="20"/>
        </w:rPr>
        <w:t>Company A implemented LM using 5S followed by JIT. The implementation of JIT had a performance impact of 85% in months 13 - 18. However, there was a significant decrease in performance (p&lt;0.05) in months 22 - 24. The lowest performance &lt; 60% is seen in months 7-9 (</w:t>
      </w:r>
      <w:r w:rsidRPr="00B761CB">
        <w:rPr>
          <w:rFonts w:ascii="Arial" w:hAnsi="Arial" w:cs="Arial"/>
          <w:color w:val="8496B0" w:themeColor="text2" w:themeTint="99"/>
          <w:sz w:val="20"/>
          <w:szCs w:val="20"/>
        </w:rPr>
        <w:t>Fig 4b</w:t>
      </w:r>
      <w:r w:rsidRPr="00B761CB">
        <w:rPr>
          <w:rFonts w:ascii="Arial" w:hAnsi="Arial" w:cs="Arial"/>
          <w:sz w:val="20"/>
          <w:szCs w:val="20"/>
        </w:rPr>
        <w:t xml:space="preserve">). The implementation of 5S was not much different from JIT. 5S provided the highest performance impact of 88% in months 12-19. It decreased periodically until the 24th month (&lt;72%). The lowest performance was shown in the 1st month at &lt;72%. Complete results can be seen in </w:t>
      </w:r>
      <w:r w:rsidRPr="00B761CB">
        <w:rPr>
          <w:rFonts w:ascii="Arial" w:hAnsi="Arial" w:cs="Arial"/>
          <w:color w:val="8496B0" w:themeColor="text2" w:themeTint="99"/>
          <w:sz w:val="20"/>
          <w:szCs w:val="20"/>
        </w:rPr>
        <w:t>Fig. 4a</w:t>
      </w:r>
      <w:r w:rsidRPr="00B761CB">
        <w:rPr>
          <w:rFonts w:ascii="Arial" w:hAnsi="Arial" w:cs="Arial"/>
          <w:sz w:val="20"/>
          <w:szCs w:val="20"/>
        </w:rPr>
        <w:t xml:space="preserve">. </w:t>
      </w:r>
    </w:p>
    <w:p w14:paraId="1D52ACF7" w14:textId="77777777" w:rsidR="00E51251" w:rsidRPr="00B761CB" w:rsidRDefault="00E51251" w:rsidP="00E51251">
      <w:pPr>
        <w:ind w:left="0" w:hanging="2"/>
        <w:jc w:val="both"/>
        <w:rPr>
          <w:rFonts w:ascii="Arial" w:hAnsi="Arial" w:cs="Arial"/>
          <w:sz w:val="20"/>
          <w:szCs w:val="20"/>
        </w:rPr>
      </w:pPr>
    </w:p>
    <w:p w14:paraId="07C24FAF" w14:textId="77777777" w:rsidR="00E51251" w:rsidRDefault="00E51251" w:rsidP="00E51251">
      <w:pPr>
        <w:ind w:left="0" w:hanging="2"/>
        <w:jc w:val="both"/>
        <w:rPr>
          <w:rFonts w:ascii="Arial" w:hAnsi="Arial" w:cs="Arial"/>
          <w:noProof/>
          <w:sz w:val="20"/>
          <w:szCs w:val="20"/>
        </w:rPr>
        <w:sectPr w:rsidR="00E51251">
          <w:type w:val="continuous"/>
          <w:pgSz w:w="11907" w:h="16840"/>
          <w:pgMar w:top="1701" w:right="1134" w:bottom="1701" w:left="1701" w:header="680" w:footer="680" w:gutter="0"/>
          <w:cols w:num="2" w:space="720" w:equalWidth="0">
            <w:col w:w="4394" w:space="284"/>
            <w:col w:w="4394" w:space="0"/>
          </w:cols>
          <w:titlePg/>
        </w:sectPr>
      </w:pPr>
    </w:p>
    <w:tbl>
      <w:tblPr>
        <w:tblStyle w:val="TableGrid"/>
        <w:tblW w:w="9180" w:type="dxa"/>
        <w:tblLayout w:type="fixed"/>
        <w:tblLook w:val="04A0" w:firstRow="1" w:lastRow="0" w:firstColumn="1" w:lastColumn="0" w:noHBand="0" w:noVBand="1"/>
      </w:tblPr>
      <w:tblGrid>
        <w:gridCol w:w="9180"/>
      </w:tblGrid>
      <w:tr w:rsidR="00E51251" w:rsidRPr="00B761CB" w14:paraId="68A35249" w14:textId="77777777" w:rsidTr="00AC34CE">
        <w:trPr>
          <w:trHeight w:val="456"/>
        </w:trPr>
        <w:tc>
          <w:tcPr>
            <w:tcW w:w="9180" w:type="dxa"/>
            <w:tcBorders>
              <w:top w:val="single" w:sz="4" w:space="0" w:color="auto"/>
              <w:left w:val="single" w:sz="4" w:space="0" w:color="auto"/>
              <w:bottom w:val="single" w:sz="4" w:space="0" w:color="auto"/>
              <w:right w:val="single" w:sz="4" w:space="0" w:color="auto"/>
            </w:tcBorders>
            <w:hideMark/>
          </w:tcPr>
          <w:p w14:paraId="447798C8" w14:textId="21DA508C" w:rsidR="00E51251" w:rsidRPr="00B761CB" w:rsidRDefault="00E51251" w:rsidP="00313C6E">
            <w:pPr>
              <w:spacing w:after="0" w:line="240" w:lineRule="auto"/>
              <w:ind w:left="0" w:hanging="2"/>
              <w:jc w:val="center"/>
              <w:rPr>
                <w:rFonts w:ascii="Arial" w:hAnsi="Arial" w:cs="Arial"/>
                <w:noProof/>
                <w:sz w:val="20"/>
                <w:szCs w:val="20"/>
              </w:rPr>
            </w:pPr>
            <w:r w:rsidRPr="00B761CB">
              <w:rPr>
                <w:rFonts w:ascii="Arial" w:hAnsi="Arial" w:cs="Arial"/>
                <w:noProof/>
                <w:sz w:val="20"/>
                <w:szCs w:val="20"/>
              </w:rPr>
              <w:drawing>
                <wp:inline distT="0" distB="0" distL="0" distR="0" wp14:anchorId="3EF1D125" wp14:editId="5DF13EDF">
                  <wp:extent cx="1834624" cy="13395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842700" cy="1345464"/>
                          </a:xfrm>
                          <a:prstGeom prst="rect">
                            <a:avLst/>
                          </a:prstGeom>
                        </pic:spPr>
                      </pic:pic>
                    </a:graphicData>
                  </a:graphic>
                </wp:inline>
              </w:drawing>
            </w:r>
            <w:r w:rsidRPr="00B761CB">
              <w:rPr>
                <w:rFonts w:ascii="Arial" w:hAnsi="Arial" w:cs="Arial"/>
                <w:noProof/>
                <w:sz w:val="20"/>
                <w:szCs w:val="20"/>
              </w:rPr>
              <w:drawing>
                <wp:inline distT="0" distB="0" distL="0" distR="0" wp14:anchorId="0B05E754" wp14:editId="7C882DB8">
                  <wp:extent cx="1648250" cy="1338672"/>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651343" cy="1341184"/>
                          </a:xfrm>
                          <a:prstGeom prst="rect">
                            <a:avLst/>
                          </a:prstGeom>
                        </pic:spPr>
                      </pic:pic>
                    </a:graphicData>
                  </a:graphic>
                </wp:inline>
              </w:drawing>
            </w:r>
            <w:r w:rsidRPr="00B761CB">
              <w:rPr>
                <w:rFonts w:ascii="Arial" w:hAnsi="Arial" w:cs="Arial"/>
                <w:noProof/>
                <w:sz w:val="20"/>
                <w:szCs w:val="20"/>
              </w:rPr>
              <w:drawing>
                <wp:inline distT="0" distB="0" distL="0" distR="0" wp14:anchorId="0F4EF27E" wp14:editId="62B98EFB">
                  <wp:extent cx="1735612" cy="12987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740273" cy="1302285"/>
                          </a:xfrm>
                          <a:prstGeom prst="rect">
                            <a:avLst/>
                          </a:prstGeom>
                        </pic:spPr>
                      </pic:pic>
                    </a:graphicData>
                  </a:graphic>
                </wp:inline>
              </w:drawing>
            </w:r>
          </w:p>
          <w:p w14:paraId="3B2D10F1" w14:textId="6C6B43D2" w:rsidR="00E51251" w:rsidRPr="00B761CB" w:rsidRDefault="00E51251" w:rsidP="00313C6E">
            <w:pPr>
              <w:spacing w:after="0" w:line="240" w:lineRule="auto"/>
              <w:ind w:left="0" w:hanging="2"/>
              <w:jc w:val="center"/>
              <w:rPr>
                <w:rFonts w:ascii="Arial" w:hAnsi="Arial" w:cs="Arial"/>
                <w:sz w:val="20"/>
                <w:szCs w:val="20"/>
              </w:rPr>
            </w:pPr>
            <w:r w:rsidRPr="00B761CB">
              <w:rPr>
                <w:rFonts w:ascii="Arial" w:hAnsi="Arial" w:cs="Arial"/>
                <w:sz w:val="20"/>
                <w:szCs w:val="20"/>
              </w:rPr>
              <w:t>a                                                 b                                                   c</w:t>
            </w:r>
          </w:p>
          <w:p w14:paraId="4AEFB0B0" w14:textId="5D5399BB" w:rsidR="00E51251" w:rsidRPr="00B761CB" w:rsidRDefault="00E51251" w:rsidP="00313C6E">
            <w:pPr>
              <w:spacing w:after="0" w:line="240" w:lineRule="auto"/>
              <w:ind w:left="0" w:hanging="2"/>
              <w:jc w:val="center"/>
              <w:rPr>
                <w:rFonts w:ascii="Arial" w:hAnsi="Arial" w:cs="Arial"/>
                <w:noProof/>
                <w:sz w:val="20"/>
                <w:szCs w:val="20"/>
              </w:rPr>
            </w:pPr>
            <w:r w:rsidRPr="00B761CB">
              <w:rPr>
                <w:rFonts w:ascii="Arial" w:hAnsi="Arial" w:cs="Arial"/>
                <w:noProof/>
                <w:sz w:val="20"/>
                <w:szCs w:val="20"/>
              </w:rPr>
              <w:drawing>
                <wp:inline distT="0" distB="0" distL="0" distR="0" wp14:anchorId="03AF30C4" wp14:editId="72EE9329">
                  <wp:extent cx="1834624" cy="12217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837279" cy="1223496"/>
                          </a:xfrm>
                          <a:prstGeom prst="rect">
                            <a:avLst/>
                          </a:prstGeom>
                        </pic:spPr>
                      </pic:pic>
                    </a:graphicData>
                  </a:graphic>
                </wp:inline>
              </w:drawing>
            </w:r>
            <w:r w:rsidRPr="00B761CB">
              <w:rPr>
                <w:rFonts w:ascii="Arial" w:hAnsi="Arial" w:cs="Arial"/>
                <w:noProof/>
                <w:sz w:val="20"/>
                <w:szCs w:val="20"/>
              </w:rPr>
              <w:drawing>
                <wp:inline distT="0" distB="0" distL="0" distR="0" wp14:anchorId="4590826E" wp14:editId="53E89D96">
                  <wp:extent cx="1718141" cy="117649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721995" cy="1179129"/>
                          </a:xfrm>
                          <a:prstGeom prst="rect">
                            <a:avLst/>
                          </a:prstGeom>
                        </pic:spPr>
                      </pic:pic>
                    </a:graphicData>
                  </a:graphic>
                </wp:inline>
              </w:drawing>
            </w:r>
            <w:r w:rsidRPr="00B761CB">
              <w:rPr>
                <w:rFonts w:ascii="Arial" w:hAnsi="Arial" w:cs="Arial"/>
                <w:noProof/>
                <w:sz w:val="20"/>
                <w:szCs w:val="20"/>
              </w:rPr>
              <w:drawing>
                <wp:inline distT="0" distB="0" distL="0" distR="0" wp14:anchorId="1DF2655A" wp14:editId="7726E9B6">
                  <wp:extent cx="1735612" cy="1217025"/>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738491" cy="1219044"/>
                          </a:xfrm>
                          <a:prstGeom prst="rect">
                            <a:avLst/>
                          </a:prstGeom>
                        </pic:spPr>
                      </pic:pic>
                    </a:graphicData>
                  </a:graphic>
                </wp:inline>
              </w:drawing>
            </w:r>
          </w:p>
          <w:p w14:paraId="685A202F" w14:textId="6B3D8FF8" w:rsidR="00E51251" w:rsidRPr="00B761CB" w:rsidRDefault="00E51251" w:rsidP="00313C6E">
            <w:pPr>
              <w:spacing w:after="0" w:line="240" w:lineRule="auto"/>
              <w:ind w:left="0" w:hanging="2"/>
              <w:jc w:val="center"/>
              <w:rPr>
                <w:rFonts w:ascii="Arial" w:hAnsi="Arial" w:cs="Arial"/>
                <w:noProof/>
                <w:sz w:val="20"/>
                <w:szCs w:val="20"/>
              </w:rPr>
            </w:pPr>
            <w:r w:rsidRPr="00B761CB">
              <w:rPr>
                <w:rFonts w:ascii="Arial" w:hAnsi="Arial" w:cs="Arial"/>
                <w:noProof/>
                <w:sz w:val="20"/>
                <w:szCs w:val="20"/>
              </w:rPr>
              <w:t>d                                                    e                                                    f</w:t>
            </w:r>
          </w:p>
          <w:p w14:paraId="64919984" w14:textId="43DD90B8" w:rsidR="00E51251" w:rsidRPr="00B761CB" w:rsidRDefault="00E51251" w:rsidP="00313C6E">
            <w:pPr>
              <w:spacing w:after="0" w:line="240" w:lineRule="auto"/>
              <w:ind w:left="0" w:hanging="2"/>
              <w:jc w:val="center"/>
              <w:rPr>
                <w:rFonts w:ascii="Arial" w:hAnsi="Arial" w:cs="Arial"/>
                <w:noProof/>
                <w:sz w:val="20"/>
                <w:szCs w:val="20"/>
              </w:rPr>
            </w:pPr>
            <w:r w:rsidRPr="00B761CB">
              <w:rPr>
                <w:rFonts w:ascii="Arial" w:hAnsi="Arial" w:cs="Arial"/>
                <w:noProof/>
                <w:sz w:val="20"/>
                <w:szCs w:val="20"/>
              </w:rPr>
              <w:drawing>
                <wp:inline distT="0" distB="0" distL="0" distR="0" wp14:anchorId="2AE0D7EA" wp14:editId="0EC7FBF6">
                  <wp:extent cx="1648250" cy="1345244"/>
                  <wp:effectExtent l="0" t="0" r="952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649156" cy="1345983"/>
                          </a:xfrm>
                          <a:prstGeom prst="rect">
                            <a:avLst/>
                          </a:prstGeom>
                        </pic:spPr>
                      </pic:pic>
                    </a:graphicData>
                  </a:graphic>
                </wp:inline>
              </w:drawing>
            </w:r>
            <w:r w:rsidRPr="00B761CB">
              <w:rPr>
                <w:rFonts w:ascii="Arial" w:hAnsi="Arial" w:cs="Arial"/>
                <w:noProof/>
                <w:sz w:val="20"/>
                <w:szCs w:val="20"/>
              </w:rPr>
              <w:drawing>
                <wp:inline distT="0" distB="0" distL="0" distR="0" wp14:anchorId="2919B894" wp14:editId="5ACABFAF">
                  <wp:extent cx="1659898" cy="114736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661479" cy="1148462"/>
                          </a:xfrm>
                          <a:prstGeom prst="rect">
                            <a:avLst/>
                          </a:prstGeom>
                        </pic:spPr>
                      </pic:pic>
                    </a:graphicData>
                  </a:graphic>
                </wp:inline>
              </w:drawing>
            </w:r>
            <w:r w:rsidRPr="00B761CB">
              <w:rPr>
                <w:rFonts w:ascii="Arial" w:hAnsi="Arial" w:cs="Arial"/>
                <w:noProof/>
                <w:sz w:val="20"/>
                <w:szCs w:val="20"/>
              </w:rPr>
              <w:drawing>
                <wp:inline distT="0" distB="0" distL="0" distR="0" wp14:anchorId="2F288613" wp14:editId="40AC5727">
                  <wp:extent cx="1892867" cy="122308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900608" cy="1228084"/>
                          </a:xfrm>
                          <a:prstGeom prst="rect">
                            <a:avLst/>
                          </a:prstGeom>
                        </pic:spPr>
                      </pic:pic>
                    </a:graphicData>
                  </a:graphic>
                </wp:inline>
              </w:drawing>
            </w:r>
          </w:p>
          <w:p w14:paraId="40BB531E" w14:textId="2605CCF2" w:rsidR="00E51251" w:rsidRPr="00B761CB" w:rsidRDefault="00E51251" w:rsidP="00313C6E">
            <w:pPr>
              <w:spacing w:after="0" w:line="240" w:lineRule="auto"/>
              <w:ind w:left="0" w:hanging="2"/>
              <w:jc w:val="center"/>
              <w:rPr>
                <w:rFonts w:ascii="Arial" w:hAnsi="Arial" w:cs="Arial"/>
                <w:noProof/>
                <w:sz w:val="20"/>
                <w:szCs w:val="20"/>
              </w:rPr>
            </w:pPr>
            <w:r w:rsidRPr="00B761CB">
              <w:rPr>
                <w:rFonts w:ascii="Arial" w:hAnsi="Arial" w:cs="Arial"/>
                <w:noProof/>
                <w:sz w:val="20"/>
                <w:szCs w:val="20"/>
              </w:rPr>
              <w:t>g                                                          h                                                      i</w:t>
            </w:r>
          </w:p>
          <w:p w14:paraId="6D706A88" w14:textId="139F9F05" w:rsidR="00E51251" w:rsidRPr="00B761CB" w:rsidRDefault="00E51251" w:rsidP="00313C6E">
            <w:pPr>
              <w:spacing w:after="0" w:line="240" w:lineRule="auto"/>
              <w:ind w:left="0" w:hanging="2"/>
              <w:jc w:val="center"/>
              <w:rPr>
                <w:rFonts w:ascii="Arial" w:hAnsi="Arial" w:cs="Arial"/>
                <w:noProof/>
                <w:sz w:val="20"/>
                <w:szCs w:val="20"/>
              </w:rPr>
            </w:pPr>
            <w:r w:rsidRPr="00B761CB">
              <w:rPr>
                <w:rFonts w:ascii="Arial" w:hAnsi="Arial" w:cs="Arial"/>
                <w:noProof/>
                <w:sz w:val="20"/>
                <w:szCs w:val="20"/>
              </w:rPr>
              <w:drawing>
                <wp:inline distT="0" distB="0" distL="0" distR="0" wp14:anchorId="2E983B40" wp14:editId="2125D60D">
                  <wp:extent cx="1310446" cy="1077477"/>
                  <wp:effectExtent l="0" t="0" r="4445"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312419" cy="1079099"/>
                          </a:xfrm>
                          <a:prstGeom prst="rect">
                            <a:avLst/>
                          </a:prstGeom>
                        </pic:spPr>
                      </pic:pic>
                    </a:graphicData>
                  </a:graphic>
                </wp:inline>
              </w:drawing>
            </w:r>
            <w:r w:rsidRPr="00B761CB">
              <w:rPr>
                <w:rFonts w:ascii="Arial" w:hAnsi="Arial" w:cs="Arial"/>
                <w:noProof/>
                <w:sz w:val="20"/>
                <w:szCs w:val="20"/>
              </w:rPr>
              <w:drawing>
                <wp:inline distT="0" distB="0" distL="0" distR="0" wp14:anchorId="4391755B" wp14:editId="3E500C96">
                  <wp:extent cx="1520118" cy="1054181"/>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520190" cy="1054231"/>
                          </a:xfrm>
                          <a:prstGeom prst="rect">
                            <a:avLst/>
                          </a:prstGeom>
                        </pic:spPr>
                      </pic:pic>
                    </a:graphicData>
                  </a:graphic>
                </wp:inline>
              </w:drawing>
            </w:r>
            <w:r w:rsidRPr="00B761CB">
              <w:rPr>
                <w:rFonts w:ascii="Arial" w:hAnsi="Arial" w:cs="Arial"/>
                <w:noProof/>
                <w:sz w:val="20"/>
                <w:szCs w:val="20"/>
              </w:rPr>
              <w:drawing>
                <wp:inline distT="0" distB="0" distL="0" distR="0" wp14:anchorId="1FFF98E2" wp14:editId="2B98C708">
                  <wp:extent cx="1322094" cy="105352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323022" cy="1054263"/>
                          </a:xfrm>
                          <a:prstGeom prst="rect">
                            <a:avLst/>
                          </a:prstGeom>
                        </pic:spPr>
                      </pic:pic>
                    </a:graphicData>
                  </a:graphic>
                </wp:inline>
              </w:drawing>
            </w:r>
            <w:r w:rsidRPr="00B761CB">
              <w:rPr>
                <w:rFonts w:ascii="Arial" w:hAnsi="Arial" w:cs="Arial"/>
                <w:noProof/>
                <w:sz w:val="20"/>
                <w:szCs w:val="20"/>
              </w:rPr>
              <w:drawing>
                <wp:inline distT="0" distB="0" distL="0" distR="0" wp14:anchorId="1F1848D6" wp14:editId="01AF05CC">
                  <wp:extent cx="1298797" cy="10189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299252" cy="1019287"/>
                          </a:xfrm>
                          <a:prstGeom prst="rect">
                            <a:avLst/>
                          </a:prstGeom>
                        </pic:spPr>
                      </pic:pic>
                    </a:graphicData>
                  </a:graphic>
                </wp:inline>
              </w:drawing>
            </w:r>
          </w:p>
          <w:p w14:paraId="0CB3CBEF" w14:textId="53DCDDB7" w:rsidR="00E51251" w:rsidRPr="00B761CB" w:rsidRDefault="00E51251" w:rsidP="00313C6E">
            <w:pPr>
              <w:spacing w:after="0" w:line="240" w:lineRule="auto"/>
              <w:ind w:left="0" w:hanging="2"/>
              <w:jc w:val="center"/>
              <w:rPr>
                <w:rFonts w:ascii="Arial" w:hAnsi="Arial" w:cs="Arial"/>
                <w:noProof/>
                <w:sz w:val="20"/>
                <w:szCs w:val="20"/>
              </w:rPr>
            </w:pPr>
            <w:r w:rsidRPr="00B761CB">
              <w:rPr>
                <w:rFonts w:ascii="Arial" w:hAnsi="Arial" w:cs="Arial"/>
                <w:noProof/>
                <w:sz w:val="20"/>
                <w:szCs w:val="20"/>
              </w:rPr>
              <w:t>j                                            k                                  l                                        m</w:t>
            </w:r>
          </w:p>
        </w:tc>
      </w:tr>
    </w:tbl>
    <w:p w14:paraId="5C9898C7" w14:textId="1B9A8D49" w:rsidR="00E51251" w:rsidRPr="00B761CB" w:rsidRDefault="00E51251" w:rsidP="00DA29D4">
      <w:pPr>
        <w:pStyle w:val="BodyText"/>
        <w:spacing w:after="0" w:line="240" w:lineRule="auto"/>
        <w:ind w:hanging="2"/>
        <w:jc w:val="both"/>
        <w:rPr>
          <w:rFonts w:ascii="Arial" w:hAnsi="Arial" w:cs="Arial"/>
          <w:sz w:val="20"/>
          <w:szCs w:val="20"/>
        </w:rPr>
      </w:pPr>
      <w:r w:rsidRPr="00B761CB">
        <w:rPr>
          <w:rFonts w:ascii="Arial" w:hAnsi="Arial" w:cs="Arial"/>
          <w:b/>
          <w:sz w:val="20"/>
          <w:szCs w:val="20"/>
        </w:rPr>
        <w:t>Figure 4</w:t>
      </w:r>
      <w:r w:rsidRPr="00B761CB">
        <w:rPr>
          <w:rFonts w:ascii="Arial" w:hAnsi="Arial" w:cs="Arial"/>
          <w:sz w:val="20"/>
          <w:szCs w:val="20"/>
        </w:rPr>
        <w:t xml:space="preserve">. Response Surface Methodology and Box-Behnken Design for LM performance optimization. Surface plot of performance vs 5S (a), JIT  in company A (b), 5S in company B (c), JIT in company B </w:t>
      </w:r>
      <w:r w:rsidRPr="00B761CB">
        <w:rPr>
          <w:rFonts w:ascii="Arial" w:hAnsi="Arial" w:cs="Arial"/>
          <w:sz w:val="20"/>
          <w:szCs w:val="20"/>
        </w:rPr>
        <w:lastRenderedPageBreak/>
        <w:t>(d), JIT in 5S in company C (e), 5S  in company C (f), TQM  in company C (g), TPM 5S in company C (h), Kanban in company C (</w:t>
      </w:r>
      <w:proofErr w:type="spellStart"/>
      <w:r w:rsidRPr="00B761CB">
        <w:rPr>
          <w:rFonts w:ascii="Arial" w:hAnsi="Arial" w:cs="Arial"/>
          <w:sz w:val="20"/>
          <w:szCs w:val="20"/>
        </w:rPr>
        <w:t>i</w:t>
      </w:r>
      <w:proofErr w:type="spellEnd"/>
      <w:r w:rsidRPr="00B761CB">
        <w:rPr>
          <w:rFonts w:ascii="Arial" w:hAnsi="Arial" w:cs="Arial"/>
          <w:sz w:val="20"/>
          <w:szCs w:val="20"/>
        </w:rPr>
        <w:t>), JIT in company D (j), 5S JIT in company D (k), TQM JIT in company D (l), and Kanban JIT in company D (m).</w:t>
      </w:r>
    </w:p>
    <w:p w14:paraId="6529F776" w14:textId="77777777" w:rsidR="00E51251" w:rsidRDefault="00E51251" w:rsidP="00E51251">
      <w:pPr>
        <w:pStyle w:val="BodyText"/>
        <w:ind w:hanging="2"/>
        <w:jc w:val="both"/>
        <w:rPr>
          <w:rFonts w:ascii="Arial" w:hAnsi="Arial" w:cs="Arial"/>
          <w:sz w:val="20"/>
          <w:szCs w:val="20"/>
        </w:rPr>
        <w:sectPr w:rsidR="00E51251" w:rsidSect="00AC34CE">
          <w:type w:val="continuous"/>
          <w:pgSz w:w="11907" w:h="16840"/>
          <w:pgMar w:top="1701" w:right="1134" w:bottom="1701" w:left="1701" w:header="680" w:footer="680" w:gutter="0"/>
          <w:cols w:space="720"/>
          <w:titlePg/>
        </w:sectPr>
      </w:pPr>
    </w:p>
    <w:p w14:paraId="16075CA9" w14:textId="77777777" w:rsidR="00E51251" w:rsidRPr="00B761CB" w:rsidRDefault="00E51251" w:rsidP="00E51251">
      <w:pPr>
        <w:pStyle w:val="BodyText"/>
        <w:ind w:hanging="2"/>
        <w:jc w:val="both"/>
        <w:rPr>
          <w:rFonts w:ascii="Arial" w:hAnsi="Arial" w:cs="Arial"/>
          <w:sz w:val="20"/>
          <w:szCs w:val="20"/>
        </w:rPr>
      </w:pPr>
    </w:p>
    <w:p w14:paraId="337A7D5C" w14:textId="77777777" w:rsidR="00E51251" w:rsidRPr="00B761CB" w:rsidRDefault="00E51251" w:rsidP="00E51251">
      <w:pPr>
        <w:spacing w:line="240" w:lineRule="auto"/>
        <w:ind w:left="0" w:hanging="2"/>
        <w:jc w:val="both"/>
        <w:rPr>
          <w:rFonts w:ascii="Arial" w:hAnsi="Arial" w:cs="Arial"/>
          <w:sz w:val="20"/>
          <w:szCs w:val="20"/>
        </w:rPr>
      </w:pPr>
      <w:r w:rsidRPr="00B761CB">
        <w:rPr>
          <w:rFonts w:ascii="Arial" w:hAnsi="Arial" w:cs="Arial"/>
          <w:sz w:val="20"/>
          <w:szCs w:val="20"/>
        </w:rPr>
        <w:t>Implementation of JIT in company B provided the highest performance of 80% in the 10-20th month. However, there was a gradual decline in the following months, the decline continued until month 24 (70%). JIT implementation was very bad at the beginning of the month (month 1-2) (</w:t>
      </w:r>
      <w:r w:rsidRPr="00B761CB">
        <w:rPr>
          <w:rFonts w:ascii="Arial" w:hAnsi="Arial" w:cs="Arial"/>
          <w:color w:val="8496B0" w:themeColor="text2" w:themeTint="99"/>
          <w:sz w:val="20"/>
          <w:szCs w:val="20"/>
        </w:rPr>
        <w:t>Fig.4d</w:t>
      </w:r>
      <w:r w:rsidRPr="00B761CB">
        <w:rPr>
          <w:rFonts w:ascii="Arial" w:hAnsi="Arial" w:cs="Arial"/>
          <w:sz w:val="20"/>
          <w:szCs w:val="20"/>
        </w:rPr>
        <w:t>). The implementation of 5S had an impact on increasing performance (75%) in the 12-18</w:t>
      </w:r>
      <w:r w:rsidRPr="00B761CB">
        <w:rPr>
          <w:rFonts w:ascii="Arial" w:hAnsi="Arial" w:cs="Arial"/>
          <w:sz w:val="20"/>
          <w:szCs w:val="20"/>
          <w:vertAlign w:val="superscript"/>
        </w:rPr>
        <w:t>th</w:t>
      </w:r>
      <w:r w:rsidRPr="00B761CB">
        <w:rPr>
          <w:rFonts w:ascii="Arial" w:hAnsi="Arial" w:cs="Arial"/>
          <w:sz w:val="20"/>
          <w:szCs w:val="20"/>
        </w:rPr>
        <w:t xml:space="preserve"> month, although there was a consistent decline until the 24th month (55%). The lowest performance is shown by 5S activities in months 1-3. We show the complete results in </w:t>
      </w:r>
      <w:r w:rsidRPr="00B761CB">
        <w:rPr>
          <w:rFonts w:ascii="Arial" w:hAnsi="Arial" w:cs="Arial"/>
          <w:color w:val="8496B0" w:themeColor="text2" w:themeTint="99"/>
          <w:sz w:val="20"/>
          <w:szCs w:val="20"/>
        </w:rPr>
        <w:t>Fig.4c</w:t>
      </w:r>
    </w:p>
    <w:p w14:paraId="7D281493" w14:textId="77777777" w:rsidR="00E51251" w:rsidRPr="00B761CB" w:rsidRDefault="00E51251" w:rsidP="00E51251">
      <w:pPr>
        <w:spacing w:line="240" w:lineRule="auto"/>
        <w:ind w:left="0" w:hanging="2"/>
        <w:jc w:val="both"/>
        <w:rPr>
          <w:rFonts w:ascii="Arial" w:hAnsi="Arial" w:cs="Arial"/>
          <w:sz w:val="20"/>
          <w:szCs w:val="20"/>
        </w:rPr>
      </w:pPr>
      <w:r w:rsidRPr="00B761CB">
        <w:rPr>
          <w:rFonts w:ascii="Arial" w:hAnsi="Arial" w:cs="Arial"/>
          <w:sz w:val="20"/>
          <w:szCs w:val="20"/>
        </w:rPr>
        <w:t>The implementation of JIT, 5S, TQM, TPM, and Kanban in Company C was carried out simultaneously. Overall, it was only able to have an impact on performance of 60%. JIT consistently provides performance (55%) from the beginning to the 24</w:t>
      </w:r>
      <w:r w:rsidRPr="00B761CB">
        <w:rPr>
          <w:rFonts w:ascii="Arial" w:hAnsi="Arial" w:cs="Arial"/>
          <w:sz w:val="20"/>
          <w:szCs w:val="20"/>
          <w:vertAlign w:val="superscript"/>
        </w:rPr>
        <w:t>th</w:t>
      </w:r>
      <w:r w:rsidRPr="00B761CB">
        <w:rPr>
          <w:rFonts w:ascii="Arial" w:hAnsi="Arial" w:cs="Arial"/>
          <w:sz w:val="20"/>
          <w:szCs w:val="20"/>
        </w:rPr>
        <w:t xml:space="preserve"> month (</w:t>
      </w:r>
      <w:r w:rsidRPr="00B761CB">
        <w:rPr>
          <w:rFonts w:ascii="Arial" w:hAnsi="Arial" w:cs="Arial"/>
          <w:color w:val="8496B0" w:themeColor="text2" w:themeTint="99"/>
          <w:sz w:val="20"/>
          <w:szCs w:val="20"/>
        </w:rPr>
        <w:t>Fig.4e</w:t>
      </w:r>
      <w:r w:rsidRPr="00B761CB">
        <w:rPr>
          <w:rFonts w:ascii="Arial" w:hAnsi="Arial" w:cs="Arial"/>
          <w:sz w:val="20"/>
          <w:szCs w:val="20"/>
        </w:rPr>
        <w:t>). The same phenomenon also occurs in the implementation of 5S (</w:t>
      </w:r>
      <w:r w:rsidRPr="00B761CB">
        <w:rPr>
          <w:rFonts w:ascii="Arial" w:hAnsi="Arial" w:cs="Arial"/>
          <w:color w:val="8496B0" w:themeColor="text2" w:themeTint="99"/>
          <w:sz w:val="20"/>
          <w:szCs w:val="20"/>
        </w:rPr>
        <w:t>Fig.4f</w:t>
      </w:r>
      <w:r w:rsidRPr="00B761CB">
        <w:rPr>
          <w:rFonts w:ascii="Arial" w:hAnsi="Arial" w:cs="Arial"/>
          <w:sz w:val="20"/>
          <w:szCs w:val="20"/>
        </w:rPr>
        <w:t>) and TQM (</w:t>
      </w:r>
      <w:r w:rsidRPr="00B761CB">
        <w:rPr>
          <w:rFonts w:ascii="Arial" w:hAnsi="Arial" w:cs="Arial"/>
          <w:color w:val="8496B0" w:themeColor="text2" w:themeTint="99"/>
          <w:sz w:val="20"/>
          <w:szCs w:val="20"/>
        </w:rPr>
        <w:t>Fig.4g</w:t>
      </w:r>
      <w:r w:rsidRPr="00B761CB">
        <w:rPr>
          <w:rFonts w:ascii="Arial" w:hAnsi="Arial" w:cs="Arial"/>
          <w:sz w:val="20"/>
          <w:szCs w:val="20"/>
        </w:rPr>
        <w:t>). The best implementation of TPM occurs in the 10-15</w:t>
      </w:r>
      <w:r w:rsidRPr="00B761CB">
        <w:rPr>
          <w:rFonts w:ascii="Arial" w:hAnsi="Arial" w:cs="Arial"/>
          <w:sz w:val="20"/>
          <w:szCs w:val="20"/>
          <w:vertAlign w:val="superscript"/>
        </w:rPr>
        <w:t>th</w:t>
      </w:r>
      <w:r w:rsidRPr="00B761CB">
        <w:rPr>
          <w:rFonts w:ascii="Arial" w:hAnsi="Arial" w:cs="Arial"/>
          <w:sz w:val="20"/>
          <w:szCs w:val="20"/>
        </w:rPr>
        <w:t xml:space="preserve"> month which had an impact on performance of 50% in the 12-15</w:t>
      </w:r>
      <w:r w:rsidRPr="00B761CB">
        <w:rPr>
          <w:rFonts w:ascii="Arial" w:hAnsi="Arial" w:cs="Arial"/>
          <w:sz w:val="20"/>
          <w:szCs w:val="20"/>
          <w:vertAlign w:val="superscript"/>
        </w:rPr>
        <w:t>th</w:t>
      </w:r>
      <w:r w:rsidRPr="00B761CB">
        <w:rPr>
          <w:rFonts w:ascii="Arial" w:hAnsi="Arial" w:cs="Arial"/>
          <w:sz w:val="20"/>
          <w:szCs w:val="20"/>
        </w:rPr>
        <w:t xml:space="preserve"> month (</w:t>
      </w:r>
      <w:r w:rsidRPr="00B761CB">
        <w:rPr>
          <w:rFonts w:ascii="Arial" w:hAnsi="Arial" w:cs="Arial"/>
          <w:color w:val="8496B0" w:themeColor="text2" w:themeTint="99"/>
          <w:sz w:val="20"/>
          <w:szCs w:val="20"/>
        </w:rPr>
        <w:t>Fig.4h</w:t>
      </w:r>
      <w:r w:rsidRPr="00B761CB">
        <w:rPr>
          <w:rFonts w:ascii="Arial" w:hAnsi="Arial" w:cs="Arial"/>
          <w:sz w:val="20"/>
          <w:szCs w:val="20"/>
        </w:rPr>
        <w:t xml:space="preserve">). A different phenomenon was shown by </w:t>
      </w:r>
      <w:proofErr w:type="spellStart"/>
      <w:r w:rsidRPr="00B761CB">
        <w:rPr>
          <w:rFonts w:ascii="Arial" w:hAnsi="Arial" w:cs="Arial"/>
          <w:sz w:val="20"/>
          <w:szCs w:val="20"/>
        </w:rPr>
        <w:t>kanban</w:t>
      </w:r>
      <w:proofErr w:type="spellEnd"/>
      <w:r w:rsidRPr="00B761CB">
        <w:rPr>
          <w:rFonts w:ascii="Arial" w:hAnsi="Arial" w:cs="Arial"/>
          <w:sz w:val="20"/>
          <w:szCs w:val="20"/>
        </w:rPr>
        <w:t xml:space="preserve"> which experienced a decline in performance reaching &lt;54% in the 12-15</w:t>
      </w:r>
      <w:r w:rsidRPr="00B761CB">
        <w:rPr>
          <w:rFonts w:ascii="Arial" w:hAnsi="Arial" w:cs="Arial"/>
          <w:sz w:val="20"/>
          <w:szCs w:val="20"/>
          <w:vertAlign w:val="superscript"/>
        </w:rPr>
        <w:t>th</w:t>
      </w:r>
      <w:r w:rsidRPr="00B761CB">
        <w:rPr>
          <w:rFonts w:ascii="Arial" w:hAnsi="Arial" w:cs="Arial"/>
          <w:sz w:val="20"/>
          <w:szCs w:val="20"/>
        </w:rPr>
        <w:t xml:space="preserve"> month (</w:t>
      </w:r>
      <w:r w:rsidRPr="00B761CB">
        <w:rPr>
          <w:rFonts w:ascii="Arial" w:hAnsi="Arial" w:cs="Arial"/>
          <w:color w:val="8496B0" w:themeColor="text2" w:themeTint="99"/>
          <w:sz w:val="20"/>
          <w:szCs w:val="20"/>
        </w:rPr>
        <w:t>Fig.4i</w:t>
      </w:r>
      <w:r w:rsidRPr="00B761CB">
        <w:rPr>
          <w:rFonts w:ascii="Arial" w:hAnsi="Arial" w:cs="Arial"/>
          <w:sz w:val="20"/>
          <w:szCs w:val="20"/>
        </w:rPr>
        <w:t xml:space="preserve">). The sequence of LM tool effects that have the largest impact on performance was JIT, TQM, 5S, TPM and the lowest was the Kanban system. </w:t>
      </w:r>
    </w:p>
    <w:p w14:paraId="05AA49A9" w14:textId="0A5D8C32" w:rsidR="00E51251" w:rsidRDefault="00E51251" w:rsidP="00E51251">
      <w:pPr>
        <w:spacing w:line="240" w:lineRule="auto"/>
        <w:ind w:left="0" w:hanging="2"/>
        <w:jc w:val="both"/>
        <w:rPr>
          <w:rFonts w:ascii="Arial" w:hAnsi="Arial" w:cs="Arial"/>
          <w:sz w:val="20"/>
          <w:szCs w:val="20"/>
        </w:rPr>
      </w:pPr>
      <w:r w:rsidRPr="00B761CB">
        <w:rPr>
          <w:rFonts w:ascii="Arial" w:hAnsi="Arial" w:cs="Arial"/>
          <w:sz w:val="20"/>
          <w:szCs w:val="20"/>
        </w:rPr>
        <w:t xml:space="preserve">Simultaneous implementation of JIT, 5S, TQM, and Kanban in company D was only able to </w:t>
      </w:r>
      <w:r w:rsidRPr="00B761CB">
        <w:rPr>
          <w:rFonts w:ascii="Arial" w:hAnsi="Arial" w:cs="Arial"/>
          <w:sz w:val="20"/>
          <w:szCs w:val="20"/>
        </w:rPr>
        <w:t>produce performance of 54%. JIT only had an effect on performance of 40% in months 8-16, then there was a decline of up to 20% in month 24 (</w:t>
      </w:r>
      <w:r w:rsidRPr="00B761CB">
        <w:rPr>
          <w:rFonts w:ascii="Arial" w:hAnsi="Arial" w:cs="Arial"/>
          <w:color w:val="8496B0" w:themeColor="text2" w:themeTint="99"/>
          <w:sz w:val="20"/>
          <w:szCs w:val="20"/>
        </w:rPr>
        <w:t>Fig.4j</w:t>
      </w:r>
      <w:r w:rsidRPr="00B761CB">
        <w:rPr>
          <w:rFonts w:ascii="Arial" w:hAnsi="Arial" w:cs="Arial"/>
          <w:sz w:val="20"/>
          <w:szCs w:val="20"/>
        </w:rPr>
        <w:t>). Results that were not much different are shown by 5S activities (</w:t>
      </w:r>
      <w:r w:rsidRPr="00B761CB">
        <w:rPr>
          <w:rFonts w:ascii="Arial" w:hAnsi="Arial" w:cs="Arial"/>
          <w:color w:val="8496B0" w:themeColor="text2" w:themeTint="99"/>
          <w:sz w:val="20"/>
          <w:szCs w:val="20"/>
        </w:rPr>
        <w:t>Fig.4k</w:t>
      </w:r>
      <w:r w:rsidRPr="00B761CB">
        <w:rPr>
          <w:rFonts w:ascii="Arial" w:hAnsi="Arial" w:cs="Arial"/>
          <w:sz w:val="20"/>
          <w:szCs w:val="20"/>
        </w:rPr>
        <w:t>). The effect of TQM on performance reached its peak in months 8-18 at 40%, but the decline in TQM reached 30% in month 24 (</w:t>
      </w:r>
      <w:r w:rsidRPr="00B761CB">
        <w:rPr>
          <w:rFonts w:ascii="Arial" w:hAnsi="Arial" w:cs="Arial"/>
          <w:color w:val="8496B0" w:themeColor="text2" w:themeTint="99"/>
          <w:sz w:val="20"/>
          <w:szCs w:val="20"/>
        </w:rPr>
        <w:t>Fig.4l</w:t>
      </w:r>
      <w:r w:rsidRPr="00B761CB">
        <w:rPr>
          <w:rFonts w:ascii="Arial" w:hAnsi="Arial" w:cs="Arial"/>
          <w:sz w:val="20"/>
          <w:szCs w:val="20"/>
        </w:rPr>
        <w:t xml:space="preserve">). The </w:t>
      </w:r>
      <w:proofErr w:type="spellStart"/>
      <w:r w:rsidRPr="00B761CB">
        <w:rPr>
          <w:rFonts w:ascii="Arial" w:hAnsi="Arial" w:cs="Arial"/>
          <w:sz w:val="20"/>
          <w:szCs w:val="20"/>
        </w:rPr>
        <w:t>kanban</w:t>
      </w:r>
      <w:proofErr w:type="spellEnd"/>
      <w:r w:rsidRPr="00B761CB">
        <w:rPr>
          <w:rFonts w:ascii="Arial" w:hAnsi="Arial" w:cs="Arial"/>
          <w:sz w:val="20"/>
          <w:szCs w:val="20"/>
        </w:rPr>
        <w:t xml:space="preserve"> system reached its peak influence on performance (42%) in months 11-13, then there was a drastic decline </w:t>
      </w:r>
      <w:proofErr w:type="gramStart"/>
      <w:r w:rsidRPr="00B761CB">
        <w:rPr>
          <w:rFonts w:ascii="Arial" w:hAnsi="Arial" w:cs="Arial"/>
          <w:sz w:val="20"/>
          <w:szCs w:val="20"/>
        </w:rPr>
        <w:t>( 27</w:t>
      </w:r>
      <w:proofErr w:type="gramEnd"/>
      <w:r w:rsidRPr="00B761CB">
        <w:rPr>
          <w:rFonts w:ascii="Arial" w:hAnsi="Arial" w:cs="Arial"/>
          <w:sz w:val="20"/>
          <w:szCs w:val="20"/>
        </w:rPr>
        <w:t>%) in the 24th month (</w:t>
      </w:r>
      <w:r w:rsidRPr="00B761CB">
        <w:rPr>
          <w:rFonts w:ascii="Arial" w:hAnsi="Arial" w:cs="Arial"/>
          <w:color w:val="8496B0" w:themeColor="text2" w:themeTint="99"/>
          <w:sz w:val="20"/>
          <w:szCs w:val="20"/>
        </w:rPr>
        <w:t>Fig.4j</w:t>
      </w:r>
      <w:r w:rsidRPr="00B761CB">
        <w:rPr>
          <w:rFonts w:ascii="Arial" w:hAnsi="Arial" w:cs="Arial"/>
          <w:sz w:val="20"/>
          <w:szCs w:val="20"/>
        </w:rPr>
        <w:t xml:space="preserve">). The LM activities that have the greatest influence were JIT, 5S, TQM, and the lowest was the </w:t>
      </w:r>
      <w:proofErr w:type="spellStart"/>
      <w:r w:rsidRPr="00B761CB">
        <w:rPr>
          <w:rFonts w:ascii="Arial" w:hAnsi="Arial" w:cs="Arial"/>
          <w:sz w:val="20"/>
          <w:szCs w:val="20"/>
        </w:rPr>
        <w:t>kanban</w:t>
      </w:r>
      <w:proofErr w:type="spellEnd"/>
      <w:r w:rsidRPr="00B761CB">
        <w:rPr>
          <w:rFonts w:ascii="Arial" w:hAnsi="Arial" w:cs="Arial"/>
          <w:sz w:val="20"/>
          <w:szCs w:val="20"/>
        </w:rPr>
        <w:t xml:space="preserve"> system</w:t>
      </w:r>
      <w:r w:rsidR="009637A4">
        <w:rPr>
          <w:rFonts w:ascii="Arial" w:hAnsi="Arial" w:cs="Arial"/>
          <w:sz w:val="20"/>
          <w:szCs w:val="20"/>
        </w:rPr>
        <w:t xml:space="preserve">. </w:t>
      </w:r>
    </w:p>
    <w:p w14:paraId="41D7FD88" w14:textId="453D657A" w:rsidR="009637A4" w:rsidRPr="009637A4" w:rsidRDefault="009637A4" w:rsidP="00E51251">
      <w:pPr>
        <w:spacing w:line="240" w:lineRule="auto"/>
        <w:ind w:left="0" w:hanging="2"/>
        <w:jc w:val="both"/>
        <w:rPr>
          <w:rFonts w:ascii="Arial" w:hAnsi="Arial" w:cs="Arial"/>
          <w:sz w:val="18"/>
          <w:szCs w:val="20"/>
        </w:rPr>
      </w:pPr>
      <w:r w:rsidRPr="009637A4">
        <w:rPr>
          <w:rFonts w:ascii="Arial" w:hAnsi="Arial" w:cs="Arial"/>
          <w:sz w:val="20"/>
        </w:rPr>
        <w:t>This study shows that Company A, which implemented LM gradually with 5S followed by JIT, achieved optimal performance, especially between the 12th and 19th months, although there was a performance decline after the 22nd month. Company B also showed good performance improvement with the implementation of JIT and 5S, but the decline occurred more quickly by the 24th month. Meanwhile, Companies C and D, which implemented LM simultaneously, including JIT, 5S, TQM, TPM, and Kanban, only reached performance levels of around 60-54%, with a sharp decline observed in Kanban. These findings support previous research indicating that the gradual implementation of LM, with a clear focus and tailored tools, is more effective</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{"citationItems":[{"id":"ITEM-1","itemData":{"DOI":"10.1080/09537287.2015.1050477","ISSN":"13665871","abstract":"This study explored contextual or determining factors and their impacts on lean manufacturing in small- and medium-sized enterprises (SMEs) operating in food-processing industries. In order to get an in-depth insight into the real situation at the work floor, this study adopted a multiple-case-study research approach. The inherent characteristics of food industries, such as mandatory quality assurance requirements, low shelf life of food products, and the extremely volatile demand and supply presented barriers to lean manufacturing adoption. In addition, the challenges of 'change' in an SME environment are distinct from those faced by large organizations. The small size of the plant, the traditional setup, and inflexible layout make it difficult to implement lean manufacturing in food-processing SMEs. The knowledge of contextual factors influencing lean manufacturing adoption in food processing SMEs will be a contribution to current knowledge. Many studies have explored lean constructs and tools, while far fewer have explored the crucial element of actually implementing these. The study will also help practitioners to anticipate potential obstacles and take proper measures to deal with them during lean implementation.","author":[{"dropping-particle":"","family":"Dora","given":"Manoj","non-dropping-particle":"","parse-names":false,"suffix":""},{"dropping-particle":"","family":"Kumar","given":"Maneesh","non-dropping-particle":"","parse-names":false,"suffix":""},{"dropping-particle":"","family":"Gellynck","given":"Xavier","non-dropping-particle":"","parse-names":false,"suffix":""}],"container-title":"Production Planning and Control","id":"ITEM-1","issue":"1","issued":{"date-parts":[["2016"]]},"page":"1-23","title":"Determinants and barriers to lean implementation in food-processing SMEs - A multiple case analysis","type":"article-journal","volume":"27"},"uris":["http://www.mendeley.com/documents/?uuid=bab636fe-f89c-4488-a0ae-8d939803c562"]}],"mendeley":{"formattedCitation":"[9]","plainTextFormattedCitation":"[9]","previouslyFormattedCitation":"[9]"},"properties":{"noteIndex":0},"schema":"https://github.com/citation-style-language/schema/raw/master/csl-citation.json"}</w:instrText>
      </w:r>
      <w:r>
        <w:rPr>
          <w:rFonts w:ascii="Arial" w:hAnsi="Arial" w:cs="Arial"/>
          <w:sz w:val="20"/>
        </w:rPr>
        <w:fldChar w:fldCharType="separate"/>
      </w:r>
      <w:r w:rsidRPr="009637A4">
        <w:rPr>
          <w:rFonts w:ascii="Arial" w:hAnsi="Arial" w:cs="Arial"/>
          <w:noProof/>
          <w:sz w:val="20"/>
        </w:rPr>
        <w:t>[9]</w:t>
      </w:r>
      <w:r>
        <w:rPr>
          <w:rFonts w:ascii="Arial" w:hAnsi="Arial" w:cs="Arial"/>
          <w:sz w:val="20"/>
        </w:rPr>
        <w:fldChar w:fldCharType="end"/>
      </w:r>
      <w:r w:rsidRPr="009637A4">
        <w:rPr>
          <w:rFonts w:ascii="Arial" w:hAnsi="Arial" w:cs="Arial"/>
          <w:sz w:val="20"/>
        </w:rPr>
        <w:t xml:space="preserve"> than simultaneous implementation</w:t>
      </w:r>
      <w:r>
        <w:rPr>
          <w:rFonts w:ascii="Arial" w:hAnsi="Arial" w:cs="Arial"/>
          <w:sz w:val="20"/>
        </w:rPr>
        <w:t xml:space="preserve"> </w:t>
      </w:r>
      <w:r>
        <w:rPr>
          <w:rFonts w:ascii="Arial" w:hAnsi="Arial" w:cs="Arial"/>
          <w:sz w:val="20"/>
        </w:rPr>
        <w:fldChar w:fldCharType="begin" w:fldLock="1"/>
      </w:r>
      <w:r w:rsidR="00EF411A">
        <w:rPr>
          <w:rFonts w:ascii="Arial" w:hAnsi="Arial" w:cs="Arial"/>
          <w:sz w:val="20"/>
        </w:rPr>
        <w:instrText>ADDIN CSL_CITATION {"citationItems":[{"id":"ITEM-1","itemData":{"ISSN":"1869-6945","author":[{"dropping-particle":"","family":"Pourmatin","given":"Mohammad","non-dropping-particle":"","parse-names":false,"suffix":""},{"dropping-particle":"","family":"Ilkhani","given":"Abouzar","non-dropping-particle":"","parse-names":false,"suffix":""}],"container-title":"International Journal on Food System Dynamics","id":"ITEM-1","issue":"5","issued":{"date-parts":[["2024"]]},"page":"557-572","title":"Extending system dynamics simulation and lean thinking for enhancing operational efficiency: a food industry case study","type":"article-journal","volume":"15"},"uris":["http://www.mendeley.com/documents/?uuid=a4a0bf01-7913-4ce2-bad5-d148c87792de"]}],"mendeley":{"formattedCitation":"[35]","plainTextFormattedCitation":"[35]","previouslyFormattedCitation":"[35]"},"properties":{"noteIndex":0},"schema":"https://github.com/citation-style-language/schema/raw/master/csl-citation.json"}</w:instrText>
      </w:r>
      <w:r>
        <w:rPr>
          <w:rFonts w:ascii="Arial" w:hAnsi="Arial" w:cs="Arial"/>
          <w:sz w:val="20"/>
        </w:rPr>
        <w:fldChar w:fldCharType="separate"/>
      </w:r>
      <w:r w:rsidRPr="009637A4">
        <w:rPr>
          <w:rFonts w:ascii="Arial" w:hAnsi="Arial" w:cs="Arial"/>
          <w:noProof/>
          <w:sz w:val="20"/>
        </w:rPr>
        <w:t>[</w:t>
      </w:r>
      <w:r w:rsidRPr="004F0653">
        <w:rPr>
          <w:rFonts w:ascii="Arial" w:hAnsi="Arial" w:cs="Arial"/>
          <w:noProof/>
          <w:color w:val="2F5496" w:themeColor="accent1" w:themeShade="BF"/>
          <w:sz w:val="20"/>
        </w:rPr>
        <w:t>35</w:t>
      </w:r>
      <w:r w:rsidRPr="009637A4">
        <w:rPr>
          <w:rFonts w:ascii="Arial" w:hAnsi="Arial" w:cs="Arial"/>
          <w:noProof/>
          <w:sz w:val="20"/>
        </w:rPr>
        <w:t>]</w:t>
      </w:r>
      <w:r>
        <w:rPr>
          <w:rFonts w:ascii="Arial" w:hAnsi="Arial" w:cs="Arial"/>
          <w:sz w:val="20"/>
        </w:rPr>
        <w:fldChar w:fldCharType="end"/>
      </w:r>
      <w:r>
        <w:rPr>
          <w:rFonts w:ascii="Arial" w:hAnsi="Arial" w:cs="Arial"/>
          <w:sz w:val="20"/>
        </w:rPr>
        <w:t xml:space="preserve"> </w:t>
      </w:r>
      <w:r w:rsidRPr="009637A4">
        <w:rPr>
          <w:rFonts w:ascii="Arial" w:hAnsi="Arial" w:cs="Arial"/>
          <w:sz w:val="20"/>
        </w:rPr>
        <w:t>, which tends to be confusing and difficult to sustain.</w:t>
      </w:r>
    </w:p>
    <w:p w14:paraId="70D88E6A" w14:textId="77777777" w:rsidR="00E51251" w:rsidRPr="00B761CB" w:rsidRDefault="00E51251" w:rsidP="00E51251">
      <w:pPr>
        <w:ind w:left="0" w:hanging="2"/>
        <w:jc w:val="both"/>
        <w:rPr>
          <w:rFonts w:ascii="Arial" w:hAnsi="Arial" w:cs="Arial"/>
          <w:sz w:val="20"/>
          <w:szCs w:val="20"/>
        </w:rPr>
      </w:pPr>
    </w:p>
    <w:p w14:paraId="3EDC7749" w14:textId="77777777" w:rsidR="00E51251" w:rsidRDefault="00E51251" w:rsidP="00E51251">
      <w:pPr>
        <w:ind w:left="0" w:hanging="2"/>
        <w:jc w:val="both"/>
        <w:rPr>
          <w:rFonts w:ascii="Arial" w:hAnsi="Arial" w:cs="Arial"/>
          <w:noProof/>
          <w:sz w:val="20"/>
          <w:szCs w:val="20"/>
        </w:rPr>
        <w:sectPr w:rsidR="00E51251">
          <w:type w:val="continuous"/>
          <w:pgSz w:w="11907" w:h="16840"/>
          <w:pgMar w:top="1701" w:right="1134" w:bottom="1701" w:left="1701" w:header="680" w:footer="680" w:gutter="0"/>
          <w:cols w:num="2" w:space="720" w:equalWidth="0">
            <w:col w:w="4394" w:space="284"/>
            <w:col w:w="4394" w:space="0"/>
          </w:cols>
          <w:titlePg/>
        </w:sectPr>
      </w:pPr>
    </w:p>
    <w:tbl>
      <w:tblPr>
        <w:tblStyle w:val="TableGrid"/>
        <w:tblW w:w="0" w:type="auto"/>
        <w:tblLook w:val="04A0" w:firstRow="1" w:lastRow="0" w:firstColumn="1" w:lastColumn="0" w:noHBand="0" w:noVBand="1"/>
      </w:tblPr>
      <w:tblGrid>
        <w:gridCol w:w="9054"/>
      </w:tblGrid>
      <w:tr w:rsidR="00E51251" w:rsidRPr="00B761CB" w14:paraId="1621D34E" w14:textId="77777777" w:rsidTr="00AC34CE">
        <w:tc>
          <w:tcPr>
            <w:tcW w:w="9054" w:type="dxa"/>
          </w:tcPr>
          <w:p w14:paraId="2AD9123F" w14:textId="77777777" w:rsidR="00E51251" w:rsidRPr="00B761CB" w:rsidRDefault="00E51251" w:rsidP="00AC34CE">
            <w:pPr>
              <w:ind w:left="0" w:hanging="2"/>
              <w:jc w:val="center"/>
              <w:rPr>
                <w:rFonts w:ascii="Arial" w:hAnsi="Arial" w:cs="Arial"/>
                <w:noProof/>
                <w:sz w:val="20"/>
                <w:szCs w:val="20"/>
              </w:rPr>
            </w:pPr>
            <w:r w:rsidRPr="00B761CB">
              <w:rPr>
                <w:rFonts w:ascii="Arial" w:hAnsi="Arial" w:cs="Arial"/>
                <w:noProof/>
                <w:sz w:val="20"/>
                <w:szCs w:val="20"/>
              </w:rPr>
              <w:drawing>
                <wp:inline distT="0" distB="0" distL="0" distR="0" wp14:anchorId="327E2499" wp14:editId="2C4ED1FC">
                  <wp:extent cx="2669059" cy="216655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668752" cy="2166301"/>
                          </a:xfrm>
                          <a:prstGeom prst="rect">
                            <a:avLst/>
                          </a:prstGeom>
                        </pic:spPr>
                      </pic:pic>
                    </a:graphicData>
                  </a:graphic>
                </wp:inline>
              </w:drawing>
            </w:r>
            <w:r w:rsidRPr="00B761CB">
              <w:rPr>
                <w:rFonts w:ascii="Arial" w:hAnsi="Arial" w:cs="Arial"/>
                <w:noProof/>
                <w:sz w:val="20"/>
                <w:szCs w:val="20"/>
              </w:rPr>
              <w:drawing>
                <wp:inline distT="0" distB="0" distL="0" distR="0" wp14:anchorId="66DA7734" wp14:editId="661BEABE">
                  <wp:extent cx="2816860" cy="216598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18234" cy="2167042"/>
                          </a:xfrm>
                          <a:prstGeom prst="rect">
                            <a:avLst/>
                          </a:prstGeom>
                        </pic:spPr>
                      </pic:pic>
                    </a:graphicData>
                  </a:graphic>
                </wp:inline>
              </w:drawing>
            </w:r>
          </w:p>
          <w:p w14:paraId="649DD5D9" w14:textId="77777777" w:rsidR="00E51251" w:rsidRPr="00B761CB" w:rsidRDefault="00E51251" w:rsidP="00AC34CE">
            <w:pPr>
              <w:ind w:left="0" w:hanging="2"/>
              <w:jc w:val="center"/>
              <w:rPr>
                <w:rFonts w:ascii="Arial" w:hAnsi="Arial" w:cs="Arial"/>
                <w:sz w:val="20"/>
                <w:szCs w:val="20"/>
              </w:rPr>
            </w:pPr>
            <w:r w:rsidRPr="00B761CB">
              <w:rPr>
                <w:rFonts w:ascii="Arial" w:hAnsi="Arial" w:cs="Arial"/>
                <w:noProof/>
                <w:sz w:val="20"/>
                <w:szCs w:val="20"/>
              </w:rPr>
              <w:t>a                                                                              b</w:t>
            </w:r>
          </w:p>
        </w:tc>
      </w:tr>
    </w:tbl>
    <w:p w14:paraId="2AB41946" w14:textId="77777777" w:rsidR="00E51251" w:rsidRPr="00B761CB" w:rsidRDefault="00E51251" w:rsidP="00E51251">
      <w:pPr>
        <w:spacing w:line="240" w:lineRule="auto"/>
        <w:ind w:left="0" w:hanging="2"/>
        <w:jc w:val="both"/>
        <w:rPr>
          <w:rFonts w:ascii="Arial" w:hAnsi="Arial" w:cs="Arial"/>
          <w:sz w:val="20"/>
          <w:szCs w:val="20"/>
        </w:rPr>
      </w:pPr>
      <w:r w:rsidRPr="00313C6E">
        <w:rPr>
          <w:rFonts w:ascii="Arial" w:hAnsi="Arial" w:cs="Arial"/>
          <w:b/>
          <w:sz w:val="20"/>
          <w:szCs w:val="20"/>
        </w:rPr>
        <w:lastRenderedPageBreak/>
        <w:t>Figure 5</w:t>
      </w:r>
      <w:r w:rsidRPr="00B761CB">
        <w:rPr>
          <w:rFonts w:ascii="Arial" w:hAnsi="Arial" w:cs="Arial"/>
          <w:sz w:val="20"/>
          <w:szCs w:val="20"/>
        </w:rPr>
        <w:t>. Results of Principal Component Analysis, Biplot (a) and Cluster Plot with Confidence Interval (b).</w:t>
      </w:r>
    </w:p>
    <w:p w14:paraId="5A3A6646" w14:textId="77777777" w:rsidR="00E51251" w:rsidRDefault="00E51251" w:rsidP="00E51251">
      <w:pPr>
        <w:spacing w:after="0" w:line="240" w:lineRule="auto"/>
        <w:ind w:left="0" w:hanging="2"/>
        <w:jc w:val="both"/>
        <w:rPr>
          <w:rFonts w:ascii="Arial" w:hAnsi="Arial" w:cs="Arial"/>
          <w:sz w:val="20"/>
          <w:szCs w:val="20"/>
        </w:rPr>
        <w:sectPr w:rsidR="00E51251" w:rsidSect="00AC34CE">
          <w:type w:val="continuous"/>
          <w:pgSz w:w="11907" w:h="16840"/>
          <w:pgMar w:top="1701" w:right="1134" w:bottom="1701" w:left="1701" w:header="680" w:footer="680" w:gutter="0"/>
          <w:cols w:space="720"/>
          <w:titlePg/>
        </w:sectPr>
      </w:pPr>
    </w:p>
    <w:p w14:paraId="0D726F16" w14:textId="77777777" w:rsidR="00E51251" w:rsidRPr="00B761CB" w:rsidRDefault="00E51251" w:rsidP="00E51251">
      <w:pPr>
        <w:spacing w:after="0" w:line="240" w:lineRule="auto"/>
        <w:ind w:left="0" w:hanging="2"/>
        <w:jc w:val="both"/>
        <w:rPr>
          <w:rFonts w:ascii="Arial" w:hAnsi="Arial" w:cs="Arial"/>
          <w:sz w:val="20"/>
          <w:szCs w:val="20"/>
        </w:rPr>
      </w:pPr>
      <w:r w:rsidRPr="00B761CB">
        <w:rPr>
          <w:rFonts w:ascii="Arial" w:hAnsi="Arial" w:cs="Arial"/>
          <w:sz w:val="20"/>
          <w:szCs w:val="20"/>
        </w:rPr>
        <w:t>According to the PCA results (</w:t>
      </w:r>
      <w:r w:rsidRPr="00B761CB">
        <w:rPr>
          <w:rFonts w:ascii="Arial" w:hAnsi="Arial" w:cs="Arial"/>
          <w:color w:val="8496B0" w:themeColor="text2" w:themeTint="99"/>
          <w:sz w:val="20"/>
          <w:szCs w:val="20"/>
        </w:rPr>
        <w:t>Fig 5a, 5b</w:t>
      </w:r>
      <w:r w:rsidRPr="00B761CB">
        <w:rPr>
          <w:rFonts w:ascii="Arial" w:hAnsi="Arial" w:cs="Arial"/>
          <w:sz w:val="20"/>
          <w:szCs w:val="20"/>
        </w:rPr>
        <w:t>), the most significant component was the first one (PC1), which had an eigenvalue of 2.41198 and explained 80.40% of the variation in the whole. With an eigenvalue of 0.43404, the second component (PC2) contributed 14.47% more to the variance's explanation, for a cumulative total of 94.87%. The remaining 5.13% was supplied by the third component (PC3), which has an eigenvalue of 0.15398.</w:t>
      </w:r>
      <w:r>
        <w:rPr>
          <w:rFonts w:ascii="Arial" w:hAnsi="Arial" w:cs="Arial"/>
          <w:sz w:val="20"/>
          <w:szCs w:val="20"/>
        </w:rPr>
        <w:t xml:space="preserve"> </w:t>
      </w:r>
      <w:r w:rsidRPr="00B761CB">
        <w:rPr>
          <w:rFonts w:ascii="Arial" w:hAnsi="Arial" w:cs="Arial"/>
          <w:sz w:val="20"/>
          <w:szCs w:val="20"/>
        </w:rPr>
        <w:t>The biggest positive contributions for PC1 were from sales growth (0.6014) and on-time delivery (0.5929), whereas reject (-0.53553) had a negative influence. Reject (0.84178) was the main element in PC2.</w:t>
      </w:r>
    </w:p>
    <w:p w14:paraId="7A1C68CB" w14:textId="77777777" w:rsidR="00E51251" w:rsidRPr="00B761CB" w:rsidRDefault="00E51251" w:rsidP="00E51251">
      <w:pPr>
        <w:spacing w:after="0" w:line="240" w:lineRule="auto"/>
        <w:ind w:left="0" w:hanging="2"/>
        <w:jc w:val="both"/>
        <w:rPr>
          <w:rFonts w:ascii="Arial" w:hAnsi="Arial" w:cs="Arial"/>
          <w:sz w:val="20"/>
          <w:szCs w:val="20"/>
        </w:rPr>
      </w:pPr>
    </w:p>
    <w:p w14:paraId="2EED30BA" w14:textId="77777777" w:rsidR="00E51251" w:rsidRPr="00B761CB" w:rsidRDefault="00E51251" w:rsidP="00E51251">
      <w:pPr>
        <w:spacing w:after="0" w:line="240" w:lineRule="auto"/>
        <w:ind w:left="0" w:hanging="2"/>
        <w:jc w:val="both"/>
        <w:rPr>
          <w:rFonts w:ascii="Arial" w:hAnsi="Arial" w:cs="Arial"/>
          <w:sz w:val="20"/>
          <w:szCs w:val="20"/>
        </w:rPr>
      </w:pPr>
      <w:r w:rsidRPr="00B761CB">
        <w:rPr>
          <w:rFonts w:ascii="Arial" w:hAnsi="Arial" w:cs="Arial"/>
          <w:sz w:val="20"/>
          <w:szCs w:val="20"/>
        </w:rPr>
        <w:t>Companies A and B demonstrated exceptional proficiency in implementing Lean Manufacturing (LM) methods, as determined by the findings of the PCA (</w:t>
      </w:r>
      <w:r w:rsidRPr="00B761CB">
        <w:rPr>
          <w:rFonts w:ascii="Arial" w:hAnsi="Arial" w:cs="Arial"/>
          <w:color w:val="8496B0" w:themeColor="text2" w:themeTint="99"/>
          <w:sz w:val="20"/>
          <w:szCs w:val="20"/>
        </w:rPr>
        <w:t>Fig.5a</w:t>
      </w:r>
      <w:r w:rsidRPr="00B761CB">
        <w:rPr>
          <w:rFonts w:ascii="Arial" w:hAnsi="Arial" w:cs="Arial"/>
          <w:sz w:val="20"/>
          <w:szCs w:val="20"/>
        </w:rPr>
        <w:t>). Their dominance in on-time delivery and sales growth was demonstrated by their locations in the upper right quadrant of the biplot, where their PC1 values were high at 80.40%. Conversely, firms C and D demonstrated inferior performance, especially with regard to high reject rates, as seen by the negative values in PC2 (14.47%). Their places, distant from the biplot's center, showed serious problems with quality that affected how well they performed as a whole. In summary, firms A and B outperformed in critical LM areas, but companies C and D needed to improve especially in lowering reject rates to increase the efficacy of their LM implementation.</w:t>
      </w:r>
    </w:p>
    <w:p w14:paraId="5C732882" w14:textId="4E3DDCE2" w:rsidR="00E51251" w:rsidRDefault="00E51251" w:rsidP="00E51251">
      <w:pPr>
        <w:spacing w:after="0" w:line="240" w:lineRule="auto"/>
        <w:ind w:left="0" w:hanging="2"/>
        <w:jc w:val="both"/>
        <w:rPr>
          <w:rFonts w:ascii="Arial" w:hAnsi="Arial" w:cs="Arial"/>
          <w:sz w:val="20"/>
          <w:szCs w:val="20"/>
        </w:rPr>
      </w:pPr>
      <w:r w:rsidRPr="00B761CB">
        <w:rPr>
          <w:rFonts w:ascii="Arial" w:hAnsi="Arial" w:cs="Arial"/>
          <w:sz w:val="20"/>
          <w:szCs w:val="20"/>
        </w:rPr>
        <w:t>Based on PC1 and PC2, the two primary components of the data structure, the cluster plot with confidence analysis offered crucial insights (</w:t>
      </w:r>
      <w:r w:rsidRPr="00B761CB">
        <w:rPr>
          <w:rFonts w:ascii="Arial" w:hAnsi="Arial" w:cs="Arial"/>
          <w:color w:val="8496B0" w:themeColor="text2" w:themeTint="99"/>
          <w:sz w:val="20"/>
          <w:szCs w:val="20"/>
        </w:rPr>
        <w:t>Fig 5b</w:t>
      </w:r>
      <w:r w:rsidRPr="00B761CB">
        <w:rPr>
          <w:rFonts w:ascii="Arial" w:hAnsi="Arial" w:cs="Arial"/>
          <w:sz w:val="20"/>
          <w:szCs w:val="20"/>
        </w:rPr>
        <w:t>). With an eigenvalue of 2.41198, the first principal component (PC1) could account for 80.40% of the variation in the data. The results showed that PC1 was the most important dimension for differentiating the data features, especially those that were affected by factors like sales growth and on-time delivery, which had strong positive coefficients on this component (0.6014 and 0.5929, respectively). Companies A and B were positioned along PC1, indicating that their profiles were comparable with respect to the features that this dimension described.</w:t>
      </w:r>
      <w:r>
        <w:rPr>
          <w:rFonts w:ascii="Arial" w:hAnsi="Arial" w:cs="Arial"/>
        </w:rPr>
        <w:t xml:space="preserve"> </w:t>
      </w:r>
      <w:r w:rsidRPr="00B761CB">
        <w:rPr>
          <w:rFonts w:ascii="Arial" w:hAnsi="Arial" w:cs="Arial"/>
          <w:sz w:val="20"/>
          <w:szCs w:val="20"/>
        </w:rPr>
        <w:t xml:space="preserve">With an eigenvalue of 0.43404, the second principal component (PC2) was able to account for 14.47% of the variation in the data. Despite having a lesser impact than PC1, PC2 was still significant since </w:t>
      </w:r>
      <w:proofErr w:type="gramStart"/>
      <w:r w:rsidRPr="00B761CB">
        <w:rPr>
          <w:rFonts w:ascii="Arial" w:hAnsi="Arial" w:cs="Arial"/>
          <w:sz w:val="20"/>
          <w:szCs w:val="20"/>
        </w:rPr>
        <w:t>it</w:t>
      </w:r>
      <w:proofErr w:type="gramEnd"/>
      <w:r w:rsidRPr="00B761CB">
        <w:rPr>
          <w:rFonts w:ascii="Arial" w:hAnsi="Arial" w:cs="Arial"/>
          <w:sz w:val="20"/>
          <w:szCs w:val="20"/>
        </w:rPr>
        <w:t xml:space="preserve"> improved comprehension of the variations in the data. Affects like reject, which had a positive </w:t>
      </w:r>
      <w:r w:rsidRPr="00B761CB">
        <w:rPr>
          <w:rFonts w:ascii="Arial" w:hAnsi="Arial" w:cs="Arial"/>
          <w:sz w:val="20"/>
          <w:szCs w:val="20"/>
        </w:rPr>
        <w:t>coefficient on PC2 (0.84178) and a negative coefficient on PC1 (-0.53553), were evident in the dominating companies C and D on PC2. This showed that, in contrast to Companies A and B, Companies C and D had unique qualities, with refuse serving as a major differentiator.</w:t>
      </w:r>
    </w:p>
    <w:p w14:paraId="6DC07A40" w14:textId="7E7D4B14" w:rsidR="002A32F0" w:rsidRPr="00EF411A" w:rsidRDefault="00EF411A" w:rsidP="00E51251">
      <w:pPr>
        <w:spacing w:after="0" w:line="240" w:lineRule="auto"/>
        <w:ind w:left="0" w:hanging="2"/>
        <w:jc w:val="both"/>
        <w:rPr>
          <w:rFonts w:ascii="Arial" w:hAnsi="Arial" w:cs="Arial"/>
          <w:sz w:val="18"/>
          <w:szCs w:val="20"/>
        </w:rPr>
      </w:pPr>
      <w:r w:rsidRPr="00EF411A">
        <w:rPr>
          <w:rFonts w:ascii="Arial" w:hAnsi="Arial" w:cs="Arial"/>
          <w:sz w:val="20"/>
        </w:rPr>
        <w:t>The results from PCA highlight the key factors influencing the performance of Lean Manufacturing (LM) implementation across companies. PCA identified that Companies A and B excelled in on-time delivery and sales growth, with their positions on PC1, which accounts for 80.40% of the data variation. This shows how PCA effectively highlights the relationship between LM tools and performance outcomes. In contrast, Companies C and D, marked by high reject rates, were positioned negatively on PC2. PCA thus provides valuable insights into the effectiveness of LM strategies, emphasizing the importance of focusing on specific performance drivers for optimal results.</w:t>
      </w:r>
      <w:r>
        <w:rPr>
          <w:rFonts w:ascii="Arial" w:hAnsi="Arial" w:cs="Arial"/>
          <w:sz w:val="20"/>
        </w:rPr>
        <w:fldChar w:fldCharType="begin" w:fldLock="1"/>
      </w:r>
      <w:r w:rsidR="001023FC">
        <w:rPr>
          <w:rFonts w:ascii="Arial" w:hAnsi="Arial" w:cs="Arial"/>
          <w:sz w:val="20"/>
        </w:rPr>
        <w:instrText>ADDIN CSL_CITATION {"citationItems":[{"id":"ITEM-1","itemData":{"ISSN":"0925-5273","author":[{"dropping-particle":"","family":"Costa","given":"Luana Bonome Message","non-dropping-particle":"","parse-names":false,"suffix":""},{"dropping-particle":"","family":"Godinho Filho","given":"Moacir","non-dropping-particle":"","parse-names":false,"suffix":""},{"dropping-particle":"","family":"Fredendall","given":"Lawrence D","non-dropping-particle":"","parse-names":false,"suffix":""},{"dropping-particle":"","family":"Ganga","given":"Gilberto Miller Devós","non-dropping-particle":"","parse-names":false,"suffix":""}],"container-title":"International Journal of Production Economics","id":"ITEM-1","issued":{"date-parts":[["2021"]]},"page":"107843","publisher":"Elsevier","title":"Lean six sigma in the food industry: Construct development and measurement validation","type":"article-journal","volume":"231"},"uris":["http://www.mendeley.com/documents/?uuid=2e65c14c-3d74-4bde-9ff1-96c48754f9a8"]}],"mendeley":{"formattedCitation":"[36]","plainTextFormattedCitation":"[36]","previouslyFormattedCitation":"[36]"},"properties":{"noteIndex":0},"schema":"https://github.com/citation-style-language/schema/raw/master/csl-citation.json"}</w:instrText>
      </w:r>
      <w:r>
        <w:rPr>
          <w:rFonts w:ascii="Arial" w:hAnsi="Arial" w:cs="Arial"/>
          <w:sz w:val="20"/>
        </w:rPr>
        <w:fldChar w:fldCharType="separate"/>
      </w:r>
      <w:r w:rsidRPr="00EF411A">
        <w:rPr>
          <w:rFonts w:ascii="Arial" w:hAnsi="Arial" w:cs="Arial"/>
          <w:noProof/>
          <w:sz w:val="20"/>
        </w:rPr>
        <w:t>[36]</w:t>
      </w:r>
      <w:r>
        <w:rPr>
          <w:rFonts w:ascii="Arial" w:hAnsi="Arial" w:cs="Arial"/>
          <w:sz w:val="20"/>
        </w:rPr>
        <w:fldChar w:fldCharType="end"/>
      </w:r>
    </w:p>
    <w:p w14:paraId="5A1843FE" w14:textId="3D3AA30C" w:rsidR="00E51251" w:rsidRDefault="001023FC" w:rsidP="00E51251">
      <w:pPr>
        <w:spacing w:line="240" w:lineRule="auto"/>
        <w:ind w:left="0" w:hanging="2"/>
        <w:jc w:val="both"/>
        <w:rPr>
          <w:rFonts w:ascii="Arial" w:hAnsi="Arial" w:cs="Arial"/>
          <w:sz w:val="20"/>
          <w:szCs w:val="20"/>
        </w:rPr>
      </w:pPr>
      <w:r w:rsidRPr="001023FC">
        <w:rPr>
          <w:rFonts w:ascii="Arial" w:hAnsi="Arial" w:cs="Arial"/>
          <w:sz w:val="20"/>
        </w:rPr>
        <w:t>The separation of QS from the LM concept is a crucial step in the evolution of LM, which is currently considered more suitable for application in the food industry. This research shows that separating QS from LM can be an effective solution to address various failures experienced by food companies in implementing LM. This emphasizes that LM needs to be applied with a flexible approach, tailored to the characteristics and readiness of each industrial sector</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ISSN":"2071-1050","author":[{"dropping-particle":"","family":"Garcia-Garcia","given":"Guillermo","non-dropping-particle":"","parse-names":false,"suffix":""},{"dropping-particle":"","family":"Singh","given":"Yadvinder","non-dropping-particle":"","parse-names":false,"suffix":""},{"dropping-particle":"","family":"Jagtap","given":"Sandeep","non-dropping-particle":"","parse-names":false,"suffix":""}],"container-title":"Sustainability","id":"ITEM-1","issue":"14","issued":{"date-parts":[["2022"]]},"page":"8279","publisher":"MDPI","title":"Optimising changeover through lean-manufacturing principles: a case study in a food factory","type":"article-journal","volume":"14"},"uris":["http://www.mendeley.com/documents/?uuid=48d3fd16-5eeb-4788-9097-61d34c1f2e0f"]}],"mendeley":{"formattedCitation":"[37]","plainTextFormattedCitation":"[37]","previouslyFormattedCitation":"[37]"},"properties":{"noteIndex":0},"schema":"https://github.com/citation-style-language/schema/raw/master/csl-citation.json"}</w:instrText>
      </w:r>
      <w:r>
        <w:rPr>
          <w:rFonts w:ascii="Arial" w:hAnsi="Arial" w:cs="Arial"/>
          <w:sz w:val="20"/>
        </w:rPr>
        <w:fldChar w:fldCharType="separate"/>
      </w:r>
      <w:r w:rsidRPr="001023FC">
        <w:rPr>
          <w:rFonts w:ascii="Arial" w:hAnsi="Arial" w:cs="Arial"/>
          <w:noProof/>
          <w:sz w:val="20"/>
        </w:rPr>
        <w:t>[37]</w:t>
      </w:r>
      <w:r>
        <w:rPr>
          <w:rFonts w:ascii="Arial" w:hAnsi="Arial" w:cs="Arial"/>
          <w:sz w:val="20"/>
        </w:rPr>
        <w:fldChar w:fldCharType="end"/>
      </w:r>
      <w:r w:rsidRPr="001023FC">
        <w:rPr>
          <w:rFonts w:ascii="Arial" w:hAnsi="Arial" w:cs="Arial"/>
          <w:sz w:val="20"/>
        </w:rPr>
        <w:t>. By separating QS from LM, companies can focus on improving process efficiency without being hindered by the difficulties of integrating both concepts, leading to more sustainable long-term improvements in performance and quality</w:t>
      </w:r>
      <w:r>
        <w:rPr>
          <w:rFonts w:ascii="Arial" w:hAnsi="Arial" w:cs="Arial"/>
          <w:sz w:val="20"/>
        </w:rPr>
        <w:t xml:space="preserve"> </w:t>
      </w:r>
      <w:r>
        <w:rPr>
          <w:rFonts w:ascii="Arial" w:hAnsi="Arial" w:cs="Arial"/>
          <w:sz w:val="20"/>
        </w:rPr>
        <w:fldChar w:fldCharType="begin" w:fldLock="1"/>
      </w:r>
      <w:r w:rsidR="00B54DDA">
        <w:rPr>
          <w:rFonts w:ascii="Arial" w:hAnsi="Arial" w:cs="Arial"/>
          <w:sz w:val="20"/>
        </w:rPr>
        <w:instrText>ADDIN CSL_CITATION {"citationItems":[{"id":"ITEM-1","itemData":{"ISSN":"0956-7135","author":[{"dropping-particle":"","family":"Costa","given":"Luana Bonome Message","non-dropping-particle":"","parse-names":false,"suffix":""},{"dropping-particle":"","family":"Godinho Filho","given":"Moacir","non-dropping-particle":"","parse-names":false,"suffix":""},{"dropping-particle":"","family":"Fredendall","given":"Lawrence D","non-dropping-particle":"","parse-names":false,"suffix":""},{"dropping-particle":"","family":"Ganga","given":"Gilberto Miller Devós","non-dropping-particle":"","parse-names":false,"suffix":""}],"container-title":"Food Control","id":"ITEM-1","issued":{"date-parts":[["2020"]]},"page":"107110","publisher":"Elsevier","title":"The effect of Lean Six Sigma practices on food industry performance: Implications of the Sector's experience and typical characteristics","type":"article-journal","volume":"112"},"uris":["http://www.mendeley.com/documents/?uuid=155f05e0-61d1-4f1f-b6ed-c49e4506b40e"]}],"mendeley":{"formattedCitation":"[38]","plainTextFormattedCitation":"[38]","previouslyFormattedCitation":"[38]"},"properties":{"noteIndex":0},"schema":"https://github.com/citation-style-language/schema/raw/master/csl-citation.json"}</w:instrText>
      </w:r>
      <w:r>
        <w:rPr>
          <w:rFonts w:ascii="Arial" w:hAnsi="Arial" w:cs="Arial"/>
          <w:sz w:val="20"/>
        </w:rPr>
        <w:fldChar w:fldCharType="separate"/>
      </w:r>
      <w:r w:rsidRPr="001023FC">
        <w:rPr>
          <w:rFonts w:ascii="Arial" w:hAnsi="Arial" w:cs="Arial"/>
          <w:noProof/>
          <w:sz w:val="20"/>
        </w:rPr>
        <w:t>[38]</w:t>
      </w:r>
      <w:r>
        <w:rPr>
          <w:rFonts w:ascii="Arial" w:hAnsi="Arial" w:cs="Arial"/>
          <w:sz w:val="20"/>
        </w:rPr>
        <w:fldChar w:fldCharType="end"/>
      </w:r>
      <w:r w:rsidR="00E51251" w:rsidRPr="00710C06">
        <w:rPr>
          <w:rFonts w:ascii="Arial" w:hAnsi="Arial" w:cs="Arial"/>
          <w:sz w:val="20"/>
          <w:szCs w:val="20"/>
        </w:rPr>
        <w:t xml:space="preserve"> </w:t>
      </w:r>
    </w:p>
    <w:p w14:paraId="6FF54456" w14:textId="439A844D" w:rsidR="00E51251" w:rsidRPr="00710C06" w:rsidRDefault="00E51251" w:rsidP="00E51251">
      <w:pPr>
        <w:spacing w:line="240" w:lineRule="auto"/>
        <w:ind w:left="0" w:hanging="2"/>
        <w:jc w:val="both"/>
        <w:rPr>
          <w:rFonts w:ascii="Arial" w:hAnsi="Arial" w:cs="Arial"/>
          <w:b/>
          <w:sz w:val="20"/>
          <w:szCs w:val="20"/>
        </w:rPr>
      </w:pPr>
      <w:r w:rsidRPr="00710C06">
        <w:rPr>
          <w:rFonts w:ascii="Arial" w:hAnsi="Arial" w:cs="Arial"/>
          <w:sz w:val="20"/>
          <w:szCs w:val="20"/>
        </w:rPr>
        <w:t>Simultaneous application of LM (plants C and D) apparently brings confusion when applied in the food industry. Optimal results were actually obtained by separating QS from LM as proven by plants A and B. In this case, these findings are at odds with research conducted by</w:t>
      </w:r>
      <w:r>
        <w:rPr>
          <w:rFonts w:ascii="Arial" w:hAnsi="Arial" w:cs="Arial"/>
          <w:sz w:val="20"/>
          <w:szCs w:val="20"/>
        </w:rPr>
        <w:t xml:space="preserve"> </w:t>
      </w:r>
      <w:proofErr w:type="spellStart"/>
      <w:r>
        <w:rPr>
          <w:rFonts w:ascii="Arial" w:hAnsi="Arial" w:cs="Arial"/>
          <w:sz w:val="20"/>
          <w:szCs w:val="20"/>
        </w:rPr>
        <w:t>Djekic</w:t>
      </w:r>
      <w:proofErr w:type="spellEnd"/>
      <w:r>
        <w:rPr>
          <w:rFonts w:ascii="Arial" w:hAnsi="Arial" w:cs="Arial"/>
          <w:sz w:val="20"/>
          <w:szCs w:val="20"/>
        </w:rPr>
        <w:t xml:space="preserve"> et al</w:t>
      </w:r>
      <w:r w:rsidRPr="00710C06">
        <w:rPr>
          <w:rFonts w:ascii="Arial" w:hAnsi="Arial" w:cs="Arial"/>
          <w:sz w:val="20"/>
          <w:szCs w:val="20"/>
        </w:rPr>
        <w:t xml:space="preserve"> </w:t>
      </w:r>
      <w:r w:rsidRPr="00710C06">
        <w:rPr>
          <w:rFonts w:ascii="Arial" w:hAnsi="Arial" w:cs="Arial"/>
          <w:sz w:val="20"/>
          <w:szCs w:val="20"/>
        </w:rPr>
        <w:fldChar w:fldCharType="begin" w:fldLock="1"/>
      </w:r>
      <w:r w:rsidR="006163EC">
        <w:rPr>
          <w:rFonts w:ascii="Arial" w:hAnsi="Arial" w:cs="Arial"/>
          <w:sz w:val="20"/>
          <w:szCs w:val="20"/>
        </w:rPr>
        <w:instrText>ADDIN CSL_CITATION {"citationItems":[{"id":"ITEM-1","itemData":{"DOI":"10.2478/orga-2014-0013","ISSN":"1581-1832","abstract":" Background and Purpose: The objective of this paper was to evaluate effects of implementing lean manufacturing in a Serbian confectionery production company during a period of 24 months, emphasizing observed benefits and constrains. Company ‘case study’ is a leading confectionery producer in Serbia with annual production of more than 25,000 t.  Methodology/Approach: The research method was case study. The approach in implementing lean manufacturing was structured in five phases, as follows: (i) training, (ii) analysis of lean wastes on one technological line, (iii) choice of lean tools to be implemented in the factory, (iv) implementation of lean tools in production and maintenance, (v) development of continual improvement sector and further deployment of lean tools.  Results: Lean manufacturing tools implemented in the production process were visual control and single minute exchange of dies (SMED). Maintenance process implemented 5S with total productive maintenance (TPM) and problem solving sessions being the tools implemented in both processes. During the observed period, results of these tools showed the following: visual control tables initiated 61 improvement memos out of which 39% were fully implemented; a total of 2284 minor problems had been recorded, with over 95% of issues revealed in due time; total SMED time decreased for 7.6%; 19 problem solving sessions were initiated with 58% of solving effectiveness, and the remaining converted to on-going projects. In maintenance 5S improved from 29.9 to 60.3; overall equipment effectiveness (OEE) indicator increased from 87.9% to 92.3%; mean time between failure (MTBF) increased for 16.4%. Conclusion: As a result of all activities, 20 in-house trainings and 2 ‘kaizen’ events including motivational training have been initiated with 54 documents being revised and improved in order to contribute to more efficient processes. ","author":[{"dropping-particle":"","family":"Djekic","given":"Ilija","non-dropping-particle":"","parse-names":false,"suffix":""},{"dropping-particle":"","family":"Zivanovic","given":"Dragan","non-dropping-particle":"","parse-names":false,"suffix":""},{"dropping-particle":"","family":"Dragojlovic","given":"Sladjana","non-dropping-particle":"","parse-names":false,"suffix":""},{"dropping-particle":"","family":"Dragovic","given":"Radoslava","non-dropping-particle":"","parse-names":false,"suffix":""}],"container-title":"Organizacija","id":"ITEM-1","issue":"3","issued":{"date-parts":[["2014"]]},"page":"143-152","title":"Lean Manufacturing Effects in a Serbian Confectionery Company – Case Study","type":"article-journal","volume":"47"},"uris":["http://www.mendeley.com/documents/?uuid=4c980448-e40c-4949-be0f-3309d0e0382c"]}],"mendeley":{"formattedCitation":"[2]","plainTextFormattedCitation":"[2]","previouslyFormattedCitation":"[2]"},"properties":{"noteIndex":0},"schema":"https://github.com/citation-style-language/schema/raw/master/csl-citation.json"}</w:instrText>
      </w:r>
      <w:r w:rsidRPr="00710C06">
        <w:rPr>
          <w:rFonts w:ascii="Arial" w:hAnsi="Arial" w:cs="Arial"/>
          <w:sz w:val="20"/>
          <w:szCs w:val="20"/>
        </w:rPr>
        <w:fldChar w:fldCharType="separate"/>
      </w:r>
      <w:r w:rsidR="006163EC" w:rsidRPr="006163EC">
        <w:rPr>
          <w:rFonts w:ascii="Arial" w:hAnsi="Arial" w:cs="Arial"/>
          <w:noProof/>
          <w:sz w:val="20"/>
          <w:szCs w:val="20"/>
        </w:rPr>
        <w:t>[2]</w:t>
      </w:r>
      <w:r w:rsidRPr="00710C06">
        <w:rPr>
          <w:rFonts w:ascii="Arial" w:hAnsi="Arial" w:cs="Arial"/>
          <w:sz w:val="20"/>
          <w:szCs w:val="20"/>
        </w:rPr>
        <w:fldChar w:fldCharType="end"/>
      </w:r>
      <w:r w:rsidRPr="00710C06">
        <w:rPr>
          <w:rStyle w:val="IJPMLink"/>
          <w:rFonts w:ascii="Arial" w:hAnsi="Arial" w:cs="Arial"/>
          <w:sz w:val="20"/>
          <w:szCs w:val="20"/>
        </w:rPr>
        <w:t>.</w:t>
      </w:r>
      <w:r w:rsidRPr="00710C06">
        <w:rPr>
          <w:rFonts w:ascii="Arial" w:hAnsi="Arial" w:cs="Arial"/>
          <w:sz w:val="20"/>
          <w:szCs w:val="20"/>
        </w:rPr>
        <w:t xml:space="preserve"> Failures in implementing the LM concept must be overcome so that it can be applied simultaneously, namely: a) Selecting the right LM tool to pair with QS</w:t>
      </w:r>
      <w:r w:rsidR="00B54DDA">
        <w:rPr>
          <w:rFonts w:ascii="Arial" w:hAnsi="Arial" w:cs="Arial"/>
          <w:sz w:val="20"/>
          <w:szCs w:val="20"/>
        </w:rPr>
        <w:t xml:space="preserve"> </w:t>
      </w:r>
      <w:r w:rsidR="00B54DDA">
        <w:rPr>
          <w:rFonts w:ascii="Arial" w:hAnsi="Arial" w:cs="Arial"/>
          <w:sz w:val="20"/>
          <w:szCs w:val="20"/>
        </w:rPr>
        <w:fldChar w:fldCharType="begin" w:fldLock="1"/>
      </w:r>
      <w:r w:rsidR="00E46EFB">
        <w:rPr>
          <w:rFonts w:ascii="Arial" w:hAnsi="Arial" w:cs="Arial"/>
          <w:sz w:val="20"/>
          <w:szCs w:val="20"/>
        </w:rPr>
        <w:instrText>ADDIN CSL_CITATION {"citationItems":[{"id":"ITEM-1","itemData":{"ISSN":"2071-1050","author":[{"dropping-particle":"","family":"Hegedić","given":"Miro","non-dropping-particle":"","parse-names":false,"suffix":""},{"dropping-particle":"","family":"Gudlin","given":"Mihael","non-dropping-particle":"","parse-names":false,"suffix":""},{"dropping-particle":"","family":"Golec","given":"Matija","non-dropping-particle":"","parse-names":false,"suffix":""},{"dropping-particle":"","family":"Tošanović","given":"Nataša","non-dropping-particle":"","parse-names":false,"suffix":""}],"container-title":"Sustainability","id":"ITEM-1","issue":"3","issued":{"date-parts":[["2024"]]},"page":"1173","publisher":"MDPI","title":"Lean and Green Decision Model for Lean Tools Selection","type":"article-journal","volume":"16"},"uris":["http://www.mendeley.com/documents/?uuid=02e36783-bf38-4e40-8d8c-f3e5f8b8100a"]}],"mendeley":{"formattedCitation":"[39]","plainTextFormattedCitation":"[39]","previouslyFormattedCitation":"[39]"},"properties":{"noteIndex":0},"schema":"https://github.com/citation-style-language/schema/raw/master/csl-citation.json"}</w:instrText>
      </w:r>
      <w:r w:rsidR="00B54DDA">
        <w:rPr>
          <w:rFonts w:ascii="Arial" w:hAnsi="Arial" w:cs="Arial"/>
          <w:sz w:val="20"/>
          <w:szCs w:val="20"/>
        </w:rPr>
        <w:fldChar w:fldCharType="separate"/>
      </w:r>
      <w:r w:rsidR="00B54DDA" w:rsidRPr="00B54DDA">
        <w:rPr>
          <w:rFonts w:ascii="Arial" w:hAnsi="Arial" w:cs="Arial"/>
          <w:noProof/>
          <w:sz w:val="20"/>
          <w:szCs w:val="20"/>
        </w:rPr>
        <w:t>[39]</w:t>
      </w:r>
      <w:r w:rsidR="00B54DDA">
        <w:rPr>
          <w:rFonts w:ascii="Arial" w:hAnsi="Arial" w:cs="Arial"/>
          <w:sz w:val="20"/>
          <w:szCs w:val="20"/>
        </w:rPr>
        <w:fldChar w:fldCharType="end"/>
      </w:r>
      <w:r w:rsidRPr="00710C06">
        <w:rPr>
          <w:rFonts w:ascii="Arial" w:hAnsi="Arial" w:cs="Arial"/>
          <w:sz w:val="20"/>
          <w:szCs w:val="20"/>
        </w:rPr>
        <w:t>. b) Define QS and LM in detail to avoid overlapping concepts</w:t>
      </w:r>
      <w:r w:rsidR="00B54DDA">
        <w:rPr>
          <w:rFonts w:ascii="Arial" w:hAnsi="Arial" w:cs="Arial"/>
          <w:sz w:val="20"/>
          <w:szCs w:val="20"/>
        </w:rPr>
        <w:t xml:space="preserve"> </w:t>
      </w:r>
      <w:r w:rsidR="00E46EFB">
        <w:rPr>
          <w:rFonts w:ascii="Arial" w:hAnsi="Arial" w:cs="Arial"/>
          <w:sz w:val="20"/>
          <w:szCs w:val="20"/>
        </w:rPr>
        <w:fldChar w:fldCharType="begin" w:fldLock="1"/>
      </w:r>
      <w:r w:rsidR="00E46EFB">
        <w:rPr>
          <w:rFonts w:ascii="Arial" w:hAnsi="Arial" w:cs="Arial"/>
          <w:sz w:val="20"/>
          <w:szCs w:val="20"/>
        </w:rPr>
        <w:instrText>ADDIN CSL_CITATION {"citationItems":[{"id":"ITEM-1","itemData":{"ISSN":"2212-8271","author":[{"dropping-particle":"","family":"Langlotz","given":"Pascal","non-dropping-particle":"","parse-names":false,"suffix":""},{"dropping-particle":"","family":"Siedler","given":"Carina","non-dropping-particle":"","parse-names":false,"suffix":""},{"dropping-particle":"","family":"Aurich","given":"Jan C","non-dropping-particle":"","parse-names":false,"suffix":""}],"container-title":"Procedia CIRP","id":"ITEM-1","issued":{"date-parts":[["2021"]]},"page":"15-20","publisher":"Elsevier","title":"Unification of lean production and Industry 4.0","type":"article-journal","volume":"99"},"uris":["http://www.mendeley.com/documents/?uuid=fe47df65-1cd3-4875-921a-2146f92769cc"]}],"mendeley":{"formattedCitation":"[40]","plainTextFormattedCitation":"[40]"},"properties":{"noteIndex":0},"schema":"https://github.com/citation-style-language/schema/raw/master/csl-citation.json"}</w:instrText>
      </w:r>
      <w:r w:rsidR="00E46EFB">
        <w:rPr>
          <w:rFonts w:ascii="Arial" w:hAnsi="Arial" w:cs="Arial"/>
          <w:sz w:val="20"/>
          <w:szCs w:val="20"/>
        </w:rPr>
        <w:fldChar w:fldCharType="separate"/>
      </w:r>
      <w:r w:rsidR="00E46EFB" w:rsidRPr="00E46EFB">
        <w:rPr>
          <w:rFonts w:ascii="Arial" w:hAnsi="Arial" w:cs="Arial"/>
          <w:noProof/>
          <w:sz w:val="20"/>
          <w:szCs w:val="20"/>
        </w:rPr>
        <w:t>[40]</w:t>
      </w:r>
      <w:r w:rsidR="00E46EFB">
        <w:rPr>
          <w:rFonts w:ascii="Arial" w:hAnsi="Arial" w:cs="Arial"/>
          <w:sz w:val="20"/>
          <w:szCs w:val="20"/>
        </w:rPr>
        <w:fldChar w:fldCharType="end"/>
      </w:r>
      <w:r w:rsidRPr="00710C06">
        <w:rPr>
          <w:rFonts w:ascii="Arial" w:hAnsi="Arial" w:cs="Arial"/>
          <w:sz w:val="20"/>
          <w:szCs w:val="20"/>
        </w:rPr>
        <w:t>.</w:t>
      </w:r>
    </w:p>
    <w:p w14:paraId="2F4B78A6" w14:textId="77777777" w:rsidR="00E51251" w:rsidRDefault="00E51251" w:rsidP="00E51251">
      <w:pPr>
        <w:spacing w:line="240" w:lineRule="auto"/>
        <w:ind w:left="0" w:hanging="2"/>
        <w:jc w:val="both"/>
        <w:rPr>
          <w:rFonts w:ascii="Arial" w:hAnsi="Arial" w:cs="Arial"/>
          <w:sz w:val="20"/>
          <w:szCs w:val="20"/>
        </w:rPr>
      </w:pPr>
      <w:r w:rsidRPr="00710C06">
        <w:rPr>
          <w:rFonts w:ascii="Arial" w:hAnsi="Arial" w:cs="Arial"/>
          <w:sz w:val="20"/>
          <w:szCs w:val="20"/>
        </w:rPr>
        <w:t>Practically,</w:t>
      </w:r>
      <w:r>
        <w:rPr>
          <w:rFonts w:ascii="Arial" w:hAnsi="Arial" w:cs="Arial"/>
          <w:sz w:val="20"/>
          <w:szCs w:val="20"/>
        </w:rPr>
        <w:t xml:space="preserve"> </w:t>
      </w:r>
      <w:r w:rsidRPr="00710C06">
        <w:rPr>
          <w:rFonts w:ascii="Arial" w:hAnsi="Arial" w:cs="Arial"/>
          <w:sz w:val="20"/>
          <w:szCs w:val="20"/>
        </w:rPr>
        <w:t xml:space="preserve">this research provides recommendations for implementing LM so that it does not overlap with the role of QS. Company managers are expected to be able to choose the right LM tool related to the characteristics of food </w:t>
      </w:r>
      <w:r w:rsidRPr="00710C06">
        <w:rPr>
          <w:rFonts w:ascii="Arial" w:hAnsi="Arial" w:cs="Arial"/>
          <w:sz w:val="20"/>
          <w:szCs w:val="20"/>
        </w:rPr>
        <w:lastRenderedPageBreak/>
        <w:t>products (product age, raw materials, risk of contamination/damage, etc.). In the short term, managers can implement recommendations from research, namely: selection of LM tools, implementation process, and placement of QS separately from LM. If it does not provide optimal results, continuous analysis can be carried out while still separating QS from LM activities.</w:t>
      </w:r>
    </w:p>
    <w:p w14:paraId="7D60573C" w14:textId="77777777" w:rsidR="00E51251" w:rsidRDefault="00E51251" w:rsidP="00E51251">
      <w:pPr>
        <w:spacing w:line="240" w:lineRule="auto"/>
        <w:ind w:left="0" w:hanging="2"/>
        <w:jc w:val="both"/>
        <w:rPr>
          <w:rFonts w:ascii="Arial" w:eastAsia="Arial" w:hAnsi="Arial" w:cs="Arial"/>
          <w:b/>
          <w:color w:val="1F4E79"/>
          <w:sz w:val="20"/>
          <w:szCs w:val="20"/>
        </w:rPr>
      </w:pPr>
    </w:p>
    <w:p w14:paraId="73FF9E51" w14:textId="77777777" w:rsidR="00E51251" w:rsidRPr="00D21C79" w:rsidRDefault="00E51251" w:rsidP="00E51251">
      <w:pPr>
        <w:spacing w:line="240" w:lineRule="auto"/>
        <w:ind w:left="0" w:hanging="2"/>
        <w:jc w:val="both"/>
        <w:rPr>
          <w:rFonts w:ascii="Arial" w:hAnsi="Arial" w:cs="Arial"/>
          <w:sz w:val="20"/>
          <w:szCs w:val="20"/>
        </w:rPr>
      </w:pPr>
      <w:r>
        <w:rPr>
          <w:rFonts w:ascii="Arial" w:eastAsia="Arial" w:hAnsi="Arial" w:cs="Arial"/>
          <w:b/>
          <w:color w:val="1F4E79"/>
          <w:sz w:val="20"/>
          <w:szCs w:val="20"/>
        </w:rPr>
        <w:t>CONCLUSION</w:t>
      </w:r>
    </w:p>
    <w:p w14:paraId="30697DA4" w14:textId="77777777" w:rsidR="00E51251" w:rsidRPr="00710C06" w:rsidRDefault="00E51251" w:rsidP="00E51251">
      <w:pPr>
        <w:pStyle w:val="BodyText"/>
        <w:spacing w:line="240" w:lineRule="auto"/>
        <w:ind w:hanging="2"/>
        <w:jc w:val="both"/>
        <w:rPr>
          <w:rFonts w:ascii="Arial" w:hAnsi="Arial" w:cs="Arial"/>
          <w:sz w:val="20"/>
          <w:szCs w:val="20"/>
        </w:rPr>
      </w:pPr>
      <w:r w:rsidRPr="00710C06">
        <w:rPr>
          <w:rFonts w:ascii="Arial" w:hAnsi="Arial" w:cs="Arial"/>
          <w:sz w:val="20"/>
          <w:szCs w:val="20"/>
        </w:rPr>
        <w:t>The comparison results of the literature review with comparative studies of LM implementation in the food industry show the same results, QS is not a barrier to implementing the LM concept. Food companies must be able to position QS separately from the LM concept which is widely known. Implementing LM in stages will help companies evaluate appropriate LM tools that can be optimized in company conditions.</w:t>
      </w:r>
    </w:p>
    <w:p w14:paraId="5A05CBED" w14:textId="77777777" w:rsidR="00E51251" w:rsidRPr="00710C06" w:rsidRDefault="00E51251" w:rsidP="00E51251">
      <w:pPr>
        <w:pStyle w:val="BodyText"/>
        <w:spacing w:line="240" w:lineRule="auto"/>
        <w:ind w:hanging="2"/>
        <w:jc w:val="both"/>
        <w:rPr>
          <w:rFonts w:ascii="Arial" w:hAnsi="Arial" w:cs="Arial"/>
          <w:sz w:val="20"/>
          <w:szCs w:val="20"/>
        </w:rPr>
      </w:pPr>
      <w:r w:rsidRPr="00710C06">
        <w:rPr>
          <w:rFonts w:ascii="Arial" w:hAnsi="Arial" w:cs="Arial"/>
          <w:sz w:val="20"/>
          <w:szCs w:val="20"/>
        </w:rPr>
        <w:t xml:space="preserve">Company A performed best in terms of 5S (88%) and JIT (85%), with Company B coming in second with 80% for JIT and 75% for 5S. Companies C and D, on the other hand, showed worse performance levels. The findings of the Principal Component Analysis (PCA) showed that PC1 (80.40%) was mostly linked to sales growth and on-time delivery, whereas PC2 (14.47%) focused on rejection criteria. While Companies C and D were more noticeable in PC2, Companies A and B fared better in PC1. </w:t>
      </w:r>
    </w:p>
    <w:p w14:paraId="2B6D2AA6" w14:textId="77777777" w:rsidR="00E51251" w:rsidRPr="00710C06" w:rsidRDefault="00E51251" w:rsidP="00E51251">
      <w:pPr>
        <w:pStyle w:val="BodyText"/>
        <w:spacing w:line="240" w:lineRule="auto"/>
        <w:ind w:hanging="2"/>
        <w:jc w:val="both"/>
        <w:rPr>
          <w:rFonts w:ascii="Arial" w:hAnsi="Arial" w:cs="Arial"/>
          <w:sz w:val="20"/>
          <w:szCs w:val="20"/>
        </w:rPr>
      </w:pPr>
      <w:r w:rsidRPr="00710C06">
        <w:rPr>
          <w:rFonts w:ascii="Arial" w:hAnsi="Arial" w:cs="Arial"/>
          <w:sz w:val="20"/>
          <w:szCs w:val="20"/>
        </w:rPr>
        <w:t>The results indicate that adopting all of the Lean Manufacturing (LM) tools at once was not as beneficial as using them gradually. Better control over performance factors and customization to particular operational requirements were made possible by this method.</w:t>
      </w:r>
    </w:p>
    <w:p w14:paraId="1609FD32" w14:textId="77777777" w:rsidR="00E51251" w:rsidRDefault="00E51251" w:rsidP="00E51251">
      <w:pPr>
        <w:spacing w:after="0" w:line="240" w:lineRule="auto"/>
        <w:ind w:left="0" w:hanging="2"/>
        <w:jc w:val="both"/>
        <w:rPr>
          <w:rFonts w:ascii="Arial" w:hAnsi="Arial" w:cs="Arial"/>
          <w:sz w:val="20"/>
          <w:szCs w:val="20"/>
        </w:rPr>
      </w:pPr>
      <w:r w:rsidRPr="00710C06">
        <w:rPr>
          <w:rFonts w:ascii="Arial" w:hAnsi="Arial" w:cs="Arial"/>
          <w:sz w:val="20"/>
          <w:szCs w:val="20"/>
        </w:rPr>
        <w:t>Suggestions for further research are to increase the number of research samples, then analyze using the Structural Equation Model Partial Least Square (SEM-PLS) test to emphasize the influence of the LM variable (f</w:t>
      </w:r>
      <w:r w:rsidRPr="00710C06">
        <w:rPr>
          <w:rFonts w:ascii="Arial" w:hAnsi="Arial" w:cs="Arial"/>
          <w:sz w:val="20"/>
          <w:szCs w:val="20"/>
          <w:vertAlign w:val="superscript"/>
        </w:rPr>
        <w:t>2</w:t>
      </w:r>
      <w:r w:rsidRPr="00710C06">
        <w:rPr>
          <w:rFonts w:ascii="Arial" w:hAnsi="Arial" w:cs="Arial"/>
          <w:sz w:val="20"/>
          <w:szCs w:val="20"/>
        </w:rPr>
        <w:t>) and the predictive value of LM on QS (Q</w:t>
      </w:r>
      <w:r w:rsidRPr="00710C06">
        <w:rPr>
          <w:rFonts w:ascii="Arial" w:hAnsi="Arial" w:cs="Arial"/>
          <w:sz w:val="20"/>
          <w:szCs w:val="20"/>
          <w:vertAlign w:val="superscript"/>
        </w:rPr>
        <w:t>2</w:t>
      </w:r>
      <w:r w:rsidRPr="00710C06">
        <w:rPr>
          <w:rFonts w:ascii="Arial" w:hAnsi="Arial" w:cs="Arial"/>
          <w:sz w:val="20"/>
          <w:szCs w:val="20"/>
        </w:rPr>
        <w:t>)</w:t>
      </w:r>
    </w:p>
    <w:p w14:paraId="1843274E" w14:textId="77777777" w:rsidR="00E51251" w:rsidRDefault="00E51251" w:rsidP="00E51251">
      <w:pPr>
        <w:spacing w:after="0" w:line="240" w:lineRule="auto"/>
        <w:ind w:left="0" w:hanging="2"/>
        <w:jc w:val="both"/>
        <w:rPr>
          <w:rFonts w:ascii="Arial" w:eastAsia="Arial" w:hAnsi="Arial" w:cs="Arial"/>
          <w:sz w:val="20"/>
          <w:szCs w:val="20"/>
        </w:rPr>
      </w:pPr>
    </w:p>
    <w:p w14:paraId="6347A164" w14:textId="77777777" w:rsidR="00E51251" w:rsidRDefault="00E51251" w:rsidP="00E51251">
      <w:pPr>
        <w:spacing w:after="0" w:line="240" w:lineRule="auto"/>
        <w:ind w:left="0" w:hanging="2"/>
        <w:jc w:val="both"/>
        <w:rPr>
          <w:rFonts w:ascii="Arial" w:eastAsia="Arial" w:hAnsi="Arial" w:cs="Arial"/>
          <w:sz w:val="20"/>
          <w:szCs w:val="20"/>
        </w:rPr>
      </w:pPr>
    </w:p>
    <w:p w14:paraId="6CB6C460" w14:textId="77777777" w:rsidR="00B31A98" w:rsidRDefault="00B31A98" w:rsidP="00E51251">
      <w:pPr>
        <w:spacing w:after="0" w:line="240" w:lineRule="auto"/>
        <w:ind w:left="0" w:hanging="2"/>
        <w:rPr>
          <w:rFonts w:ascii="Arial" w:eastAsia="Arial" w:hAnsi="Arial" w:cs="Arial"/>
          <w:b/>
          <w:color w:val="1F4E79"/>
          <w:sz w:val="20"/>
          <w:szCs w:val="20"/>
        </w:rPr>
      </w:pPr>
    </w:p>
    <w:p w14:paraId="4E077329" w14:textId="51F07E44" w:rsidR="00E51251" w:rsidRDefault="00E51251" w:rsidP="00E51251">
      <w:pPr>
        <w:spacing w:after="0" w:line="240" w:lineRule="auto"/>
        <w:ind w:left="0" w:hanging="2"/>
        <w:rPr>
          <w:rFonts w:ascii="Arial" w:eastAsia="Arial" w:hAnsi="Arial" w:cs="Arial"/>
          <w:b/>
          <w:color w:val="1F4E79"/>
          <w:sz w:val="20"/>
          <w:szCs w:val="20"/>
        </w:rPr>
      </w:pPr>
      <w:r>
        <w:rPr>
          <w:rFonts w:ascii="Arial" w:eastAsia="Arial" w:hAnsi="Arial" w:cs="Arial"/>
          <w:b/>
          <w:color w:val="1F4E79"/>
          <w:sz w:val="20"/>
          <w:szCs w:val="20"/>
        </w:rPr>
        <w:t>REFERENCES</w:t>
      </w:r>
    </w:p>
    <w:p w14:paraId="1228D02C" w14:textId="77777777" w:rsidR="00B31A98" w:rsidRDefault="00B31A98" w:rsidP="00E51251">
      <w:pPr>
        <w:spacing w:after="0" w:line="240" w:lineRule="auto"/>
        <w:ind w:left="0" w:hanging="2"/>
        <w:rPr>
          <w:rFonts w:ascii="Arial" w:eastAsia="Arial" w:hAnsi="Arial" w:cs="Arial"/>
          <w:b/>
          <w:color w:val="1F4E79"/>
          <w:sz w:val="20"/>
          <w:szCs w:val="20"/>
        </w:rPr>
      </w:pPr>
    </w:p>
    <w:p w14:paraId="178B510D" w14:textId="3C406DD2" w:rsidR="00E46EFB" w:rsidRPr="00E46EFB" w:rsidRDefault="00B31A98"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Pr>
          <w:rFonts w:ascii="Arial" w:eastAsia="Arial" w:hAnsi="Arial" w:cs="Arial"/>
          <w:color w:val="1F4E79"/>
          <w:sz w:val="20"/>
          <w:szCs w:val="20"/>
        </w:rPr>
        <w:fldChar w:fldCharType="begin" w:fldLock="1"/>
      </w:r>
      <w:r>
        <w:rPr>
          <w:rFonts w:ascii="Arial" w:eastAsia="Arial" w:hAnsi="Arial" w:cs="Arial"/>
          <w:color w:val="1F4E79"/>
          <w:sz w:val="20"/>
          <w:szCs w:val="20"/>
        </w:rPr>
        <w:instrText xml:space="preserve">ADDIN Mendeley Bibliography CSL_BIBLIOGRAPHY </w:instrText>
      </w:r>
      <w:r>
        <w:rPr>
          <w:rFonts w:ascii="Arial" w:eastAsia="Arial" w:hAnsi="Arial" w:cs="Arial"/>
          <w:color w:val="1F4E79"/>
          <w:sz w:val="20"/>
          <w:szCs w:val="20"/>
        </w:rPr>
        <w:fldChar w:fldCharType="separate"/>
      </w:r>
      <w:r w:rsidR="00E46EFB" w:rsidRPr="00E46EFB">
        <w:rPr>
          <w:rFonts w:ascii="Arial" w:hAnsi="Arial" w:cs="Arial"/>
          <w:noProof/>
          <w:sz w:val="20"/>
          <w:szCs w:val="24"/>
        </w:rPr>
        <w:t>[1]</w:t>
      </w:r>
      <w:r w:rsidR="00E46EFB" w:rsidRPr="00E46EFB">
        <w:rPr>
          <w:rFonts w:ascii="Arial" w:hAnsi="Arial" w:cs="Arial"/>
          <w:noProof/>
          <w:sz w:val="20"/>
          <w:szCs w:val="24"/>
        </w:rPr>
        <w:tab/>
        <w:t xml:space="preserve">A. P. and J. H. Ian Kennedy, “a consept lean manufacturing model,” </w:t>
      </w:r>
      <w:r w:rsidR="00E46EFB" w:rsidRPr="00E46EFB">
        <w:rPr>
          <w:rFonts w:ascii="Arial" w:hAnsi="Arial" w:cs="Arial"/>
          <w:i/>
          <w:iCs/>
          <w:noProof/>
          <w:sz w:val="20"/>
          <w:szCs w:val="24"/>
        </w:rPr>
        <w:t>Springer International Publishing</w:t>
      </w:r>
      <w:r w:rsidR="00E46EFB" w:rsidRPr="00E46EFB">
        <w:rPr>
          <w:rFonts w:ascii="Arial" w:hAnsi="Arial" w:cs="Arial"/>
          <w:noProof/>
          <w:sz w:val="20"/>
          <w:szCs w:val="24"/>
        </w:rPr>
        <w:t xml:space="preserve">. </w:t>
      </w:r>
      <w:r w:rsidR="00E14582" w:rsidRPr="00E46EFB">
        <w:rPr>
          <w:rFonts w:ascii="Arial" w:hAnsi="Arial" w:cs="Arial"/>
          <w:noProof/>
          <w:sz w:val="20"/>
          <w:szCs w:val="24"/>
        </w:rPr>
        <w:t>2013</w:t>
      </w:r>
      <w:r w:rsidR="00E14582">
        <w:rPr>
          <w:rFonts w:ascii="Arial" w:hAnsi="Arial" w:cs="Arial"/>
          <w:noProof/>
          <w:sz w:val="20"/>
          <w:szCs w:val="24"/>
        </w:rPr>
        <w:t xml:space="preserve">, DOI: </w:t>
      </w:r>
      <w:r w:rsidR="00E46EFB" w:rsidRPr="00E46EFB">
        <w:rPr>
          <w:rFonts w:ascii="Arial" w:hAnsi="Arial" w:cs="Arial"/>
          <w:noProof/>
          <w:sz w:val="20"/>
          <w:szCs w:val="24"/>
        </w:rPr>
        <w:t>10.1007/978-3-319-00557-7_127.</w:t>
      </w:r>
    </w:p>
    <w:p w14:paraId="56B11885" w14:textId="3DB72192"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w:t>
      </w:r>
      <w:r w:rsidRPr="00E46EFB">
        <w:rPr>
          <w:rFonts w:ascii="Arial" w:hAnsi="Arial" w:cs="Arial"/>
          <w:noProof/>
          <w:sz w:val="20"/>
          <w:szCs w:val="24"/>
        </w:rPr>
        <w:tab/>
        <w:t xml:space="preserve">I. Djekic, D. Zivanovic, S. Dragojlovic, and R. Dragovic, “Lean Manufacturing Effects </w:t>
      </w:r>
      <w:r w:rsidRPr="00E46EFB">
        <w:rPr>
          <w:rFonts w:ascii="Arial" w:hAnsi="Arial" w:cs="Arial"/>
          <w:noProof/>
          <w:sz w:val="20"/>
          <w:szCs w:val="24"/>
        </w:rPr>
        <w:t xml:space="preserve">in a Serbian Confectionery Company – Case Study,” </w:t>
      </w:r>
      <w:r w:rsidRPr="00E46EFB">
        <w:rPr>
          <w:rFonts w:ascii="Arial" w:hAnsi="Arial" w:cs="Arial"/>
          <w:i/>
          <w:iCs/>
          <w:noProof/>
          <w:sz w:val="20"/>
          <w:szCs w:val="24"/>
        </w:rPr>
        <w:t>Organizacija</w:t>
      </w:r>
      <w:r w:rsidRPr="00E46EFB">
        <w:rPr>
          <w:rFonts w:ascii="Arial" w:hAnsi="Arial" w:cs="Arial"/>
          <w:noProof/>
          <w:sz w:val="20"/>
          <w:szCs w:val="24"/>
        </w:rPr>
        <w:t xml:space="preserve">, vol. 47, no. 3, pp. 143–152, 2014, </w:t>
      </w:r>
      <w:r w:rsidR="00E14582" w:rsidRPr="00E46EFB">
        <w:rPr>
          <w:rFonts w:ascii="Arial" w:hAnsi="Arial" w:cs="Arial"/>
          <w:noProof/>
          <w:sz w:val="20"/>
          <w:szCs w:val="24"/>
        </w:rPr>
        <w:t>DOI</w:t>
      </w:r>
      <w:r w:rsidRPr="00E46EFB">
        <w:rPr>
          <w:rFonts w:ascii="Arial" w:hAnsi="Arial" w:cs="Arial"/>
          <w:noProof/>
          <w:sz w:val="20"/>
          <w:szCs w:val="24"/>
        </w:rPr>
        <w:t>: 10.2478/orga-2014-0013.</w:t>
      </w:r>
    </w:p>
    <w:p w14:paraId="630681D7" w14:textId="639CBAC8"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w:t>
      </w:r>
      <w:r w:rsidRPr="00E46EFB">
        <w:rPr>
          <w:rFonts w:ascii="Arial" w:hAnsi="Arial" w:cs="Arial"/>
          <w:noProof/>
          <w:sz w:val="20"/>
          <w:szCs w:val="24"/>
        </w:rPr>
        <w:tab/>
        <w:t xml:space="preserve">R. B. Lopes, F. Freitas, and I. Sousa, “Application of lean manufacturing tools in the food and beverage industries,” </w:t>
      </w:r>
      <w:r w:rsidRPr="00E46EFB">
        <w:rPr>
          <w:rFonts w:ascii="Arial" w:hAnsi="Arial" w:cs="Arial"/>
          <w:i/>
          <w:iCs/>
          <w:noProof/>
          <w:sz w:val="20"/>
          <w:szCs w:val="24"/>
        </w:rPr>
        <w:t>J. Technol. Manag. Innov.</w:t>
      </w:r>
      <w:r w:rsidRPr="00E46EFB">
        <w:rPr>
          <w:rFonts w:ascii="Arial" w:hAnsi="Arial" w:cs="Arial"/>
          <w:noProof/>
          <w:sz w:val="20"/>
          <w:szCs w:val="24"/>
        </w:rPr>
        <w:t xml:space="preserve">, vol. 10, no. 3, pp. 120–130, 2015, </w:t>
      </w:r>
      <w:r w:rsidR="00E14582" w:rsidRPr="00E46EFB">
        <w:rPr>
          <w:rFonts w:ascii="Arial" w:hAnsi="Arial" w:cs="Arial"/>
          <w:noProof/>
          <w:sz w:val="20"/>
          <w:szCs w:val="24"/>
        </w:rPr>
        <w:t>DOI</w:t>
      </w:r>
      <w:r w:rsidRPr="00E46EFB">
        <w:rPr>
          <w:rFonts w:ascii="Arial" w:hAnsi="Arial" w:cs="Arial"/>
          <w:noProof/>
          <w:sz w:val="20"/>
          <w:szCs w:val="24"/>
        </w:rPr>
        <w:t>: 10.4067/s0718-27242015000300013.</w:t>
      </w:r>
    </w:p>
    <w:p w14:paraId="0BAFFD42" w14:textId="098467EB"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[4]</w:t>
      </w:r>
      <w:r w:rsidRPr="00E46EFB">
        <w:rPr>
          <w:rFonts w:ascii="Arial" w:hAnsi="Arial" w:cs="Arial"/>
          <w:noProof/>
          <w:sz w:val="20"/>
          <w:szCs w:val="24"/>
        </w:rPr>
        <w:tab/>
        <w:t xml:space="preserve">S. D. Rico Lugo, K. Kimita, and N. Nishino, “Characteristics of decision process towards circular food economy: A review,” </w:t>
      </w:r>
      <w:r w:rsidRPr="00E46EFB">
        <w:rPr>
          <w:rFonts w:ascii="Arial" w:hAnsi="Arial" w:cs="Arial"/>
          <w:i/>
          <w:iCs/>
          <w:noProof/>
          <w:sz w:val="20"/>
          <w:szCs w:val="24"/>
        </w:rPr>
        <w:t>Clean. Logist. Supply Chain</w:t>
      </w:r>
      <w:r w:rsidRPr="00E46EFB">
        <w:rPr>
          <w:rFonts w:ascii="Arial" w:hAnsi="Arial" w:cs="Arial"/>
          <w:noProof/>
          <w:sz w:val="20"/>
          <w:szCs w:val="24"/>
        </w:rPr>
        <w:t xml:space="preserve">, vol. 7, no. October 2022, p. 100104, 2023, </w:t>
      </w:r>
      <w:r w:rsidR="00E14582" w:rsidRPr="00E46EFB">
        <w:rPr>
          <w:rFonts w:ascii="Arial" w:hAnsi="Arial" w:cs="Arial"/>
          <w:noProof/>
          <w:sz w:val="20"/>
          <w:szCs w:val="24"/>
        </w:rPr>
        <w:t>DOI</w:t>
      </w:r>
      <w:r w:rsidRPr="00E46EFB">
        <w:rPr>
          <w:rFonts w:ascii="Arial" w:hAnsi="Arial" w:cs="Arial"/>
          <w:noProof/>
          <w:sz w:val="20"/>
          <w:szCs w:val="24"/>
        </w:rPr>
        <w:t>: 10.1016/j.clscn.2023.100104.</w:t>
      </w:r>
    </w:p>
    <w:p w14:paraId="799392E2" w14:textId="2D45357E"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[5]</w:t>
      </w:r>
      <w:r w:rsidRPr="00E46EFB">
        <w:rPr>
          <w:rFonts w:ascii="Arial" w:hAnsi="Arial" w:cs="Arial"/>
          <w:noProof/>
          <w:sz w:val="20"/>
          <w:szCs w:val="24"/>
        </w:rPr>
        <w:tab/>
        <w:t xml:space="preserve">J. García-Díez, C. Gonçalves, L. Grispoldi, B. Cenci-Goga, and C. Saraiva, “Determining food stability to achieve food security,” </w:t>
      </w:r>
      <w:r w:rsidRPr="00E46EFB">
        <w:rPr>
          <w:rFonts w:ascii="Arial" w:hAnsi="Arial" w:cs="Arial"/>
          <w:i/>
          <w:iCs/>
          <w:noProof/>
          <w:sz w:val="20"/>
          <w:szCs w:val="24"/>
        </w:rPr>
        <w:t>Sustain.</w:t>
      </w:r>
      <w:r w:rsidRPr="00E46EFB">
        <w:rPr>
          <w:rFonts w:ascii="Arial" w:hAnsi="Arial" w:cs="Arial"/>
          <w:noProof/>
          <w:sz w:val="20"/>
          <w:szCs w:val="24"/>
        </w:rPr>
        <w:t xml:space="preserve">, vol. 13, no. 13, pp. 1–13, 2021, </w:t>
      </w:r>
      <w:r w:rsidR="00E14582" w:rsidRPr="00E46EFB">
        <w:rPr>
          <w:rFonts w:ascii="Arial" w:hAnsi="Arial" w:cs="Arial"/>
          <w:noProof/>
          <w:sz w:val="20"/>
          <w:szCs w:val="24"/>
        </w:rPr>
        <w:t>DOI:</w:t>
      </w:r>
      <w:r w:rsidRPr="00E46EFB">
        <w:rPr>
          <w:rFonts w:ascii="Arial" w:hAnsi="Arial" w:cs="Arial"/>
          <w:noProof/>
          <w:sz w:val="20"/>
          <w:szCs w:val="24"/>
        </w:rPr>
        <w:t xml:space="preserve"> 10.3390/su13137222.</w:t>
      </w:r>
    </w:p>
    <w:p w14:paraId="2D76D400" w14:textId="5860D62A"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[6]</w:t>
      </w:r>
      <w:r w:rsidRPr="00E46EFB">
        <w:rPr>
          <w:rFonts w:ascii="Arial" w:hAnsi="Arial" w:cs="Arial"/>
          <w:noProof/>
          <w:sz w:val="20"/>
          <w:szCs w:val="24"/>
        </w:rPr>
        <w:tab/>
        <w:t xml:space="preserve">A. Kowalska, S. Lingham, D. Maye, and L. Manning, “Food Insecurity: Is Leagility a Potential Remedy?,” </w:t>
      </w:r>
      <w:r w:rsidRPr="00E46EFB">
        <w:rPr>
          <w:rFonts w:ascii="Arial" w:hAnsi="Arial" w:cs="Arial"/>
          <w:i/>
          <w:iCs/>
          <w:noProof/>
          <w:sz w:val="20"/>
          <w:szCs w:val="24"/>
        </w:rPr>
        <w:t>Foods</w:t>
      </w:r>
      <w:r w:rsidRPr="00E46EFB">
        <w:rPr>
          <w:rFonts w:ascii="Arial" w:hAnsi="Arial" w:cs="Arial"/>
          <w:noProof/>
          <w:sz w:val="20"/>
          <w:szCs w:val="24"/>
        </w:rPr>
        <w:t xml:space="preserve">, vol. 12, no. 16, pp. 1–18, 2023, </w:t>
      </w:r>
      <w:r w:rsidR="00E14582" w:rsidRPr="00E46EFB">
        <w:rPr>
          <w:rFonts w:ascii="Arial" w:hAnsi="Arial" w:cs="Arial"/>
          <w:noProof/>
          <w:sz w:val="20"/>
          <w:szCs w:val="24"/>
        </w:rPr>
        <w:t>DOI</w:t>
      </w:r>
      <w:r w:rsidRPr="00E46EFB">
        <w:rPr>
          <w:rFonts w:ascii="Arial" w:hAnsi="Arial" w:cs="Arial"/>
          <w:noProof/>
          <w:sz w:val="20"/>
          <w:szCs w:val="24"/>
        </w:rPr>
        <w:t>: 10.3390/foods12163138.</w:t>
      </w:r>
    </w:p>
    <w:p w14:paraId="42AFCD0E" w14:textId="575A874B"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[7]</w:t>
      </w:r>
      <w:r w:rsidRPr="00E46EFB">
        <w:rPr>
          <w:rFonts w:ascii="Arial" w:hAnsi="Arial" w:cs="Arial"/>
          <w:noProof/>
          <w:sz w:val="20"/>
          <w:szCs w:val="24"/>
        </w:rPr>
        <w:tab/>
        <w:t xml:space="preserve">J. F. Krafcik, “Triumph of the lean production system,” </w:t>
      </w:r>
      <w:r w:rsidRPr="00E46EFB">
        <w:rPr>
          <w:rFonts w:ascii="Arial" w:hAnsi="Arial" w:cs="Arial"/>
          <w:i/>
          <w:iCs/>
          <w:noProof/>
          <w:sz w:val="20"/>
          <w:szCs w:val="24"/>
        </w:rPr>
        <w:t>Sloan Manage. Rev.</w:t>
      </w:r>
      <w:r w:rsidRPr="00E46EFB">
        <w:rPr>
          <w:rFonts w:ascii="Arial" w:hAnsi="Arial" w:cs="Arial"/>
          <w:noProof/>
          <w:sz w:val="20"/>
          <w:szCs w:val="24"/>
        </w:rPr>
        <w:t xml:space="preserve">, 1988, </w:t>
      </w:r>
      <w:r w:rsidR="00E14582" w:rsidRPr="00E46EFB">
        <w:rPr>
          <w:rFonts w:ascii="Arial" w:hAnsi="Arial" w:cs="Arial"/>
          <w:noProof/>
          <w:sz w:val="20"/>
          <w:szCs w:val="24"/>
        </w:rPr>
        <w:t>DOI</w:t>
      </w:r>
      <w:r w:rsidRPr="00E46EFB">
        <w:rPr>
          <w:rFonts w:ascii="Arial" w:hAnsi="Arial" w:cs="Arial"/>
          <w:noProof/>
          <w:sz w:val="20"/>
          <w:szCs w:val="24"/>
        </w:rPr>
        <w:t>: 10.1108/01443570911005992.</w:t>
      </w:r>
    </w:p>
    <w:p w14:paraId="6D5A6FBE" w14:textId="2B1ED5FC"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[8]</w:t>
      </w:r>
      <w:r w:rsidRPr="00E46EFB">
        <w:rPr>
          <w:rFonts w:ascii="Arial" w:hAnsi="Arial" w:cs="Arial"/>
          <w:noProof/>
          <w:sz w:val="20"/>
          <w:szCs w:val="24"/>
        </w:rPr>
        <w:tab/>
        <w:t xml:space="preserve">M. Dora, M. Kumar, D. Van Goubergen, A. Molnar, and X. Gellynck, “Operational performance and critical success factors of lean manufacturing in European food processing SMEs,” </w:t>
      </w:r>
      <w:r w:rsidRPr="00E46EFB">
        <w:rPr>
          <w:rFonts w:ascii="Arial" w:hAnsi="Arial" w:cs="Arial"/>
          <w:i/>
          <w:iCs/>
          <w:noProof/>
          <w:sz w:val="20"/>
          <w:szCs w:val="24"/>
        </w:rPr>
        <w:t>Trends Food Sci. Technol.</w:t>
      </w:r>
      <w:r w:rsidRPr="00E46EFB">
        <w:rPr>
          <w:rFonts w:ascii="Arial" w:hAnsi="Arial" w:cs="Arial"/>
          <w:noProof/>
          <w:sz w:val="20"/>
          <w:szCs w:val="24"/>
        </w:rPr>
        <w:t xml:space="preserve">, vol. 31, no. 2, pp. 156–164, 2013, </w:t>
      </w:r>
      <w:r w:rsidR="00E14582" w:rsidRPr="00E46EFB">
        <w:rPr>
          <w:rFonts w:ascii="Arial" w:hAnsi="Arial" w:cs="Arial"/>
          <w:noProof/>
          <w:sz w:val="20"/>
          <w:szCs w:val="24"/>
        </w:rPr>
        <w:t>DOI</w:t>
      </w:r>
      <w:r w:rsidRPr="00E46EFB">
        <w:rPr>
          <w:rFonts w:ascii="Arial" w:hAnsi="Arial" w:cs="Arial"/>
          <w:noProof/>
          <w:sz w:val="20"/>
          <w:szCs w:val="24"/>
        </w:rPr>
        <w:t>: 10.1016/j.tifs.2013.03.002.</w:t>
      </w:r>
    </w:p>
    <w:p w14:paraId="417DCE2D" w14:textId="06EA28AB"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[9]</w:t>
      </w:r>
      <w:r w:rsidRPr="00E46EFB">
        <w:rPr>
          <w:rFonts w:ascii="Arial" w:hAnsi="Arial" w:cs="Arial"/>
          <w:noProof/>
          <w:sz w:val="20"/>
          <w:szCs w:val="24"/>
        </w:rPr>
        <w:tab/>
        <w:t xml:space="preserve">M. Dora, M. Kumar, and X. Gellynck, “Determinants and barriers to lean implementation in food-processing SMEs - A multiple case analysis,” </w:t>
      </w:r>
      <w:r w:rsidRPr="00E46EFB">
        <w:rPr>
          <w:rFonts w:ascii="Arial" w:hAnsi="Arial" w:cs="Arial"/>
          <w:i/>
          <w:iCs/>
          <w:noProof/>
          <w:sz w:val="20"/>
          <w:szCs w:val="24"/>
        </w:rPr>
        <w:t>Prod. Plan. Control</w:t>
      </w:r>
      <w:r w:rsidRPr="00E46EFB">
        <w:rPr>
          <w:rFonts w:ascii="Arial" w:hAnsi="Arial" w:cs="Arial"/>
          <w:noProof/>
          <w:sz w:val="20"/>
          <w:szCs w:val="24"/>
        </w:rPr>
        <w:t xml:space="preserve">, vol. 27, no. 1, pp. 1–23, 2016, </w:t>
      </w:r>
      <w:r w:rsidR="00E14582" w:rsidRPr="00E46EFB">
        <w:rPr>
          <w:rFonts w:ascii="Arial" w:hAnsi="Arial" w:cs="Arial"/>
          <w:noProof/>
          <w:sz w:val="20"/>
          <w:szCs w:val="24"/>
        </w:rPr>
        <w:t>DOI</w:t>
      </w:r>
      <w:r w:rsidRPr="00E46EFB">
        <w:rPr>
          <w:rFonts w:ascii="Arial" w:hAnsi="Arial" w:cs="Arial"/>
          <w:noProof/>
          <w:sz w:val="20"/>
          <w:szCs w:val="24"/>
        </w:rPr>
        <w:t>: 10.1080/09537287.2015.1050477.</w:t>
      </w:r>
    </w:p>
    <w:p w14:paraId="125B5B75"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[10]</w:t>
      </w:r>
      <w:r w:rsidRPr="00E46EFB">
        <w:rPr>
          <w:rFonts w:ascii="Arial" w:hAnsi="Arial" w:cs="Arial"/>
          <w:noProof/>
          <w:sz w:val="20"/>
          <w:szCs w:val="24"/>
        </w:rPr>
        <w:tab/>
        <w:t xml:space="preserve">M. Casula, N. Rangarajan, and P. Shields, “The potential of working hypotheses for deductive exploratory research,” </w:t>
      </w:r>
      <w:r w:rsidRPr="00E46EFB">
        <w:rPr>
          <w:rFonts w:ascii="Arial" w:hAnsi="Arial" w:cs="Arial"/>
          <w:i/>
          <w:iCs/>
          <w:noProof/>
          <w:sz w:val="20"/>
          <w:szCs w:val="24"/>
        </w:rPr>
        <w:t>Qual. Quant.</w:t>
      </w:r>
      <w:r w:rsidRPr="00E46EFB">
        <w:rPr>
          <w:rFonts w:ascii="Arial" w:hAnsi="Arial" w:cs="Arial"/>
          <w:noProof/>
          <w:sz w:val="20"/>
          <w:szCs w:val="24"/>
        </w:rPr>
        <w:t>, vol. 55, no. 5, pp. 1703–1725, 2021.</w:t>
      </w:r>
    </w:p>
    <w:p w14:paraId="55D05971"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[11]</w:t>
      </w:r>
      <w:r w:rsidRPr="00E46EFB">
        <w:rPr>
          <w:rFonts w:ascii="Arial" w:hAnsi="Arial" w:cs="Arial"/>
          <w:noProof/>
          <w:sz w:val="20"/>
          <w:szCs w:val="24"/>
        </w:rPr>
        <w:tab/>
        <w:t xml:space="preserve">M. Choshin and A. Ghaffari, “An investigation of the impact of effective factors on the success of e-commerce in small-and medium-sized companies,” </w:t>
      </w:r>
      <w:r w:rsidRPr="00E46EFB">
        <w:rPr>
          <w:rFonts w:ascii="Arial" w:hAnsi="Arial" w:cs="Arial"/>
          <w:i/>
          <w:iCs/>
          <w:noProof/>
          <w:sz w:val="20"/>
          <w:szCs w:val="24"/>
        </w:rPr>
        <w:t>Comput. Human Behav.</w:t>
      </w:r>
      <w:r w:rsidRPr="00E46EFB">
        <w:rPr>
          <w:rFonts w:ascii="Arial" w:hAnsi="Arial" w:cs="Arial"/>
          <w:noProof/>
          <w:sz w:val="20"/>
          <w:szCs w:val="24"/>
        </w:rPr>
        <w:t>, vol. 66, pp. 67–74, 2017.</w:t>
      </w:r>
    </w:p>
    <w:p w14:paraId="350417E6" w14:textId="504A1128"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[12]</w:t>
      </w:r>
      <w:r w:rsidRPr="00E46EFB">
        <w:rPr>
          <w:rFonts w:ascii="Arial" w:hAnsi="Arial" w:cs="Arial"/>
          <w:noProof/>
          <w:sz w:val="20"/>
          <w:szCs w:val="24"/>
        </w:rPr>
        <w:tab/>
        <w:t xml:space="preserve">A. . Miles, M.B &amp; Huberman, </w:t>
      </w:r>
      <w:r w:rsidRPr="00E46EFB">
        <w:rPr>
          <w:rFonts w:ascii="Arial" w:hAnsi="Arial" w:cs="Arial"/>
          <w:i/>
          <w:iCs/>
          <w:noProof/>
          <w:sz w:val="20"/>
          <w:szCs w:val="24"/>
        </w:rPr>
        <w:t xml:space="preserve">An expanded sourcebook: Qualitative data analysis </w:t>
      </w:r>
      <w:r w:rsidRPr="00E46EFB">
        <w:rPr>
          <w:rFonts w:ascii="Arial" w:hAnsi="Arial" w:cs="Arial"/>
          <w:i/>
          <w:iCs/>
          <w:noProof/>
          <w:sz w:val="20"/>
          <w:szCs w:val="24"/>
        </w:rPr>
        <w:lastRenderedPageBreak/>
        <w:t>(2nd Edition)</w:t>
      </w:r>
      <w:r w:rsidRPr="00E46EFB">
        <w:rPr>
          <w:rFonts w:ascii="Arial" w:hAnsi="Arial" w:cs="Arial"/>
          <w:noProof/>
          <w:sz w:val="20"/>
          <w:szCs w:val="24"/>
        </w:rPr>
        <w:t xml:space="preserve">. 1994. </w:t>
      </w:r>
      <w:r w:rsidR="00E14582" w:rsidRPr="00E46EFB">
        <w:rPr>
          <w:rFonts w:ascii="Arial" w:hAnsi="Arial" w:cs="Arial"/>
          <w:noProof/>
          <w:sz w:val="20"/>
          <w:szCs w:val="24"/>
        </w:rPr>
        <w:t>DOI</w:t>
      </w:r>
      <w:r w:rsidRPr="00E46EFB">
        <w:rPr>
          <w:rFonts w:ascii="Arial" w:hAnsi="Arial" w:cs="Arial"/>
          <w:noProof/>
          <w:sz w:val="20"/>
          <w:szCs w:val="24"/>
        </w:rPr>
        <w:t>: 10.1016/0149-7189(96)88232-2.</w:t>
      </w:r>
    </w:p>
    <w:p w14:paraId="79158FD8" w14:textId="23AC8B3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[13]</w:t>
      </w:r>
      <w:r w:rsidRPr="00E46EFB">
        <w:rPr>
          <w:rFonts w:ascii="Arial" w:hAnsi="Arial" w:cs="Arial"/>
          <w:noProof/>
          <w:sz w:val="20"/>
          <w:szCs w:val="24"/>
        </w:rPr>
        <w:tab/>
        <w:t xml:space="preserve">A. L. George, “Case Studies and Theory Development: The Method of Structured, Focused Comparison BT  - Alexander L. George: A Pioneer in Political and Social Sciences: With a Foreword by Dan Caldwell,” D. Caldwell, Ed., Cham: Springer International Publishing, 2019, pp. 191–214. </w:t>
      </w:r>
      <w:r w:rsidR="00E14582" w:rsidRPr="00E46EFB">
        <w:rPr>
          <w:rFonts w:ascii="Arial" w:hAnsi="Arial" w:cs="Arial"/>
          <w:noProof/>
          <w:sz w:val="20"/>
          <w:szCs w:val="24"/>
        </w:rPr>
        <w:t>DOI</w:t>
      </w:r>
      <w:r w:rsidRPr="00E46EFB">
        <w:rPr>
          <w:rFonts w:ascii="Arial" w:hAnsi="Arial" w:cs="Arial"/>
          <w:noProof/>
          <w:sz w:val="20"/>
          <w:szCs w:val="24"/>
        </w:rPr>
        <w:t>: 10.1007/978-3-319-90772-7_10.</w:t>
      </w:r>
    </w:p>
    <w:p w14:paraId="4B3C41A3" w14:textId="27786B9A"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[14]</w:t>
      </w:r>
      <w:r w:rsidRPr="00E46EFB">
        <w:rPr>
          <w:rFonts w:ascii="Arial" w:hAnsi="Arial" w:cs="Arial"/>
          <w:noProof/>
          <w:sz w:val="20"/>
          <w:szCs w:val="24"/>
        </w:rPr>
        <w:tab/>
        <w:t xml:space="preserve">J. Buchner and M. Kerres, “Media comparison studies dominate comparative research on augmented reality in education,” </w:t>
      </w:r>
      <w:r w:rsidRPr="00E46EFB">
        <w:rPr>
          <w:rFonts w:ascii="Arial" w:hAnsi="Arial" w:cs="Arial"/>
          <w:i/>
          <w:iCs/>
          <w:noProof/>
          <w:sz w:val="20"/>
          <w:szCs w:val="24"/>
        </w:rPr>
        <w:t>Comput. Educ.</w:t>
      </w:r>
      <w:r w:rsidRPr="00E46EFB">
        <w:rPr>
          <w:rFonts w:ascii="Arial" w:hAnsi="Arial" w:cs="Arial"/>
          <w:noProof/>
          <w:sz w:val="20"/>
          <w:szCs w:val="24"/>
        </w:rPr>
        <w:t xml:space="preserve">, vol. 195, p. 104711, 2023, </w:t>
      </w:r>
      <w:r w:rsidR="00E14582" w:rsidRPr="00E46EFB">
        <w:rPr>
          <w:rFonts w:ascii="Arial" w:hAnsi="Arial" w:cs="Arial"/>
          <w:noProof/>
          <w:sz w:val="20"/>
          <w:szCs w:val="24"/>
        </w:rPr>
        <w:t>DOI</w:t>
      </w:r>
      <w:r w:rsidRPr="00E46EFB">
        <w:rPr>
          <w:rFonts w:ascii="Arial" w:hAnsi="Arial" w:cs="Arial"/>
          <w:noProof/>
          <w:sz w:val="20"/>
          <w:szCs w:val="24"/>
        </w:rPr>
        <w:t>: https://doi.org/10.1016/j.compedu.2022.104711.</w:t>
      </w:r>
    </w:p>
    <w:p w14:paraId="61AEE0E8" w14:textId="012B63A9"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[15]</w:t>
      </w:r>
      <w:r w:rsidRPr="00E46EFB">
        <w:rPr>
          <w:rFonts w:ascii="Arial" w:hAnsi="Arial" w:cs="Arial"/>
          <w:noProof/>
          <w:sz w:val="20"/>
          <w:szCs w:val="24"/>
        </w:rPr>
        <w:tab/>
        <w:t xml:space="preserve">B. Budianto, Z. O. Feri, Q. Nurlaila, H. Sitorus, and T. H. Suryatman, “Quality system as a mediating variable of the relationship between lean manufacturing and operational performance in the food industry,” </w:t>
      </w:r>
      <w:r w:rsidRPr="00E46EFB">
        <w:rPr>
          <w:rFonts w:ascii="Arial" w:hAnsi="Arial" w:cs="Arial"/>
          <w:i/>
          <w:iCs/>
          <w:noProof/>
          <w:sz w:val="20"/>
          <w:szCs w:val="24"/>
        </w:rPr>
        <w:t>SINERGI</w:t>
      </w:r>
      <w:r w:rsidRPr="00E46EFB">
        <w:rPr>
          <w:rFonts w:ascii="Arial" w:hAnsi="Arial" w:cs="Arial"/>
          <w:noProof/>
          <w:sz w:val="20"/>
          <w:szCs w:val="24"/>
        </w:rPr>
        <w:t xml:space="preserve">, vol. 27, no. 2, pp. 201–210, 2023, </w:t>
      </w:r>
      <w:r w:rsidR="00E14582" w:rsidRPr="00E46EFB">
        <w:rPr>
          <w:rFonts w:ascii="Arial" w:hAnsi="Arial" w:cs="Arial"/>
          <w:noProof/>
          <w:sz w:val="20"/>
          <w:szCs w:val="24"/>
        </w:rPr>
        <w:t>DOI</w:t>
      </w:r>
      <w:r w:rsidRPr="00E46EFB">
        <w:rPr>
          <w:rFonts w:ascii="Arial" w:hAnsi="Arial" w:cs="Arial"/>
          <w:noProof/>
          <w:sz w:val="20"/>
          <w:szCs w:val="24"/>
        </w:rPr>
        <w:t>: 10.22441/sinergi.2023.2.008.</w:t>
      </w:r>
    </w:p>
    <w:p w14:paraId="0CF70431" w14:textId="6AFC1D59"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[16]</w:t>
      </w:r>
      <w:r w:rsidRPr="00E46EFB">
        <w:rPr>
          <w:rFonts w:ascii="Arial" w:hAnsi="Arial" w:cs="Arial"/>
          <w:noProof/>
          <w:sz w:val="20"/>
          <w:szCs w:val="24"/>
        </w:rPr>
        <w:tab/>
        <w:t xml:space="preserve">B. G. Aadithya, P. Asokan, and S. Vinodh, “Lean manufacturing in fabrication industry: literature review and framework proposal,” </w:t>
      </w:r>
      <w:r w:rsidRPr="00E46EFB">
        <w:rPr>
          <w:rFonts w:ascii="Arial" w:hAnsi="Arial" w:cs="Arial"/>
          <w:i/>
          <w:iCs/>
          <w:noProof/>
          <w:sz w:val="20"/>
          <w:szCs w:val="24"/>
        </w:rPr>
        <w:t>Int. J. Qual. Reliab. Manag.</w:t>
      </w:r>
      <w:r w:rsidRPr="00E46EFB">
        <w:rPr>
          <w:rFonts w:ascii="Arial" w:hAnsi="Arial" w:cs="Arial"/>
          <w:noProof/>
          <w:sz w:val="20"/>
          <w:szCs w:val="24"/>
        </w:rPr>
        <w:t xml:space="preserve">, vol. 40, no. 6, pp. 1485–1517, Jan. 2023, </w:t>
      </w:r>
      <w:r w:rsidR="00E14582" w:rsidRPr="00E46EFB">
        <w:rPr>
          <w:rFonts w:ascii="Arial" w:hAnsi="Arial" w:cs="Arial"/>
          <w:noProof/>
          <w:sz w:val="20"/>
          <w:szCs w:val="24"/>
        </w:rPr>
        <w:t>DOI</w:t>
      </w:r>
      <w:r w:rsidRPr="00E46EFB">
        <w:rPr>
          <w:rFonts w:ascii="Arial" w:hAnsi="Arial" w:cs="Arial"/>
          <w:noProof/>
          <w:sz w:val="20"/>
          <w:szCs w:val="24"/>
        </w:rPr>
        <w:t>: 10.1108/IJQRM-03-2021-0084.</w:t>
      </w:r>
    </w:p>
    <w:p w14:paraId="7B689274" w14:textId="20879FE2"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[17]</w:t>
      </w:r>
      <w:r w:rsidRPr="00E46EFB">
        <w:rPr>
          <w:rFonts w:ascii="Arial" w:hAnsi="Arial" w:cs="Arial"/>
          <w:noProof/>
          <w:sz w:val="20"/>
          <w:szCs w:val="24"/>
        </w:rPr>
        <w:tab/>
        <w:t xml:space="preserve">M. Helmold, “5S Concept in Quality Management BT  - Virtual and Innovative Quality Management Across the Value Chain: Industry Insights, Case Studies and Best Practices,” M. Helmold, Ed., Cham: Springer International Publishing, 2023, pp. 113–126. </w:t>
      </w:r>
      <w:r w:rsidR="00E14582" w:rsidRPr="00E46EFB">
        <w:rPr>
          <w:rFonts w:ascii="Arial" w:hAnsi="Arial" w:cs="Arial"/>
          <w:noProof/>
          <w:sz w:val="20"/>
          <w:szCs w:val="24"/>
        </w:rPr>
        <w:t>DOI</w:t>
      </w:r>
      <w:r w:rsidRPr="00E46EFB">
        <w:rPr>
          <w:rFonts w:ascii="Arial" w:hAnsi="Arial" w:cs="Arial"/>
          <w:noProof/>
          <w:sz w:val="20"/>
          <w:szCs w:val="24"/>
        </w:rPr>
        <w:t>: 10.1007/978-3-031-30089-9_10.</w:t>
      </w:r>
    </w:p>
    <w:p w14:paraId="75C7775B" w14:textId="303BE5E5"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[18]</w:t>
      </w:r>
      <w:r w:rsidRPr="00E46EFB">
        <w:rPr>
          <w:rFonts w:ascii="Arial" w:hAnsi="Arial" w:cs="Arial"/>
          <w:noProof/>
          <w:sz w:val="20"/>
          <w:szCs w:val="24"/>
        </w:rPr>
        <w:tab/>
        <w:t xml:space="preserve">V. Kumar, A. Mittal, P. Verma, and J. Antony, “Mapping the TQM implementation approaches and their impact on realizing leadership in Indian tyre manufacturing industry,” </w:t>
      </w:r>
      <w:r w:rsidRPr="00E46EFB">
        <w:rPr>
          <w:rFonts w:ascii="Arial" w:hAnsi="Arial" w:cs="Arial"/>
          <w:i/>
          <w:iCs/>
          <w:noProof/>
          <w:sz w:val="20"/>
          <w:szCs w:val="24"/>
        </w:rPr>
        <w:t>TQM J.</w:t>
      </w:r>
      <w:r w:rsidRPr="00E46EFB">
        <w:rPr>
          <w:rFonts w:ascii="Arial" w:hAnsi="Arial" w:cs="Arial"/>
          <w:noProof/>
          <w:sz w:val="20"/>
          <w:szCs w:val="24"/>
        </w:rPr>
        <w:t xml:space="preserve">, vol. ahead-of-p, no. ahead-of-print, Jan. 2023, </w:t>
      </w:r>
      <w:r w:rsidR="00E14582" w:rsidRPr="00E46EFB">
        <w:rPr>
          <w:rFonts w:ascii="Arial" w:hAnsi="Arial" w:cs="Arial"/>
          <w:noProof/>
          <w:sz w:val="20"/>
          <w:szCs w:val="24"/>
        </w:rPr>
        <w:t>DOI</w:t>
      </w:r>
      <w:r w:rsidRPr="00E46EFB">
        <w:rPr>
          <w:rFonts w:ascii="Arial" w:hAnsi="Arial" w:cs="Arial"/>
          <w:noProof/>
          <w:sz w:val="20"/>
          <w:szCs w:val="24"/>
        </w:rPr>
        <w:t>: 10.1108/TQM-08-2022-0258.</w:t>
      </w:r>
    </w:p>
    <w:p w14:paraId="003ACAC9"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[19]</w:t>
      </w:r>
      <w:r w:rsidRPr="00E46EFB">
        <w:rPr>
          <w:rFonts w:ascii="Arial" w:hAnsi="Arial" w:cs="Arial"/>
          <w:noProof/>
          <w:sz w:val="20"/>
          <w:szCs w:val="24"/>
        </w:rPr>
        <w:tab/>
        <w:t xml:space="preserve">M. T. Gelaw, D. K. Azene, and E. Berhan, “Assessment of critical success factors, barriers and initiatives of total productive maintenance (TPM) in selected Ethiopian manufacturing industries,” </w:t>
      </w:r>
      <w:r w:rsidRPr="00E46EFB">
        <w:rPr>
          <w:rFonts w:ascii="Arial" w:hAnsi="Arial" w:cs="Arial"/>
          <w:i/>
          <w:iCs/>
          <w:noProof/>
          <w:sz w:val="20"/>
          <w:szCs w:val="24"/>
        </w:rPr>
        <w:t>J. Qual. Maint. Eng.</w:t>
      </w:r>
      <w:r w:rsidRPr="00E46EFB">
        <w:rPr>
          <w:rFonts w:ascii="Arial" w:hAnsi="Arial" w:cs="Arial"/>
          <w:noProof/>
          <w:sz w:val="20"/>
          <w:szCs w:val="24"/>
        </w:rPr>
        <w:t>, vol. 30, no. 1, pp. 51–80, Jan. 2024, doi: 10.1108/JQME-11-2022-0073.</w:t>
      </w:r>
    </w:p>
    <w:p w14:paraId="6A8223B6" w14:textId="6DD58EA3"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[20]</w:t>
      </w:r>
      <w:r w:rsidRPr="00E46EFB">
        <w:rPr>
          <w:rFonts w:ascii="Arial" w:hAnsi="Arial" w:cs="Arial"/>
          <w:noProof/>
          <w:sz w:val="20"/>
          <w:szCs w:val="24"/>
        </w:rPr>
        <w:tab/>
        <w:t xml:space="preserve">A. Shokri, J. Antony, J. A. Garza-Reyes, and M. Upton, “Scoping review of the </w:t>
      </w:r>
      <w:r w:rsidRPr="00E46EFB">
        <w:rPr>
          <w:rFonts w:ascii="Arial" w:hAnsi="Arial" w:cs="Arial"/>
          <w:noProof/>
          <w:sz w:val="20"/>
          <w:szCs w:val="24"/>
        </w:rPr>
        <w:t xml:space="preserve">readiness for sustainable implementation of Lean Six Sigma projects in the manufacturing sector,” </w:t>
      </w:r>
      <w:r w:rsidRPr="00E46EFB">
        <w:rPr>
          <w:rFonts w:ascii="Arial" w:hAnsi="Arial" w:cs="Arial"/>
          <w:i/>
          <w:iCs/>
          <w:noProof/>
          <w:sz w:val="20"/>
          <w:szCs w:val="24"/>
        </w:rPr>
        <w:t>Int. J. Qual. Reliab. Manag.</w:t>
      </w:r>
      <w:r w:rsidRPr="00E46EFB">
        <w:rPr>
          <w:rFonts w:ascii="Arial" w:hAnsi="Arial" w:cs="Arial"/>
          <w:noProof/>
          <w:sz w:val="20"/>
          <w:szCs w:val="24"/>
        </w:rPr>
        <w:t xml:space="preserve">, vol. 38, no. 8, pp. 1747–1770, Jan. 2021, </w:t>
      </w:r>
      <w:r w:rsidR="00E14582" w:rsidRPr="00E46EFB">
        <w:rPr>
          <w:rFonts w:ascii="Arial" w:hAnsi="Arial" w:cs="Arial"/>
          <w:noProof/>
          <w:sz w:val="20"/>
          <w:szCs w:val="24"/>
        </w:rPr>
        <w:t>DOI</w:t>
      </w:r>
      <w:r w:rsidRPr="00E46EFB">
        <w:rPr>
          <w:rFonts w:ascii="Arial" w:hAnsi="Arial" w:cs="Arial"/>
          <w:noProof/>
          <w:sz w:val="20"/>
          <w:szCs w:val="24"/>
        </w:rPr>
        <w:t>: 10.1108/IJQRM-08-2020-0261.</w:t>
      </w:r>
    </w:p>
    <w:p w14:paraId="1DA0DAC8" w14:textId="538B87B4"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[21]</w:t>
      </w:r>
      <w:r w:rsidRPr="00E46EFB">
        <w:rPr>
          <w:rFonts w:ascii="Arial" w:hAnsi="Arial" w:cs="Arial"/>
          <w:noProof/>
          <w:sz w:val="20"/>
          <w:szCs w:val="24"/>
        </w:rPr>
        <w:tab/>
        <w:t xml:space="preserve">L. Ye, S. L. Pan, J. Wang, J. Wu, and X. Dong, “Big data analytics for sustainable cities: An information triangulation study of hazardous materials transportation,” </w:t>
      </w:r>
      <w:r w:rsidRPr="00E46EFB">
        <w:rPr>
          <w:rFonts w:ascii="Arial" w:hAnsi="Arial" w:cs="Arial"/>
          <w:i/>
          <w:iCs/>
          <w:noProof/>
          <w:sz w:val="20"/>
          <w:szCs w:val="24"/>
        </w:rPr>
        <w:t>J. Bus. Res.</w:t>
      </w:r>
      <w:r w:rsidRPr="00E46EFB">
        <w:rPr>
          <w:rFonts w:ascii="Arial" w:hAnsi="Arial" w:cs="Arial"/>
          <w:noProof/>
          <w:sz w:val="20"/>
          <w:szCs w:val="24"/>
        </w:rPr>
        <w:t xml:space="preserve">, vol. 128, pp. 381–390, 2021, </w:t>
      </w:r>
      <w:r w:rsidR="00E14582" w:rsidRPr="00E46EFB">
        <w:rPr>
          <w:rFonts w:ascii="Arial" w:hAnsi="Arial" w:cs="Arial"/>
          <w:noProof/>
          <w:sz w:val="20"/>
          <w:szCs w:val="24"/>
        </w:rPr>
        <w:t>DOI</w:t>
      </w:r>
      <w:r w:rsidRPr="00E46EFB">
        <w:rPr>
          <w:rFonts w:ascii="Arial" w:hAnsi="Arial" w:cs="Arial"/>
          <w:noProof/>
          <w:sz w:val="20"/>
          <w:szCs w:val="24"/>
        </w:rPr>
        <w:t>: 10.1016/j.jbusres.2021.01.057.</w:t>
      </w:r>
    </w:p>
    <w:p w14:paraId="3EF5EE77" w14:textId="2DB90C02"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[22]</w:t>
      </w:r>
      <w:r w:rsidRPr="00E46EFB">
        <w:rPr>
          <w:rFonts w:ascii="Arial" w:hAnsi="Arial" w:cs="Arial"/>
          <w:noProof/>
          <w:sz w:val="20"/>
          <w:szCs w:val="24"/>
        </w:rPr>
        <w:tab/>
        <w:t xml:space="preserve">D. J. Powell, D. A. Laubengaier, G. L. Tortorella, H. Saabye, J. Antony, and R. Cagliano, “Digitalization in lean manufacturing firms: a cumulative capability development perspective,” </w:t>
      </w:r>
      <w:r w:rsidRPr="00E46EFB">
        <w:rPr>
          <w:rFonts w:ascii="Arial" w:hAnsi="Arial" w:cs="Arial"/>
          <w:i/>
          <w:iCs/>
          <w:noProof/>
          <w:sz w:val="20"/>
          <w:szCs w:val="24"/>
        </w:rPr>
        <w:t>Int. J. Oper. Prod. Manag.</w:t>
      </w:r>
      <w:r w:rsidRPr="00E46EFB">
        <w:rPr>
          <w:rFonts w:ascii="Arial" w:hAnsi="Arial" w:cs="Arial"/>
          <w:noProof/>
          <w:sz w:val="20"/>
          <w:szCs w:val="24"/>
        </w:rPr>
        <w:t xml:space="preserve">, vol. 44, no. 6, pp. 1249–1278, Jan. 2024, </w:t>
      </w:r>
      <w:r w:rsidR="00E14582" w:rsidRPr="00E46EFB">
        <w:rPr>
          <w:rFonts w:ascii="Arial" w:hAnsi="Arial" w:cs="Arial"/>
          <w:noProof/>
          <w:sz w:val="20"/>
          <w:szCs w:val="24"/>
        </w:rPr>
        <w:t>DOI</w:t>
      </w:r>
      <w:r w:rsidRPr="00E46EFB">
        <w:rPr>
          <w:rFonts w:ascii="Arial" w:hAnsi="Arial" w:cs="Arial"/>
          <w:noProof/>
          <w:sz w:val="20"/>
          <w:szCs w:val="24"/>
        </w:rPr>
        <w:t>: 10.1108/IJOPM-05-2023-0414.</w:t>
      </w:r>
    </w:p>
    <w:p w14:paraId="7BCA33D4" w14:textId="20B44D0A"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[23]</w:t>
      </w:r>
      <w:r w:rsidRPr="00E46EFB">
        <w:rPr>
          <w:rFonts w:ascii="Arial" w:hAnsi="Arial" w:cs="Arial"/>
          <w:noProof/>
          <w:sz w:val="20"/>
          <w:szCs w:val="24"/>
        </w:rPr>
        <w:tab/>
        <w:t xml:space="preserve">M. Rabbani, S. Aghamohamadi-Bosjin, and ..., “Leagile supply chain network design through a dynamic two-phase optimization in view of order penetration point,” </w:t>
      </w:r>
      <w:r w:rsidRPr="00E46EFB">
        <w:rPr>
          <w:rFonts w:ascii="Arial" w:hAnsi="Arial" w:cs="Arial"/>
          <w:i/>
          <w:iCs/>
          <w:noProof/>
          <w:sz w:val="20"/>
          <w:szCs w:val="24"/>
        </w:rPr>
        <w:t>RAIRO-Operations</w:t>
      </w:r>
      <w:r w:rsidR="00E14582">
        <w:rPr>
          <w:rFonts w:ascii="Arial" w:hAnsi="Arial" w:cs="Arial"/>
          <w:i/>
          <w:iCs/>
          <w:noProof/>
          <w:sz w:val="20"/>
          <w:szCs w:val="24"/>
        </w:rPr>
        <w:t xml:space="preserve">, </w:t>
      </w:r>
      <w:r w:rsidR="00E14582">
        <w:rPr>
          <w:rFonts w:ascii="Arial" w:hAnsi="Arial" w:cs="Arial"/>
          <w:color w:val="222222"/>
          <w:sz w:val="20"/>
          <w:szCs w:val="20"/>
          <w:shd w:val="clear" w:color="auto" w:fill="FFFFFF"/>
        </w:rPr>
        <w:t>55: S1369-S1394.</w:t>
      </w:r>
      <w:r w:rsidRPr="00E46EFB">
        <w:rPr>
          <w:rFonts w:ascii="Arial" w:hAnsi="Arial" w:cs="Arial"/>
          <w:noProof/>
          <w:sz w:val="20"/>
          <w:szCs w:val="24"/>
        </w:rPr>
        <w:t xml:space="preserve"> 2021, </w:t>
      </w:r>
    </w:p>
    <w:p w14:paraId="17333BBD" w14:textId="17E78EF3"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[24]</w:t>
      </w:r>
      <w:r w:rsidRPr="00E46EFB">
        <w:rPr>
          <w:rFonts w:ascii="Arial" w:hAnsi="Arial" w:cs="Arial"/>
          <w:noProof/>
          <w:sz w:val="20"/>
          <w:szCs w:val="24"/>
        </w:rPr>
        <w:tab/>
        <w:t xml:space="preserve">Y. Li, A. Diabat, and C. C. Lu, “Leagile supplier selection in Chinese textile industries: a DEMATEL approach,” </w:t>
      </w:r>
      <w:r w:rsidRPr="00E46EFB">
        <w:rPr>
          <w:rFonts w:ascii="Arial" w:hAnsi="Arial" w:cs="Arial"/>
          <w:i/>
          <w:iCs/>
          <w:noProof/>
          <w:sz w:val="20"/>
          <w:szCs w:val="24"/>
        </w:rPr>
        <w:t>Ann. Oper. Res.</w:t>
      </w:r>
      <w:r w:rsidR="00E14582">
        <w:rPr>
          <w:rFonts w:ascii="Arial" w:hAnsi="Arial" w:cs="Arial"/>
          <w:noProof/>
          <w:sz w:val="20"/>
          <w:szCs w:val="24"/>
        </w:rPr>
        <w:t xml:space="preserve"> vol. </w:t>
      </w:r>
      <w:r w:rsidR="00E14582">
        <w:rPr>
          <w:rFonts w:ascii="Arial" w:hAnsi="Arial" w:cs="Arial"/>
          <w:color w:val="222222"/>
          <w:sz w:val="20"/>
          <w:szCs w:val="20"/>
          <w:shd w:val="clear" w:color="auto" w:fill="FFFFFF"/>
        </w:rPr>
        <w:t>287</w:t>
      </w:r>
      <w:r w:rsidR="00E14582">
        <w:rPr>
          <w:rFonts w:ascii="Arial" w:hAnsi="Arial" w:cs="Arial"/>
          <w:color w:val="222222"/>
          <w:sz w:val="20"/>
          <w:szCs w:val="20"/>
          <w:shd w:val="clear" w:color="auto" w:fill="FFFFFF"/>
        </w:rPr>
        <w:t>, no.</w:t>
      </w:r>
      <w:r w:rsidR="00E14582">
        <w:rPr>
          <w:rFonts w:ascii="Arial" w:hAnsi="Arial" w:cs="Arial"/>
          <w:color w:val="222222"/>
          <w:sz w:val="20"/>
          <w:szCs w:val="20"/>
          <w:shd w:val="clear" w:color="auto" w:fill="FFFFFF"/>
        </w:rPr>
        <w:t>1</w:t>
      </w:r>
      <w:r w:rsidR="00E14582">
        <w:rPr>
          <w:rFonts w:ascii="Arial" w:hAnsi="Arial" w:cs="Arial"/>
          <w:color w:val="222222"/>
          <w:sz w:val="20"/>
          <w:szCs w:val="20"/>
          <w:shd w:val="clear" w:color="auto" w:fill="FFFFFF"/>
        </w:rPr>
        <w:t>, pp:</w:t>
      </w:r>
      <w:r w:rsidR="00E14582">
        <w:rPr>
          <w:rFonts w:ascii="Arial" w:hAnsi="Arial" w:cs="Arial"/>
          <w:color w:val="222222"/>
          <w:sz w:val="20"/>
          <w:szCs w:val="20"/>
          <w:shd w:val="clear" w:color="auto" w:fill="FFFFFF"/>
        </w:rPr>
        <w:t xml:space="preserve"> 303-322.</w:t>
      </w:r>
      <w:r w:rsidRPr="00E46EFB">
        <w:rPr>
          <w:rFonts w:ascii="Arial" w:hAnsi="Arial" w:cs="Arial"/>
          <w:noProof/>
          <w:sz w:val="20"/>
          <w:szCs w:val="24"/>
        </w:rPr>
        <w:t xml:space="preserve">2020, </w:t>
      </w:r>
    </w:p>
    <w:p w14:paraId="23876E8B" w14:textId="1890C335"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[25]</w:t>
      </w:r>
      <w:r w:rsidRPr="00E46EFB">
        <w:rPr>
          <w:rFonts w:ascii="Arial" w:hAnsi="Arial" w:cs="Arial"/>
          <w:noProof/>
          <w:sz w:val="20"/>
          <w:szCs w:val="24"/>
        </w:rPr>
        <w:tab/>
        <w:t xml:space="preserve">R. K. Tiwari and J. K. Tiwari, “Prioritisation of attributes of green leanness and agility to achieve sustainable strategic advantages in Indian automotive SMEs environment,” </w:t>
      </w:r>
      <w:r w:rsidRPr="00E46EFB">
        <w:rPr>
          <w:rFonts w:ascii="Arial" w:hAnsi="Arial" w:cs="Arial"/>
          <w:i/>
          <w:iCs/>
          <w:noProof/>
          <w:sz w:val="20"/>
          <w:szCs w:val="24"/>
        </w:rPr>
        <w:t>Int. J. Ind.</w:t>
      </w:r>
      <w:r w:rsidR="00C5351F">
        <w:rPr>
          <w:rFonts w:ascii="Arial" w:hAnsi="Arial" w:cs="Arial"/>
          <w:i/>
          <w:iCs/>
          <w:noProof/>
          <w:sz w:val="20"/>
          <w:szCs w:val="24"/>
        </w:rPr>
        <w:t xml:space="preserve">. </w:t>
      </w:r>
      <w:r w:rsidR="00C5351F">
        <w:rPr>
          <w:rFonts w:ascii="Arial" w:hAnsi="Arial" w:cs="Arial"/>
          <w:iCs/>
          <w:noProof/>
          <w:sz w:val="20"/>
          <w:szCs w:val="24"/>
        </w:rPr>
        <w:t xml:space="preserve">vol. </w:t>
      </w:r>
      <w:r w:rsidR="00C5351F">
        <w:rPr>
          <w:rFonts w:ascii="Arial" w:hAnsi="Arial" w:cs="Arial"/>
          <w:color w:val="222222"/>
          <w:sz w:val="20"/>
          <w:szCs w:val="20"/>
          <w:shd w:val="clear" w:color="auto" w:fill="FFFFFF"/>
        </w:rPr>
        <w:t>36</w:t>
      </w:r>
      <w:r w:rsidR="00C5351F">
        <w:rPr>
          <w:rFonts w:ascii="Arial" w:hAnsi="Arial" w:cs="Arial"/>
          <w:color w:val="222222"/>
          <w:sz w:val="20"/>
          <w:szCs w:val="20"/>
          <w:shd w:val="clear" w:color="auto" w:fill="FFFFFF"/>
        </w:rPr>
        <w:t>, no.</w:t>
      </w:r>
      <w:r w:rsidR="00C5351F">
        <w:rPr>
          <w:rFonts w:ascii="Arial" w:hAnsi="Arial" w:cs="Arial"/>
          <w:color w:val="222222"/>
          <w:sz w:val="20"/>
          <w:szCs w:val="20"/>
          <w:shd w:val="clear" w:color="auto" w:fill="FFFFFF"/>
        </w:rPr>
        <w:t>3</w:t>
      </w:r>
      <w:r w:rsidR="00C5351F">
        <w:rPr>
          <w:rFonts w:ascii="Arial" w:hAnsi="Arial" w:cs="Arial"/>
          <w:color w:val="222222"/>
          <w:sz w:val="20"/>
          <w:szCs w:val="20"/>
          <w:shd w:val="clear" w:color="auto" w:fill="FFFFFF"/>
        </w:rPr>
        <w:t xml:space="preserve">, pp: </w:t>
      </w:r>
      <w:r w:rsidR="00C5351F">
        <w:rPr>
          <w:rFonts w:ascii="Arial" w:hAnsi="Arial" w:cs="Arial"/>
          <w:color w:val="222222"/>
          <w:sz w:val="20"/>
          <w:szCs w:val="20"/>
          <w:shd w:val="clear" w:color="auto" w:fill="FFFFFF"/>
        </w:rPr>
        <w:t xml:space="preserve"> 316-338</w:t>
      </w:r>
      <w:r w:rsidR="00C5351F">
        <w:rPr>
          <w:rFonts w:ascii="Arial" w:hAnsi="Arial" w:cs="Arial"/>
          <w:i/>
          <w:iCs/>
          <w:noProof/>
          <w:sz w:val="20"/>
          <w:szCs w:val="24"/>
        </w:rPr>
        <w:t>,</w:t>
      </w:r>
      <w:r w:rsidRPr="00E46EFB">
        <w:rPr>
          <w:rFonts w:ascii="Arial" w:hAnsi="Arial" w:cs="Arial"/>
          <w:noProof/>
          <w:sz w:val="20"/>
          <w:szCs w:val="24"/>
        </w:rPr>
        <w:t xml:space="preserve"> 2020, </w:t>
      </w:r>
    </w:p>
    <w:p w14:paraId="1DA89CC5" w14:textId="2C2CDDBD"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[26]</w:t>
      </w:r>
      <w:r w:rsidRPr="00E46EFB">
        <w:rPr>
          <w:rFonts w:ascii="Arial" w:hAnsi="Arial" w:cs="Arial"/>
          <w:noProof/>
          <w:sz w:val="20"/>
          <w:szCs w:val="24"/>
        </w:rPr>
        <w:tab/>
        <w:t xml:space="preserve">M. M. Omoush, “Lean Six Sigma Effect on the Quality of the Products in Jordanian Food Companies: the Moderating Role of the Manufacturing Process,” </w:t>
      </w:r>
      <w:r w:rsidRPr="00E46EFB">
        <w:rPr>
          <w:rFonts w:ascii="Arial" w:hAnsi="Arial" w:cs="Arial"/>
          <w:i/>
          <w:iCs/>
          <w:noProof/>
          <w:sz w:val="20"/>
          <w:szCs w:val="24"/>
        </w:rPr>
        <w:t>Int. Rev. Manag. Mark.</w:t>
      </w:r>
      <w:r w:rsidRPr="00E46EFB">
        <w:rPr>
          <w:rFonts w:ascii="Arial" w:hAnsi="Arial" w:cs="Arial"/>
          <w:noProof/>
          <w:sz w:val="20"/>
          <w:szCs w:val="24"/>
        </w:rPr>
        <w:t xml:space="preserve">, vol. 10, no. 6, pp. 1–12, 2020, </w:t>
      </w:r>
      <w:r w:rsidR="00C5351F" w:rsidRPr="00E46EFB">
        <w:rPr>
          <w:rFonts w:ascii="Arial" w:hAnsi="Arial" w:cs="Arial"/>
          <w:noProof/>
          <w:sz w:val="20"/>
          <w:szCs w:val="24"/>
        </w:rPr>
        <w:t>DOI</w:t>
      </w:r>
      <w:r w:rsidRPr="00E46EFB">
        <w:rPr>
          <w:rFonts w:ascii="Arial" w:hAnsi="Arial" w:cs="Arial"/>
          <w:noProof/>
          <w:sz w:val="20"/>
          <w:szCs w:val="24"/>
        </w:rPr>
        <w:t>: 10.32479/irmm.10680.</w:t>
      </w:r>
    </w:p>
    <w:p w14:paraId="6892F5F9" w14:textId="50437726"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[27]</w:t>
      </w:r>
      <w:r w:rsidRPr="00E46EFB">
        <w:rPr>
          <w:rFonts w:ascii="Arial" w:hAnsi="Arial" w:cs="Arial"/>
          <w:noProof/>
          <w:sz w:val="20"/>
          <w:szCs w:val="24"/>
        </w:rPr>
        <w:tab/>
        <w:t xml:space="preserve">M. H. Yaseen </w:t>
      </w:r>
      <w:r w:rsidRPr="00E46EFB">
        <w:rPr>
          <w:rFonts w:ascii="Arial" w:hAnsi="Arial" w:cs="Arial"/>
          <w:i/>
          <w:iCs/>
          <w:noProof/>
          <w:sz w:val="20"/>
          <w:szCs w:val="24"/>
        </w:rPr>
        <w:t>et al.</w:t>
      </w:r>
      <w:r w:rsidRPr="00E46EFB">
        <w:rPr>
          <w:rFonts w:ascii="Arial" w:hAnsi="Arial" w:cs="Arial"/>
          <w:noProof/>
          <w:sz w:val="20"/>
          <w:szCs w:val="24"/>
        </w:rPr>
        <w:t xml:space="preserve">, “The Relationship of Lean Production and Business Performance in Malaysian Food Industry Facilities Provision for Persons With Disabilities View project Facilities Management Services View project The Relationship of Lean Production and Business Performanc,” </w:t>
      </w:r>
      <w:r w:rsidRPr="00E46EFB">
        <w:rPr>
          <w:rFonts w:ascii="Arial" w:hAnsi="Arial" w:cs="Arial"/>
          <w:i/>
          <w:iCs/>
          <w:noProof/>
          <w:sz w:val="20"/>
          <w:szCs w:val="24"/>
        </w:rPr>
        <w:t>Solid State Technol.</w:t>
      </w:r>
      <w:r w:rsidRPr="00E46EFB">
        <w:rPr>
          <w:rFonts w:ascii="Arial" w:hAnsi="Arial" w:cs="Arial"/>
          <w:noProof/>
          <w:sz w:val="20"/>
          <w:szCs w:val="24"/>
        </w:rPr>
        <w:t xml:space="preserve">, vol. 63, no. 6, pp. 6143–6158, 2021, </w:t>
      </w:r>
    </w:p>
    <w:p w14:paraId="68F34B70" w14:textId="78E7F0C1"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[28]</w:t>
      </w:r>
      <w:r w:rsidRPr="00E46EFB">
        <w:rPr>
          <w:rFonts w:ascii="Arial" w:hAnsi="Arial" w:cs="Arial"/>
          <w:noProof/>
          <w:sz w:val="20"/>
          <w:szCs w:val="24"/>
        </w:rPr>
        <w:tab/>
        <w:t xml:space="preserve">M. Manzouri </w:t>
      </w:r>
      <w:r w:rsidRPr="00E46EFB">
        <w:rPr>
          <w:rFonts w:ascii="Arial" w:hAnsi="Arial" w:cs="Arial"/>
          <w:i/>
          <w:iCs/>
          <w:noProof/>
          <w:sz w:val="20"/>
          <w:szCs w:val="24"/>
        </w:rPr>
        <w:t>et al.</w:t>
      </w:r>
      <w:r w:rsidRPr="00E46EFB">
        <w:rPr>
          <w:rFonts w:ascii="Arial" w:hAnsi="Arial" w:cs="Arial"/>
          <w:noProof/>
          <w:sz w:val="20"/>
          <w:szCs w:val="24"/>
        </w:rPr>
        <w:t xml:space="preserve">, “Lean Manufacturing and the Food Industry .,” </w:t>
      </w:r>
      <w:r w:rsidRPr="00E46EFB">
        <w:rPr>
          <w:rFonts w:ascii="Arial" w:hAnsi="Arial" w:cs="Arial"/>
          <w:i/>
          <w:iCs/>
          <w:noProof/>
          <w:sz w:val="20"/>
          <w:szCs w:val="24"/>
        </w:rPr>
        <w:t>J. Technol. Manag. Innov.</w:t>
      </w:r>
      <w:r w:rsidR="003A4195">
        <w:rPr>
          <w:rFonts w:ascii="Arial" w:hAnsi="Arial" w:cs="Arial"/>
          <w:noProof/>
          <w:sz w:val="20"/>
          <w:szCs w:val="24"/>
        </w:rPr>
        <w:t xml:space="preserve"> vol.</w:t>
      </w:r>
      <w:r w:rsidR="003A4195">
        <w:rPr>
          <w:rFonts w:ascii="Arial" w:hAnsi="Arial" w:cs="Arial"/>
          <w:color w:val="222222"/>
          <w:sz w:val="20"/>
          <w:szCs w:val="20"/>
          <w:shd w:val="clear" w:color="auto" w:fill="FFFFFF"/>
        </w:rPr>
        <w:t>6</w:t>
      </w:r>
      <w:r w:rsidR="003A4195">
        <w:rPr>
          <w:rFonts w:ascii="Arial" w:hAnsi="Arial" w:cs="Arial"/>
          <w:color w:val="222222"/>
          <w:sz w:val="20"/>
          <w:szCs w:val="20"/>
          <w:shd w:val="clear" w:color="auto" w:fill="FFFFFF"/>
        </w:rPr>
        <w:t xml:space="preserve">, no. </w:t>
      </w:r>
      <w:r w:rsidR="003A4195">
        <w:rPr>
          <w:rFonts w:ascii="Arial" w:hAnsi="Arial" w:cs="Arial"/>
          <w:color w:val="222222"/>
          <w:sz w:val="20"/>
          <w:szCs w:val="20"/>
          <w:shd w:val="clear" w:color="auto" w:fill="FFFFFF"/>
        </w:rPr>
        <w:t>12</w:t>
      </w:r>
      <w:r w:rsidR="003A4195">
        <w:rPr>
          <w:rFonts w:ascii="Arial" w:hAnsi="Arial" w:cs="Arial"/>
          <w:color w:val="222222"/>
          <w:sz w:val="20"/>
          <w:szCs w:val="20"/>
          <w:shd w:val="clear" w:color="auto" w:fill="FFFFFF"/>
        </w:rPr>
        <w:t>, pp:v</w:t>
      </w:r>
      <w:r w:rsidR="003A4195">
        <w:rPr>
          <w:rFonts w:ascii="Arial" w:hAnsi="Arial" w:cs="Arial"/>
          <w:color w:val="222222"/>
          <w:sz w:val="20"/>
          <w:szCs w:val="20"/>
          <w:shd w:val="clear" w:color="auto" w:fill="FFFFFF"/>
        </w:rPr>
        <w:t>9179-</w:t>
      </w:r>
      <w:r w:rsidR="003A4195">
        <w:rPr>
          <w:rFonts w:ascii="Arial" w:hAnsi="Arial" w:cs="Arial"/>
          <w:color w:val="222222"/>
          <w:sz w:val="20"/>
          <w:szCs w:val="20"/>
          <w:shd w:val="clear" w:color="auto" w:fill="FFFFFF"/>
        </w:rPr>
        <w:lastRenderedPageBreak/>
        <w:t>9204.</w:t>
      </w:r>
      <w:r w:rsidRPr="00E46EFB">
        <w:rPr>
          <w:rFonts w:ascii="Arial" w:hAnsi="Arial" w:cs="Arial"/>
          <w:noProof/>
          <w:sz w:val="20"/>
          <w:szCs w:val="24"/>
        </w:rPr>
        <w:t xml:space="preserve">2015, </w:t>
      </w:r>
      <w:r w:rsidR="00C5351F" w:rsidRPr="00E46EFB">
        <w:rPr>
          <w:rFonts w:ascii="Arial" w:hAnsi="Arial" w:cs="Arial"/>
          <w:noProof/>
          <w:sz w:val="20"/>
          <w:szCs w:val="24"/>
        </w:rPr>
        <w:t>DOI</w:t>
      </w:r>
      <w:r w:rsidRPr="00E46EFB">
        <w:rPr>
          <w:rFonts w:ascii="Arial" w:hAnsi="Arial" w:cs="Arial"/>
          <w:noProof/>
          <w:sz w:val="20"/>
          <w:szCs w:val="24"/>
        </w:rPr>
        <w:t>: 10.3390/su6129179.</w:t>
      </w:r>
    </w:p>
    <w:p w14:paraId="58A1FCCD"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[29]</w:t>
      </w:r>
      <w:r w:rsidRPr="00E46EFB">
        <w:rPr>
          <w:rFonts w:ascii="Arial" w:hAnsi="Arial" w:cs="Arial"/>
          <w:noProof/>
          <w:sz w:val="20"/>
          <w:szCs w:val="24"/>
        </w:rPr>
        <w:tab/>
        <w:t xml:space="preserve">A. Veseli, A. Bajraktari, and A. Trajkovska Petkoska, “The Implementation of Lean Manufacturing on Zero Waste Technologies in the Food Processing Industry: Insights from Food Processing Companies in Kosovo and North Macedonia.,” </w:t>
      </w:r>
      <w:r w:rsidRPr="00E46EFB">
        <w:rPr>
          <w:rFonts w:ascii="Arial" w:hAnsi="Arial" w:cs="Arial"/>
          <w:i/>
          <w:iCs/>
          <w:noProof/>
          <w:sz w:val="20"/>
          <w:szCs w:val="24"/>
        </w:rPr>
        <w:t>Sustain.</w:t>
      </w:r>
      <w:r w:rsidRPr="00E46EFB">
        <w:rPr>
          <w:rFonts w:ascii="Arial" w:hAnsi="Arial" w:cs="Arial"/>
          <w:noProof/>
          <w:sz w:val="20"/>
          <w:szCs w:val="24"/>
        </w:rPr>
        <w:t>, vol. 16, no. 14, 2024.</w:t>
      </w:r>
    </w:p>
    <w:p w14:paraId="596C1AA4"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[30]</w:t>
      </w:r>
      <w:r w:rsidRPr="00E46EFB">
        <w:rPr>
          <w:rFonts w:ascii="Arial" w:hAnsi="Arial" w:cs="Arial"/>
          <w:noProof/>
          <w:sz w:val="20"/>
          <w:szCs w:val="24"/>
        </w:rPr>
        <w:tab/>
        <w:t xml:space="preserve">R. A. Domínguez, M. del M. Espinosa, M. Domínguez, and L. Romero, “Lean 6S in Food Production: HACCP as a Benchmark for the Sixth S ‘Safety,’” </w:t>
      </w:r>
      <w:r w:rsidRPr="00E46EFB">
        <w:rPr>
          <w:rFonts w:ascii="Arial" w:hAnsi="Arial" w:cs="Arial"/>
          <w:i/>
          <w:iCs/>
          <w:noProof/>
          <w:sz w:val="20"/>
          <w:szCs w:val="24"/>
        </w:rPr>
        <w:t>Sustainability</w:t>
      </w:r>
      <w:r w:rsidRPr="00E46EFB">
        <w:rPr>
          <w:rFonts w:ascii="Arial" w:hAnsi="Arial" w:cs="Arial"/>
          <w:noProof/>
          <w:sz w:val="20"/>
          <w:szCs w:val="24"/>
        </w:rPr>
        <w:t>, vol. 13, no. 22, p. 12577, 2021.</w:t>
      </w:r>
    </w:p>
    <w:p w14:paraId="2346DB13"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[31]</w:t>
      </w:r>
      <w:r w:rsidRPr="00E46EFB">
        <w:rPr>
          <w:rFonts w:ascii="Arial" w:hAnsi="Arial" w:cs="Arial"/>
          <w:noProof/>
          <w:sz w:val="20"/>
          <w:szCs w:val="24"/>
        </w:rPr>
        <w:tab/>
        <w:t xml:space="preserve">R. Lakshmanan, P. Nyamekye, V.-M. Virolainen, and H. Piili, “The convergence of lean management and additive manufacturing: Case of manufacturing industries,” </w:t>
      </w:r>
      <w:r w:rsidRPr="00E46EFB">
        <w:rPr>
          <w:rFonts w:ascii="Arial" w:hAnsi="Arial" w:cs="Arial"/>
          <w:i/>
          <w:iCs/>
          <w:noProof/>
          <w:sz w:val="20"/>
          <w:szCs w:val="24"/>
        </w:rPr>
        <w:t>Clean. Eng. Technol.</w:t>
      </w:r>
      <w:r w:rsidRPr="00E46EFB">
        <w:rPr>
          <w:rFonts w:ascii="Arial" w:hAnsi="Arial" w:cs="Arial"/>
          <w:noProof/>
          <w:sz w:val="20"/>
          <w:szCs w:val="24"/>
        </w:rPr>
        <w:t>, vol. 13, p. 100620, 2023.</w:t>
      </w:r>
    </w:p>
    <w:p w14:paraId="704F250B"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[32]</w:t>
      </w:r>
      <w:r w:rsidRPr="00E46EFB">
        <w:rPr>
          <w:rFonts w:ascii="Arial" w:hAnsi="Arial" w:cs="Arial"/>
          <w:noProof/>
          <w:sz w:val="20"/>
          <w:szCs w:val="24"/>
        </w:rPr>
        <w:tab/>
        <w:t xml:space="preserve">M. Sony, J. Antony, and O. Mc Dermott, “How do the technological capability and strategic flexibility of an organization impact its successful implementation of Industry 4.0? A qualitative viewpoint,” </w:t>
      </w:r>
      <w:r w:rsidRPr="00E46EFB">
        <w:rPr>
          <w:rFonts w:ascii="Arial" w:hAnsi="Arial" w:cs="Arial"/>
          <w:i/>
          <w:iCs/>
          <w:noProof/>
          <w:sz w:val="20"/>
          <w:szCs w:val="24"/>
        </w:rPr>
        <w:t>Benchmarking An Int. J.</w:t>
      </w:r>
      <w:r w:rsidRPr="00E46EFB">
        <w:rPr>
          <w:rFonts w:ascii="Arial" w:hAnsi="Arial" w:cs="Arial"/>
          <w:noProof/>
          <w:sz w:val="20"/>
          <w:szCs w:val="24"/>
        </w:rPr>
        <w:t>, vol. 30, no. 3, pp. 924–949, 2023.</w:t>
      </w:r>
    </w:p>
    <w:p w14:paraId="274CF93B"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[33]</w:t>
      </w:r>
      <w:r w:rsidRPr="00E46EFB">
        <w:rPr>
          <w:rFonts w:ascii="Arial" w:hAnsi="Arial" w:cs="Arial"/>
          <w:noProof/>
          <w:sz w:val="20"/>
          <w:szCs w:val="24"/>
        </w:rPr>
        <w:tab/>
        <w:t xml:space="preserve">G. Nawanir, K. T. Lim, T. Ramayah, F. Mahmud, K. L. Lee, and M. G. Maarof, “Synergistic effect of lean practices on lead time reduction: mediating role of manufacturing flexibility,” </w:t>
      </w:r>
      <w:r w:rsidRPr="00E46EFB">
        <w:rPr>
          <w:rFonts w:ascii="Arial" w:hAnsi="Arial" w:cs="Arial"/>
          <w:i/>
          <w:iCs/>
          <w:noProof/>
          <w:sz w:val="20"/>
          <w:szCs w:val="24"/>
        </w:rPr>
        <w:t>Benchmarking An Int. J.</w:t>
      </w:r>
      <w:r w:rsidRPr="00E46EFB">
        <w:rPr>
          <w:rFonts w:ascii="Arial" w:hAnsi="Arial" w:cs="Arial"/>
          <w:noProof/>
          <w:sz w:val="20"/>
          <w:szCs w:val="24"/>
        </w:rPr>
        <w:t>, vol. 27, no. 5, pp. 1815–1842, 2020.</w:t>
      </w:r>
    </w:p>
    <w:p w14:paraId="4F020501"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[34]</w:t>
      </w:r>
      <w:r w:rsidRPr="00E46EFB">
        <w:rPr>
          <w:rFonts w:ascii="Arial" w:hAnsi="Arial" w:cs="Arial"/>
          <w:noProof/>
          <w:sz w:val="20"/>
          <w:szCs w:val="24"/>
        </w:rPr>
        <w:tab/>
        <w:t xml:space="preserve">C. B. McFayden </w:t>
      </w:r>
      <w:r w:rsidRPr="00E46EFB">
        <w:rPr>
          <w:rFonts w:ascii="Arial" w:hAnsi="Arial" w:cs="Arial"/>
          <w:i/>
          <w:iCs/>
          <w:noProof/>
          <w:sz w:val="20"/>
          <w:szCs w:val="24"/>
        </w:rPr>
        <w:t>et al.</w:t>
      </w:r>
      <w:r w:rsidRPr="00E46EFB">
        <w:rPr>
          <w:rFonts w:ascii="Arial" w:hAnsi="Arial" w:cs="Arial"/>
          <w:noProof/>
          <w:sz w:val="20"/>
          <w:szCs w:val="24"/>
        </w:rPr>
        <w:t xml:space="preserve">, “Canadian fire management agency readiness for WildFireSat: assessment and strategies for enhanced preparedness,” </w:t>
      </w:r>
      <w:r w:rsidRPr="00E46EFB">
        <w:rPr>
          <w:rFonts w:ascii="Arial" w:hAnsi="Arial" w:cs="Arial"/>
          <w:i/>
          <w:iCs/>
          <w:noProof/>
          <w:sz w:val="20"/>
          <w:szCs w:val="24"/>
        </w:rPr>
        <w:t>Fire</w:t>
      </w:r>
      <w:r w:rsidRPr="00E46EFB">
        <w:rPr>
          <w:rFonts w:ascii="Arial" w:hAnsi="Arial" w:cs="Arial"/>
          <w:noProof/>
          <w:sz w:val="20"/>
          <w:szCs w:val="24"/>
        </w:rPr>
        <w:t>, vol. 6, no. 2, p. 73, 2023.</w:t>
      </w:r>
    </w:p>
    <w:p w14:paraId="1B86D686"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[35]</w:t>
      </w:r>
      <w:r w:rsidRPr="00E46EFB">
        <w:rPr>
          <w:rFonts w:ascii="Arial" w:hAnsi="Arial" w:cs="Arial"/>
          <w:noProof/>
          <w:sz w:val="20"/>
          <w:szCs w:val="24"/>
        </w:rPr>
        <w:tab/>
        <w:t xml:space="preserve">M. Pourmatin and A. Ilkhani, “Extending system dynamics simulation and lean thinking for enhancing operational efficiency: a food industry case study,” </w:t>
      </w:r>
      <w:r w:rsidRPr="00E46EFB">
        <w:rPr>
          <w:rFonts w:ascii="Arial" w:hAnsi="Arial" w:cs="Arial"/>
          <w:i/>
          <w:iCs/>
          <w:noProof/>
          <w:sz w:val="20"/>
          <w:szCs w:val="24"/>
        </w:rPr>
        <w:t>Int. J. Food Syst. Dyn.</w:t>
      </w:r>
      <w:r w:rsidRPr="00E46EFB">
        <w:rPr>
          <w:rFonts w:ascii="Arial" w:hAnsi="Arial" w:cs="Arial"/>
          <w:noProof/>
          <w:sz w:val="20"/>
          <w:szCs w:val="24"/>
        </w:rPr>
        <w:t>, vol. 15, no. 5, pp. 557–572, 2024.</w:t>
      </w:r>
    </w:p>
    <w:p w14:paraId="1EE0A062"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[36]</w:t>
      </w:r>
      <w:r w:rsidRPr="00E46EFB">
        <w:rPr>
          <w:rFonts w:ascii="Arial" w:hAnsi="Arial" w:cs="Arial"/>
          <w:noProof/>
          <w:sz w:val="20"/>
          <w:szCs w:val="24"/>
        </w:rPr>
        <w:tab/>
        <w:t xml:space="preserve">L. B. M. Costa, M. Godinho Filho, L. D. Fredendall, and G. M. D. Ganga, “Lean six sigma in the food industry: Construct development and measurement validation,” </w:t>
      </w:r>
      <w:r w:rsidRPr="00E46EFB">
        <w:rPr>
          <w:rFonts w:ascii="Arial" w:hAnsi="Arial" w:cs="Arial"/>
          <w:i/>
          <w:iCs/>
          <w:noProof/>
          <w:sz w:val="20"/>
          <w:szCs w:val="24"/>
        </w:rPr>
        <w:t>Int. J. Prod. Econ.</w:t>
      </w:r>
      <w:r w:rsidRPr="00E46EFB">
        <w:rPr>
          <w:rFonts w:ascii="Arial" w:hAnsi="Arial" w:cs="Arial"/>
          <w:noProof/>
          <w:sz w:val="20"/>
          <w:szCs w:val="24"/>
        </w:rPr>
        <w:t>, vol. 231, p. 107843, 2021.</w:t>
      </w:r>
    </w:p>
    <w:p w14:paraId="2A7590F1"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[37]</w:t>
      </w:r>
      <w:r w:rsidRPr="00E46EFB">
        <w:rPr>
          <w:rFonts w:ascii="Arial" w:hAnsi="Arial" w:cs="Arial"/>
          <w:noProof/>
          <w:sz w:val="20"/>
          <w:szCs w:val="24"/>
        </w:rPr>
        <w:tab/>
        <w:t xml:space="preserve">G. Garcia-Garcia, Y. Singh, and S. Jagtap, “Optimising changeover through lean-manufacturing principles: a case study in a food factory,” </w:t>
      </w:r>
      <w:r w:rsidRPr="00E46EFB">
        <w:rPr>
          <w:rFonts w:ascii="Arial" w:hAnsi="Arial" w:cs="Arial"/>
          <w:i/>
          <w:iCs/>
          <w:noProof/>
          <w:sz w:val="20"/>
          <w:szCs w:val="24"/>
        </w:rPr>
        <w:t>Sustainability</w:t>
      </w:r>
      <w:r w:rsidRPr="00E46EFB">
        <w:rPr>
          <w:rFonts w:ascii="Arial" w:hAnsi="Arial" w:cs="Arial"/>
          <w:noProof/>
          <w:sz w:val="20"/>
          <w:szCs w:val="24"/>
        </w:rPr>
        <w:t xml:space="preserve">, vol. </w:t>
      </w:r>
      <w:r w:rsidRPr="00E46EFB">
        <w:rPr>
          <w:rFonts w:ascii="Arial" w:hAnsi="Arial" w:cs="Arial"/>
          <w:noProof/>
          <w:sz w:val="20"/>
          <w:szCs w:val="24"/>
        </w:rPr>
        <w:t>14, no. 14, p. 8279, 2022.</w:t>
      </w:r>
    </w:p>
    <w:p w14:paraId="7B463002"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[38]</w:t>
      </w:r>
      <w:r w:rsidRPr="00E46EFB">
        <w:rPr>
          <w:rFonts w:ascii="Arial" w:hAnsi="Arial" w:cs="Arial"/>
          <w:noProof/>
          <w:sz w:val="20"/>
          <w:szCs w:val="24"/>
        </w:rPr>
        <w:tab/>
        <w:t xml:space="preserve">L. B. M. Costa, M. Godinho Filho, L. D. Fredendall, and G. M. D. Ganga, “The effect of Lean Six Sigma practices on food industry performance: Implications of the Sector’s experience and typical characteristics,” </w:t>
      </w:r>
      <w:r w:rsidRPr="00E46EFB">
        <w:rPr>
          <w:rFonts w:ascii="Arial" w:hAnsi="Arial" w:cs="Arial"/>
          <w:i/>
          <w:iCs/>
          <w:noProof/>
          <w:sz w:val="20"/>
          <w:szCs w:val="24"/>
        </w:rPr>
        <w:t>Food Control</w:t>
      </w:r>
      <w:r w:rsidRPr="00E46EFB">
        <w:rPr>
          <w:rFonts w:ascii="Arial" w:hAnsi="Arial" w:cs="Arial"/>
          <w:noProof/>
          <w:sz w:val="20"/>
          <w:szCs w:val="24"/>
        </w:rPr>
        <w:t>, vol. 112, p. 107110, 2020.</w:t>
      </w:r>
    </w:p>
    <w:p w14:paraId="4EACC159" w14:textId="77777777"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szCs w:val="24"/>
        </w:rPr>
      </w:pPr>
      <w:r w:rsidRPr="00E46EFB">
        <w:rPr>
          <w:rFonts w:ascii="Arial" w:hAnsi="Arial" w:cs="Arial"/>
          <w:noProof/>
          <w:sz w:val="20"/>
          <w:szCs w:val="24"/>
        </w:rPr>
        <w:t>[39]</w:t>
      </w:r>
      <w:r w:rsidRPr="00E46EFB">
        <w:rPr>
          <w:rFonts w:ascii="Arial" w:hAnsi="Arial" w:cs="Arial"/>
          <w:noProof/>
          <w:sz w:val="20"/>
          <w:szCs w:val="24"/>
        </w:rPr>
        <w:tab/>
        <w:t xml:space="preserve">M. Hegedić, M. Gudlin, M. Golec, and N. Tošanović, “Lean and Green Decision Model for Lean Tools Selection,” </w:t>
      </w:r>
      <w:r w:rsidRPr="00E46EFB">
        <w:rPr>
          <w:rFonts w:ascii="Arial" w:hAnsi="Arial" w:cs="Arial"/>
          <w:i/>
          <w:iCs/>
          <w:noProof/>
          <w:sz w:val="20"/>
          <w:szCs w:val="24"/>
        </w:rPr>
        <w:t>Sustainability</w:t>
      </w:r>
      <w:r w:rsidRPr="00E46EFB">
        <w:rPr>
          <w:rFonts w:ascii="Arial" w:hAnsi="Arial" w:cs="Arial"/>
          <w:noProof/>
          <w:sz w:val="20"/>
          <w:szCs w:val="24"/>
        </w:rPr>
        <w:t>, vol. 16, no. 3, p. 1173, 2024.</w:t>
      </w:r>
    </w:p>
    <w:p w14:paraId="548260A7" w14:textId="43CA3A5F" w:rsidR="00E46EFB" w:rsidRPr="00E46EFB" w:rsidRDefault="00E46EFB" w:rsidP="00A63C58">
      <w:pPr>
        <w:widowControl w:val="0"/>
        <w:autoSpaceDE w:val="0"/>
        <w:autoSpaceDN w:val="0"/>
        <w:adjustRightInd w:val="0"/>
        <w:spacing w:after="0" w:line="240" w:lineRule="auto"/>
        <w:ind w:left="718" w:hangingChars="360" w:hanging="720"/>
        <w:jc w:val="both"/>
        <w:rPr>
          <w:rFonts w:ascii="Arial" w:hAnsi="Arial" w:cs="Arial"/>
          <w:noProof/>
          <w:sz w:val="20"/>
        </w:rPr>
      </w:pPr>
      <w:r w:rsidRPr="00E46EFB">
        <w:rPr>
          <w:rFonts w:ascii="Arial" w:hAnsi="Arial" w:cs="Arial"/>
          <w:noProof/>
          <w:sz w:val="20"/>
          <w:szCs w:val="24"/>
        </w:rPr>
        <w:t>[40]</w:t>
      </w:r>
      <w:r w:rsidRPr="00E46EFB">
        <w:rPr>
          <w:rFonts w:ascii="Arial" w:hAnsi="Arial" w:cs="Arial"/>
          <w:noProof/>
          <w:sz w:val="20"/>
          <w:szCs w:val="24"/>
        </w:rPr>
        <w:tab/>
        <w:t xml:space="preserve">P. Langlotz, C. Siedler, and J. C. Aurich, “Unification of lean production and Industry 4.0,” </w:t>
      </w:r>
      <w:r w:rsidRPr="00E46EFB">
        <w:rPr>
          <w:rFonts w:ascii="Arial" w:hAnsi="Arial" w:cs="Arial"/>
          <w:i/>
          <w:iCs/>
          <w:noProof/>
          <w:sz w:val="20"/>
          <w:szCs w:val="24"/>
        </w:rPr>
        <w:t>Procedia CIRP</w:t>
      </w:r>
      <w:r w:rsidRPr="00E46EFB">
        <w:rPr>
          <w:rFonts w:ascii="Arial" w:hAnsi="Arial" w:cs="Arial"/>
          <w:noProof/>
          <w:sz w:val="20"/>
          <w:szCs w:val="24"/>
        </w:rPr>
        <w:t>, vol. 99, pp. 15–20, 2021</w:t>
      </w:r>
      <w:bookmarkStart w:id="2" w:name="_GoBack"/>
      <w:bookmarkEnd w:id="2"/>
    </w:p>
    <w:p w14:paraId="0ABD8DE2" w14:textId="641ACA05" w:rsidR="00B31A98" w:rsidRDefault="00B31A98" w:rsidP="00A63C58">
      <w:pPr>
        <w:spacing w:after="0" w:line="240" w:lineRule="auto"/>
        <w:ind w:left="0" w:hanging="2"/>
        <w:jc w:val="both"/>
        <w:rPr>
          <w:rFonts w:ascii="Arial" w:eastAsia="Arial" w:hAnsi="Arial" w:cs="Arial"/>
          <w:color w:val="1F4E79"/>
          <w:sz w:val="20"/>
          <w:szCs w:val="20"/>
        </w:rPr>
      </w:pPr>
      <w:r>
        <w:rPr>
          <w:rFonts w:ascii="Arial" w:eastAsia="Arial" w:hAnsi="Arial" w:cs="Arial"/>
          <w:color w:val="1F4E79"/>
          <w:sz w:val="20"/>
          <w:szCs w:val="20"/>
        </w:rPr>
        <w:fldChar w:fldCharType="end"/>
      </w:r>
    </w:p>
    <w:p w14:paraId="0ED9D313" w14:textId="77777777" w:rsidR="00E51251" w:rsidRDefault="00E51251" w:rsidP="00F91466">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bookmarkEnd w:id="0"/>
    <w:p w14:paraId="69B6B758" w14:textId="77777777" w:rsidR="00D45DDA" w:rsidRDefault="00D45DDA">
      <w:pPr>
        <w:ind w:left="0" w:hanging="2"/>
      </w:pPr>
    </w:p>
    <w:sectPr w:rsidR="00D45DDA">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A520E" w14:textId="77777777" w:rsidR="00AC34CE" w:rsidRDefault="00AC34CE">
      <w:pPr>
        <w:spacing w:after="0" w:line="240" w:lineRule="auto"/>
        <w:ind w:left="0" w:hanging="2"/>
      </w:pPr>
      <w:r>
        <w:separator/>
      </w:r>
    </w:p>
  </w:endnote>
  <w:endnote w:type="continuationSeparator" w:id="0">
    <w:p w14:paraId="60616ACD" w14:textId="77777777" w:rsidR="00AC34CE" w:rsidRDefault="00AC34C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25075" w14:textId="77777777" w:rsidR="00AC34CE" w:rsidRDefault="00AC34CE">
    <w:pPr>
      <w:widowControl w:val="0"/>
      <w:pBdr>
        <w:top w:val="nil"/>
        <w:left w:val="nil"/>
        <w:bottom w:val="nil"/>
        <w:right w:val="nil"/>
        <w:between w:val="nil"/>
      </w:pBdr>
      <w:spacing w:after="0"/>
      <w:ind w:left="0" w:hanging="2"/>
      <w:rPr>
        <w:color w:val="000000"/>
      </w:rPr>
    </w:pPr>
  </w:p>
  <w:tbl>
    <w:tblPr>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AC34CE" w14:paraId="3623FE09" w14:textId="77777777">
      <w:tc>
        <w:tcPr>
          <w:tcW w:w="1242" w:type="dxa"/>
        </w:tcPr>
        <w:p w14:paraId="75A5800D" w14:textId="77777777" w:rsidR="00AC34CE" w:rsidRDefault="00AC34CE">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692E73F9" w14:textId="77777777" w:rsidR="00AC34CE" w:rsidRDefault="00AC34CE">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r>
  </w:tbl>
  <w:p w14:paraId="1DD56C4C" w14:textId="77777777" w:rsidR="00AC34CE" w:rsidRDefault="00AC34CE">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5948F" w14:textId="77777777" w:rsidR="00AC34CE" w:rsidRDefault="00AC34CE">
    <w:pPr>
      <w:widowControl w:val="0"/>
      <w:pBdr>
        <w:top w:val="nil"/>
        <w:left w:val="nil"/>
        <w:bottom w:val="nil"/>
        <w:right w:val="nil"/>
        <w:between w:val="nil"/>
      </w:pBdr>
      <w:spacing w:after="0"/>
      <w:ind w:left="0" w:hanging="2"/>
      <w:rPr>
        <w:color w:val="000000"/>
      </w:rPr>
    </w:pPr>
  </w:p>
  <w:tbl>
    <w:tblPr>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AC34CE" w14:paraId="51A6F2ED" w14:textId="77777777">
      <w:tc>
        <w:tcPr>
          <w:tcW w:w="8453" w:type="dxa"/>
        </w:tcPr>
        <w:p w14:paraId="2010E67A" w14:textId="77777777" w:rsidR="00AC34CE" w:rsidRDefault="00AC34CE">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c>
        <w:tcPr>
          <w:tcW w:w="727" w:type="dxa"/>
        </w:tcPr>
        <w:p w14:paraId="43669676" w14:textId="77777777" w:rsidR="00AC34CE" w:rsidRDefault="00AC34CE">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0CC24192" w14:textId="77777777" w:rsidR="00AC34CE" w:rsidRDefault="00AC34CE">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FE61F" w14:textId="77777777" w:rsidR="00AC34CE" w:rsidRDefault="00AC34CE">
    <w:pPr>
      <w:widowControl w:val="0"/>
      <w:pBdr>
        <w:top w:val="nil"/>
        <w:left w:val="nil"/>
        <w:bottom w:val="nil"/>
        <w:right w:val="nil"/>
        <w:between w:val="nil"/>
      </w:pBdr>
      <w:spacing w:after="0"/>
      <w:ind w:left="0" w:hanging="2"/>
    </w:pPr>
  </w:p>
  <w:tbl>
    <w:tblPr>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AC34CE" w14:paraId="59CCD3ED" w14:textId="77777777">
      <w:tc>
        <w:tcPr>
          <w:tcW w:w="8453" w:type="dxa"/>
        </w:tcPr>
        <w:p w14:paraId="361C0BFA" w14:textId="77777777" w:rsidR="00AC34CE" w:rsidRDefault="00AC34CE">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 </w:t>
          </w:r>
        </w:p>
      </w:tc>
      <w:tc>
        <w:tcPr>
          <w:tcW w:w="727" w:type="dxa"/>
        </w:tcPr>
        <w:p w14:paraId="6D04520E" w14:textId="77777777" w:rsidR="00AC34CE" w:rsidRDefault="00AC34CE">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21EB1A38" w14:textId="77777777" w:rsidR="00AC34CE" w:rsidRDefault="00AC34CE">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38497" w14:textId="77777777" w:rsidR="00AC34CE" w:rsidRDefault="00AC34CE">
      <w:pPr>
        <w:spacing w:after="0" w:line="240" w:lineRule="auto"/>
        <w:ind w:left="0" w:hanging="2"/>
      </w:pPr>
      <w:r>
        <w:separator/>
      </w:r>
    </w:p>
  </w:footnote>
  <w:footnote w:type="continuationSeparator" w:id="0">
    <w:p w14:paraId="133397F0" w14:textId="77777777" w:rsidR="00AC34CE" w:rsidRDefault="00AC34C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96798" w14:textId="77777777" w:rsidR="00AC34CE" w:rsidRDefault="00AC34C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AC34CE" w14:paraId="2B75C010" w14:textId="77777777">
      <w:tc>
        <w:tcPr>
          <w:tcW w:w="9288" w:type="dxa"/>
        </w:tcPr>
        <w:p w14:paraId="7BD8139F" w14:textId="77777777" w:rsidR="00AC34CE" w:rsidRDefault="00AC34CE">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5F55DEAE" w14:textId="77777777" w:rsidR="00AC34CE" w:rsidRDefault="00AC34CE">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B921B" w14:textId="77777777" w:rsidR="00AC34CE" w:rsidRDefault="00AC34CE">
    <w:pPr>
      <w:widowControl w:val="0"/>
      <w:pBdr>
        <w:top w:val="nil"/>
        <w:left w:val="nil"/>
        <w:bottom w:val="nil"/>
        <w:right w:val="nil"/>
        <w:between w:val="nil"/>
      </w:pBdr>
      <w:spacing w:after="0"/>
      <w:ind w:left="0" w:hanging="2"/>
      <w:rPr>
        <w:color w:val="000000"/>
      </w:rPr>
    </w:pPr>
  </w:p>
  <w:tbl>
    <w:tblPr>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AC34CE" w14:paraId="1B56EC8E" w14:textId="77777777">
      <w:tc>
        <w:tcPr>
          <w:tcW w:w="9288" w:type="dxa"/>
        </w:tcPr>
        <w:p w14:paraId="4210D8B8" w14:textId="77777777" w:rsidR="00AC34CE" w:rsidRDefault="00AC34CE">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70BDB1AA" w14:textId="77777777" w:rsidR="00AC34CE" w:rsidRDefault="00AC34CE">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0F9C" w14:textId="77777777" w:rsidR="00AC34CE" w:rsidRDefault="00AC34C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AC34CE" w14:paraId="070B41A2" w14:textId="77777777">
      <w:tc>
        <w:tcPr>
          <w:tcW w:w="1701" w:type="dxa"/>
        </w:tcPr>
        <w:p w14:paraId="50A5820D" w14:textId="77777777" w:rsidR="00AC34CE" w:rsidRDefault="00AC34CE">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2F2E1643" wp14:editId="1618CDE0">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787B1744" w14:textId="77777777" w:rsidR="00AC34CE" w:rsidRDefault="00AC34CE">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25389726" w14:textId="77777777" w:rsidR="00AC34CE" w:rsidRDefault="00AC34CE">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509ED36E" wp14:editId="7822009E">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55E19980" w14:textId="77777777" w:rsidR="00AC34CE" w:rsidRDefault="00AC34CE">
    <w:pPr>
      <w:pBdr>
        <w:top w:val="nil"/>
        <w:left w:val="nil"/>
        <w:bottom w:val="nil"/>
        <w:right w:val="nil"/>
        <w:between w:val="nil"/>
      </w:pBdr>
      <w:spacing w:after="0" w:line="240" w:lineRule="auto"/>
      <w:ind w:left="0" w:hanging="2"/>
      <w:rPr>
        <w:color w:val="000000"/>
      </w:rPr>
    </w:pPr>
  </w:p>
  <w:p w14:paraId="4ACA9F70" w14:textId="77777777" w:rsidR="00AC34CE" w:rsidRDefault="00AC34CE">
    <w:pPr>
      <w:pBdr>
        <w:top w:val="nil"/>
        <w:left w:val="nil"/>
        <w:bottom w:val="nil"/>
        <w:right w:val="nil"/>
        <w:between w:val="nil"/>
      </w:pBdr>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51"/>
    <w:rsid w:val="000750A9"/>
    <w:rsid w:val="00093EA0"/>
    <w:rsid w:val="000E44CC"/>
    <w:rsid w:val="001023FC"/>
    <w:rsid w:val="002A32F0"/>
    <w:rsid w:val="002D3D2A"/>
    <w:rsid w:val="00313C6E"/>
    <w:rsid w:val="00324AFA"/>
    <w:rsid w:val="00395288"/>
    <w:rsid w:val="003A4195"/>
    <w:rsid w:val="00445CDA"/>
    <w:rsid w:val="00461758"/>
    <w:rsid w:val="004B0C5A"/>
    <w:rsid w:val="004B3DB4"/>
    <w:rsid w:val="004C7BE8"/>
    <w:rsid w:val="004F0653"/>
    <w:rsid w:val="0054260E"/>
    <w:rsid w:val="0058752C"/>
    <w:rsid w:val="005C0433"/>
    <w:rsid w:val="006163EC"/>
    <w:rsid w:val="0063024C"/>
    <w:rsid w:val="007079B7"/>
    <w:rsid w:val="00711FE4"/>
    <w:rsid w:val="00752027"/>
    <w:rsid w:val="00784091"/>
    <w:rsid w:val="007F1379"/>
    <w:rsid w:val="00827286"/>
    <w:rsid w:val="008B2034"/>
    <w:rsid w:val="009637A4"/>
    <w:rsid w:val="009945F3"/>
    <w:rsid w:val="009E3E15"/>
    <w:rsid w:val="00A63C58"/>
    <w:rsid w:val="00A67DA5"/>
    <w:rsid w:val="00A70182"/>
    <w:rsid w:val="00AB7DEE"/>
    <w:rsid w:val="00AC34CE"/>
    <w:rsid w:val="00AC51F5"/>
    <w:rsid w:val="00AE4A83"/>
    <w:rsid w:val="00B31A98"/>
    <w:rsid w:val="00B54DDA"/>
    <w:rsid w:val="00BC10C2"/>
    <w:rsid w:val="00BE0693"/>
    <w:rsid w:val="00C07B09"/>
    <w:rsid w:val="00C07FA1"/>
    <w:rsid w:val="00C5351F"/>
    <w:rsid w:val="00C756B2"/>
    <w:rsid w:val="00D45DDA"/>
    <w:rsid w:val="00DA29D4"/>
    <w:rsid w:val="00DD199F"/>
    <w:rsid w:val="00E14582"/>
    <w:rsid w:val="00E43035"/>
    <w:rsid w:val="00E46EFB"/>
    <w:rsid w:val="00E51251"/>
    <w:rsid w:val="00EC06B7"/>
    <w:rsid w:val="00EF411A"/>
    <w:rsid w:val="00F3457F"/>
    <w:rsid w:val="00F4260A"/>
    <w:rsid w:val="00F914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B37F47"/>
  <w15:chartTrackingRefBased/>
  <w15:docId w15:val="{52AD4C50-AB4A-4F85-87A5-C4FC149C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251"/>
    <w:pPr>
      <w:suppressAutoHyphens/>
      <w:spacing w:after="200" w:line="276" w:lineRule="auto"/>
      <w:ind w:leftChars="-1" w:left="-1" w:hangingChars="1" w:hanging="1"/>
      <w:textDirection w:val="btLr"/>
      <w:textAlignment w:val="top"/>
      <w:outlineLvl w:val="0"/>
    </w:pPr>
    <w:rPr>
      <w:rFonts w:ascii="Calibri" w:eastAsia="Calibri" w:hAnsi="Calibri" w:cs="Calibri"/>
      <w:position w:val="-1"/>
      <w:lang w:val="en-US"/>
    </w:rPr>
  </w:style>
  <w:style w:type="paragraph" w:styleId="Heading1">
    <w:name w:val="heading 1"/>
    <w:basedOn w:val="Normal"/>
    <w:next w:val="Normal"/>
    <w:link w:val="Heading1Char"/>
    <w:uiPriority w:val="9"/>
    <w:qFormat/>
    <w:rsid w:val="00E51251"/>
    <w:pPr>
      <w:keepNext/>
      <w:keepLines/>
      <w:spacing w:before="240" w:after="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51251"/>
    <w:pPr>
      <w:keepNext/>
      <w:keepLines/>
      <w:spacing w:before="360" w:after="80"/>
      <w:outlineLvl w:val="1"/>
    </w:pPr>
    <w:rPr>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51251"/>
    <w:rPr>
      <w:rFonts w:ascii="Calibri" w:eastAsia="Calibri" w:hAnsi="Calibri" w:cs="Calibri"/>
      <w:b/>
      <w:position w:val="-1"/>
      <w:sz w:val="36"/>
      <w:szCs w:val="36"/>
      <w:lang w:val="en-US"/>
    </w:rPr>
  </w:style>
  <w:style w:type="paragraph" w:styleId="Title">
    <w:name w:val="Title"/>
    <w:basedOn w:val="Normal"/>
    <w:link w:val="TitleChar"/>
    <w:uiPriority w:val="10"/>
    <w:qFormat/>
    <w:rsid w:val="00E51251"/>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10"/>
    <w:rsid w:val="00E51251"/>
    <w:rPr>
      <w:rFonts w:ascii="Times New Roman" w:eastAsia="Times New Roman" w:hAnsi="Times New Roman" w:cs="Calibri"/>
      <w:b/>
      <w:bCs/>
      <w:position w:val="-1"/>
      <w:sz w:val="28"/>
      <w:szCs w:val="24"/>
      <w:lang w:val="id-ID"/>
    </w:rPr>
  </w:style>
  <w:style w:type="character" w:styleId="Hyperlink">
    <w:name w:val="Hyperlink"/>
    <w:qFormat/>
    <w:rsid w:val="00E51251"/>
    <w:rPr>
      <w:color w:val="0000FF"/>
      <w:w w:val="100"/>
      <w:position w:val="-1"/>
      <w:u w:val="single"/>
      <w:effect w:val="none"/>
      <w:vertAlign w:val="baseline"/>
      <w:cs w:val="0"/>
      <w:em w:val="none"/>
    </w:rPr>
  </w:style>
  <w:style w:type="table" w:styleId="TableGrid">
    <w:name w:val="Table Grid"/>
    <w:basedOn w:val="TableNormal"/>
    <w:uiPriority w:val="39"/>
    <w:qFormat/>
    <w:rsid w:val="00E51251"/>
    <w:pPr>
      <w:suppressAutoHyphens/>
      <w:spacing w:after="0" w:line="240" w:lineRule="auto"/>
      <w:ind w:leftChars="-1" w:left="-1" w:hangingChars="1" w:hanging="1"/>
      <w:textDirection w:val="btLr"/>
      <w:textAlignment w:val="top"/>
      <w:outlineLvl w:val="0"/>
    </w:pPr>
    <w:rPr>
      <w:rFonts w:ascii="Calibri" w:eastAsia="Calibri" w:hAnsi="Calibri" w:cs="Calibri"/>
      <w:position w:val="-1"/>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PMETitle">
    <w:name w:val="IJPME Title"/>
    <w:basedOn w:val="Heading1"/>
    <w:rsid w:val="00E51251"/>
    <w:pPr>
      <w:keepLines w:val="0"/>
      <w:spacing w:after="120" w:line="288" w:lineRule="auto"/>
      <w:ind w:leftChars="0" w:left="0" w:firstLineChars="0" w:firstLine="0"/>
      <w:jc w:val="center"/>
      <w:textDirection w:val="lrTb"/>
      <w:textAlignment w:val="auto"/>
    </w:pPr>
    <w:rPr>
      <w:rFonts w:ascii="Times New Roman" w:eastAsia="Times New Roman" w:hAnsi="Times New Roman" w:cs="Arial"/>
      <w:b/>
      <w:bCs/>
      <w:color w:val="auto"/>
      <w:kern w:val="32"/>
      <w:position w:val="0"/>
      <w:sz w:val="28"/>
      <w:szCs w:val="26"/>
      <w:lang w:eastAsia="es-ES"/>
    </w:rPr>
  </w:style>
  <w:style w:type="character" w:customStyle="1" w:styleId="IJPMLink">
    <w:name w:val="IJPM Link"/>
    <w:uiPriority w:val="1"/>
    <w:rsid w:val="00E51251"/>
    <w:rPr>
      <w:color w:val="C00000"/>
    </w:rPr>
  </w:style>
  <w:style w:type="paragraph" w:customStyle="1" w:styleId="IJPMETableFigureCaption">
    <w:name w:val="IJPME Table/Figure Caption"/>
    <w:basedOn w:val="Normal"/>
    <w:next w:val="Normal"/>
    <w:autoRedefine/>
    <w:rsid w:val="00E51251"/>
    <w:pPr>
      <w:suppressAutoHyphens w:val="0"/>
      <w:spacing w:after="120" w:line="240" w:lineRule="auto"/>
      <w:ind w:leftChars="0" w:left="0" w:firstLineChars="0" w:hanging="2"/>
      <w:jc w:val="center"/>
      <w:textDirection w:val="lrTb"/>
      <w:textAlignment w:val="auto"/>
      <w:outlineLvl w:val="9"/>
    </w:pPr>
    <w:rPr>
      <w:rFonts w:ascii="Times New Roman" w:eastAsia="Times New Roman" w:hAnsi="Times New Roman" w:cs="Times New Roman"/>
      <w:bCs/>
      <w:position w:val="0"/>
      <w:sz w:val="24"/>
      <w:szCs w:val="20"/>
      <w:lang w:eastAsia="es-ES"/>
    </w:rPr>
  </w:style>
  <w:style w:type="paragraph" w:customStyle="1" w:styleId="IJPMETabletext">
    <w:name w:val="IJPME Table text"/>
    <w:basedOn w:val="Normal"/>
    <w:rsid w:val="00E51251"/>
    <w:pPr>
      <w:suppressAutoHyphens w:val="0"/>
      <w:spacing w:after="60" w:line="288" w:lineRule="auto"/>
      <w:ind w:leftChars="0" w:left="0" w:firstLineChars="0" w:firstLine="0"/>
      <w:jc w:val="center"/>
      <w:textDirection w:val="lrTb"/>
      <w:textAlignment w:val="auto"/>
      <w:outlineLvl w:val="9"/>
    </w:pPr>
    <w:rPr>
      <w:rFonts w:ascii="Times New Roman" w:eastAsia="Times New Roman" w:hAnsi="Times New Roman" w:cs="Times New Roman"/>
      <w:position w:val="0"/>
      <w:sz w:val="18"/>
      <w:szCs w:val="18"/>
      <w:lang w:eastAsia="es-ES"/>
    </w:rPr>
  </w:style>
  <w:style w:type="table" w:styleId="LightShading">
    <w:name w:val="Light Shading"/>
    <w:basedOn w:val="TableNormal"/>
    <w:uiPriority w:val="60"/>
    <w:qFormat/>
    <w:rsid w:val="00E51251"/>
    <w:pPr>
      <w:spacing w:after="0" w:line="240" w:lineRule="auto"/>
    </w:pPr>
    <w:rPr>
      <w:rFonts w:eastAsiaTheme="minorEastAsia"/>
      <w:color w:val="000000"/>
      <w:sz w:val="20"/>
      <w:szCs w:val="20"/>
      <w:lang w:val="id-ID" w:eastAsia="id-ID"/>
    </w:rPr>
    <w:tblPr>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paragraph" w:styleId="BodyText">
    <w:name w:val="Body Text"/>
    <w:basedOn w:val="Normal"/>
    <w:link w:val="BodyTextChar"/>
    <w:unhideWhenUsed/>
    <w:rsid w:val="00E51251"/>
    <w:pPr>
      <w:suppressAutoHyphens w:val="0"/>
      <w:spacing w:after="120" w:line="256" w:lineRule="auto"/>
      <w:ind w:leftChars="0" w:left="0" w:firstLineChars="0" w:firstLine="0"/>
      <w:textDirection w:val="lrTb"/>
      <w:textAlignment w:val="auto"/>
      <w:outlineLvl w:val="9"/>
    </w:pPr>
    <w:rPr>
      <w:rFonts w:ascii="Times New Roman" w:eastAsia="Times New Roman" w:hAnsi="Times New Roman" w:cs="Times New Roman"/>
      <w:position w:val="0"/>
    </w:rPr>
  </w:style>
  <w:style w:type="character" w:customStyle="1" w:styleId="BodyTextChar">
    <w:name w:val="Body Text Char"/>
    <w:basedOn w:val="DefaultParagraphFont"/>
    <w:link w:val="BodyText"/>
    <w:rsid w:val="00E51251"/>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E51251"/>
    <w:rPr>
      <w:rFonts w:asciiTheme="majorHAnsi" w:eastAsiaTheme="majorEastAsia" w:hAnsiTheme="majorHAnsi" w:cstheme="majorBidi"/>
      <w:color w:val="2F5496" w:themeColor="accent1" w:themeShade="BF"/>
      <w:position w:val="-1"/>
      <w:sz w:val="32"/>
      <w:szCs w:val="32"/>
      <w:lang w:val="en-US"/>
    </w:rPr>
  </w:style>
  <w:style w:type="paragraph" w:styleId="NormalWeb">
    <w:name w:val="Normal (Web)"/>
    <w:basedOn w:val="Normal"/>
    <w:uiPriority w:val="99"/>
    <w:semiHidden/>
    <w:unhideWhenUsed/>
    <w:rsid w:val="00F3457F"/>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ID" w:eastAsia="en-ID"/>
    </w:rPr>
  </w:style>
  <w:style w:type="character" w:styleId="UnresolvedMention">
    <w:name w:val="Unresolved Mention"/>
    <w:basedOn w:val="DefaultParagraphFont"/>
    <w:uiPriority w:val="99"/>
    <w:semiHidden/>
    <w:unhideWhenUsed/>
    <w:rsid w:val="00A63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21.png"/><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udianto@ista.ac.id"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mailto:Budianto_delta@yahoo.com" TargetMode="Externa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163B3-C704-4D6F-BC76-E87D9562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19935</Words>
  <Characters>113634</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 anto</dc:creator>
  <cp:keywords/>
  <dc:description/>
  <cp:lastModifiedBy>budi anto</cp:lastModifiedBy>
  <cp:revision>2</cp:revision>
  <dcterms:created xsi:type="dcterms:W3CDTF">2025-01-12T06:02:00Z</dcterms:created>
  <dcterms:modified xsi:type="dcterms:W3CDTF">2025-01-12T06:02:00Z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Unique User Id_1">
    <vt:lpwstr>e7461b6b-1a67-3c88-aeae-e983245aa6e1</vt:lpwstr>
  </property>
  <property fmtid="{D5CDD505-2E9C-101B-9397-08002B2CF9AE}" pid="23" name="Mendeley Document_1">
    <vt:lpwstr>True</vt:lpwstr>
  </property>
  <property fmtid="{D5CDD505-2E9C-101B-9397-08002B2CF9AE}" pid="24" name="Mendeley Citation Style_1">
    <vt:lpwstr>http://www.zotero.org/styles/ieee</vt:lpwstr>
  </property>
</Properties>
</file>