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1A0CA" w14:textId="77777777" w:rsidR="0002676E" w:rsidRDefault="00000000">
      <w:pPr>
        <w:widowControl w:val="0"/>
        <w:pBdr>
          <w:top w:val="nil"/>
          <w:left w:val="nil"/>
          <w:bottom w:val="nil"/>
          <w:right w:val="nil"/>
          <w:between w:val="nil"/>
        </w:pBdr>
        <w:spacing w:after="0"/>
        <w:ind w:left="0" w:hanging="2"/>
      </w:pPr>
      <w:r>
        <w:pict w14:anchorId="32D5C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50pt;height:50pt;z-index:251657728;visibility:hidden">
            <v:path o:extrusionok="t"/>
            <o:lock v:ext="edit" selection="t"/>
          </v:shape>
        </w:pict>
      </w:r>
    </w:p>
    <w:p w14:paraId="37F22C91" w14:textId="77777777" w:rsidR="0002676E" w:rsidRDefault="0002676E">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02676E" w14:paraId="420DFD3A" w14:textId="77777777">
        <w:tc>
          <w:tcPr>
            <w:tcW w:w="8504" w:type="dxa"/>
          </w:tcPr>
          <w:p w14:paraId="60A47F94" w14:textId="2A92E376" w:rsidR="0002676E" w:rsidRDefault="008F3A94">
            <w:pPr>
              <w:pStyle w:val="Title"/>
              <w:ind w:left="1" w:hanging="3"/>
              <w:jc w:val="left"/>
              <w:rPr>
                <w:rFonts w:ascii="Arial" w:eastAsia="Arial" w:hAnsi="Arial" w:cs="Arial"/>
                <w:sz w:val="30"/>
                <w:szCs w:val="30"/>
              </w:rPr>
            </w:pPr>
            <w:r w:rsidRPr="008F3A94">
              <w:rPr>
                <w:rFonts w:ascii="Arial" w:eastAsia="Arial" w:hAnsi="Arial" w:cs="Arial"/>
              </w:rPr>
              <w:t>The Influence of Silane Coupling Agent and Porogen Ratio on 3D Scaffold PCL/HA</w:t>
            </w:r>
          </w:p>
        </w:tc>
        <w:tc>
          <w:tcPr>
            <w:tcW w:w="784" w:type="dxa"/>
            <w:vAlign w:val="center"/>
          </w:tcPr>
          <w:p w14:paraId="21BF46DB" w14:textId="77777777" w:rsidR="0002676E"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4E63B620" wp14:editId="624EBA19">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2DB8605B" w14:textId="77777777" w:rsidR="0002676E" w:rsidRDefault="0002676E">
      <w:pPr>
        <w:pStyle w:val="Title"/>
        <w:ind w:left="1" w:hanging="3"/>
        <w:rPr>
          <w:rFonts w:ascii="Arial" w:eastAsia="Arial" w:hAnsi="Arial" w:cs="Arial"/>
        </w:rPr>
      </w:pPr>
    </w:p>
    <w:p w14:paraId="15554513" w14:textId="3261EEA4" w:rsidR="0002676E" w:rsidRDefault="008F3A94">
      <w:pPr>
        <w:widowControl w:val="0"/>
        <w:spacing w:after="0" w:line="240" w:lineRule="auto"/>
        <w:ind w:left="0" w:hanging="2"/>
        <w:rPr>
          <w:rFonts w:ascii="Arial" w:eastAsia="Arial" w:hAnsi="Arial" w:cs="Arial"/>
          <w:sz w:val="20"/>
          <w:szCs w:val="20"/>
        </w:rPr>
      </w:pPr>
      <w:r w:rsidRPr="008F3A94">
        <w:rPr>
          <w:rFonts w:ascii="Arial" w:eastAsia="Arial" w:hAnsi="Arial" w:cs="Arial"/>
          <w:b/>
          <w:sz w:val="20"/>
          <w:szCs w:val="20"/>
        </w:rPr>
        <w:t>Mu’adz Abdullah Faqih</w:t>
      </w:r>
      <w:r w:rsidRPr="007C272B">
        <w:rPr>
          <w:rFonts w:ascii="Arial" w:eastAsia="Arial" w:hAnsi="Arial" w:cs="Arial"/>
          <w:b/>
          <w:sz w:val="20"/>
          <w:szCs w:val="20"/>
          <w:vertAlign w:val="superscript"/>
        </w:rPr>
        <w:t>1</w:t>
      </w:r>
      <w:r w:rsidRPr="008F3A94">
        <w:rPr>
          <w:rFonts w:ascii="Arial" w:eastAsia="Arial" w:hAnsi="Arial" w:cs="Arial"/>
          <w:b/>
          <w:sz w:val="20"/>
          <w:szCs w:val="20"/>
        </w:rPr>
        <w:t>, Agung Purniawan</w:t>
      </w:r>
      <w:r w:rsidRPr="007C272B">
        <w:rPr>
          <w:rFonts w:ascii="Arial" w:eastAsia="Arial" w:hAnsi="Arial" w:cs="Arial"/>
          <w:b/>
          <w:sz w:val="20"/>
          <w:szCs w:val="20"/>
          <w:vertAlign w:val="superscript"/>
        </w:rPr>
        <w:t>1</w:t>
      </w:r>
      <w:r w:rsidRPr="008F3A94">
        <w:rPr>
          <w:rFonts w:ascii="Arial" w:eastAsia="Arial" w:hAnsi="Arial" w:cs="Arial"/>
          <w:b/>
          <w:sz w:val="20"/>
          <w:szCs w:val="20"/>
        </w:rPr>
        <w:t>, Amaliya Rasyida</w:t>
      </w:r>
      <w:r w:rsidRPr="007C272B">
        <w:rPr>
          <w:rFonts w:ascii="Arial" w:eastAsia="Arial" w:hAnsi="Arial" w:cs="Arial"/>
          <w:b/>
          <w:sz w:val="20"/>
          <w:szCs w:val="20"/>
          <w:vertAlign w:val="superscript"/>
        </w:rPr>
        <w:t>1</w:t>
      </w:r>
      <w:r w:rsidRPr="008F3A94">
        <w:rPr>
          <w:rFonts w:ascii="Arial" w:eastAsia="Arial" w:hAnsi="Arial" w:cs="Arial"/>
          <w:b/>
          <w:sz w:val="20"/>
          <w:szCs w:val="20"/>
        </w:rPr>
        <w:t>, Diah Susanti</w:t>
      </w:r>
      <w:r w:rsidRPr="007C272B">
        <w:rPr>
          <w:rFonts w:ascii="Arial" w:eastAsia="Arial" w:hAnsi="Arial" w:cs="Arial"/>
          <w:b/>
          <w:sz w:val="20"/>
          <w:szCs w:val="20"/>
          <w:vertAlign w:val="superscript"/>
        </w:rPr>
        <w:t>1</w:t>
      </w:r>
    </w:p>
    <w:p w14:paraId="475A4035" w14:textId="75D7A611" w:rsidR="0002676E" w:rsidRDefault="00000000" w:rsidP="008F3A94">
      <w:pPr>
        <w:widowControl w:val="0"/>
        <w:tabs>
          <w:tab w:val="left" w:pos="9020"/>
        </w:tabs>
        <w:spacing w:after="0" w:line="240" w:lineRule="auto"/>
        <w:ind w:left="0" w:hanging="2"/>
        <w:rPr>
          <w:rFonts w:ascii="Arial" w:eastAsia="Arial" w:hAnsi="Arial" w:cs="Arial"/>
          <w:sz w:val="16"/>
          <w:szCs w:val="16"/>
        </w:rPr>
      </w:pPr>
      <w:r w:rsidRPr="008F3A94">
        <w:rPr>
          <w:rFonts w:ascii="Arial" w:eastAsia="Arial" w:hAnsi="Arial" w:cs="Arial"/>
          <w:sz w:val="16"/>
          <w:szCs w:val="16"/>
        </w:rPr>
        <w:t>1</w:t>
      </w:r>
      <w:r w:rsidR="008F3A94" w:rsidRPr="008F3A94">
        <w:rPr>
          <w:rFonts w:ascii="Arial" w:eastAsia="Arial" w:hAnsi="Arial" w:cs="Arial"/>
          <w:sz w:val="16"/>
          <w:szCs w:val="16"/>
        </w:rPr>
        <w:t>Department of Materials and Metallurgical Engineering, Faculty of Industrial Technology and System Engineering, Institut Teknologi Sepuluh Nopember, Surabaya</w:t>
      </w:r>
    </w:p>
    <w:p w14:paraId="6C5E19DA" w14:textId="77777777" w:rsidR="0002676E" w:rsidRDefault="0002676E">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02676E" w14:paraId="0BF29A9B" w14:textId="77777777">
        <w:tc>
          <w:tcPr>
            <w:tcW w:w="6236" w:type="dxa"/>
            <w:shd w:val="clear" w:color="auto" w:fill="9CC2E5"/>
          </w:tcPr>
          <w:p w14:paraId="7112AFE9" w14:textId="77777777" w:rsidR="0002676E" w:rsidRDefault="00000000">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74F37740" w14:textId="441CE51E" w:rsidR="0002676E" w:rsidRDefault="00EE0966">
            <w:pPr>
              <w:shd w:val="clear" w:color="auto" w:fill="9CC2E5"/>
              <w:spacing w:after="0" w:line="240" w:lineRule="auto"/>
              <w:ind w:left="0" w:hanging="2"/>
              <w:jc w:val="both"/>
              <w:rPr>
                <w:rFonts w:ascii="Arial" w:eastAsia="Arial" w:hAnsi="Arial" w:cs="Arial"/>
                <w:sz w:val="20"/>
                <w:szCs w:val="20"/>
              </w:rPr>
            </w:pPr>
            <w:r w:rsidRPr="00EE0966">
              <w:rPr>
                <w:rFonts w:ascii="Arial" w:eastAsia="Arial" w:hAnsi="Arial" w:cs="Arial"/>
                <w:i/>
                <w:sz w:val="20"/>
                <w:szCs w:val="20"/>
              </w:rPr>
              <w:t>The design of scaffolds based on polycaprolactone (PCL) and hydroxyapatite (HA) has attracted attention as a solution for bone tissue regeneration. However, the main challenge in its development is the difficulty in achieving an optimal balance between porosity and mechanical strength. Suboptimal porosity limits the scaffold's ability to support cell proliferation, and weak mechanical properties result in the scaffold being less than optimal as a load-bearing implant material during the bone cell regeneration process. This study aims to address these issues by evaluating the effects of the silane coupling agent 3-aminopropiltriethoxysilane (APTES) and the porogen ratio (NaCl) on the mechanical properties, morphology, and biodegradability of PCL-HA-based 3D scaffolds. The scaffolds were synthesized using the solvent casting-particulate leaching (SCPL) method with varying APTES concentrations (1%, 3%, and 5%) and porogen ratios. (4:1, 6:1, dan 8:1). The results of characterization show that the addition of 1% APTES increases compressive strength by 283% and tensile strength by 138% compared to scaffolds without APTES. A higher porogen ratio (8:1) results in the highest porosity of 78.16%, but reduces mechanical strength by 84%. The best combination is obtained in scaffolds with 1% APTES and a porogen ratio of 4:1, which have optimal mechanical strength, porosity of 69.65%, and a degradation time of up to 380 days. This research offers a comprehensive solution to enhance the properties of PCL-HA based 3D scaffolds, making a significant contribution to the development of materials for bone tissue engineering applications.</w:t>
            </w:r>
            <w:r w:rsidR="005A6BF4">
              <w:rPr>
                <w:rFonts w:ascii="Arial" w:eastAsia="Arial" w:hAnsi="Arial" w:cs="Arial"/>
                <w:i/>
                <w:sz w:val="20"/>
                <w:szCs w:val="20"/>
              </w:rPr>
              <w:t xml:space="preserve"> </w:t>
            </w:r>
          </w:p>
          <w:p w14:paraId="3B32CAF6" w14:textId="77777777" w:rsidR="0002676E" w:rsidRDefault="0002676E">
            <w:pPr>
              <w:spacing w:after="0" w:line="240" w:lineRule="auto"/>
              <w:ind w:left="0" w:hanging="2"/>
              <w:jc w:val="both"/>
              <w:rPr>
                <w:rFonts w:ascii="Arial" w:eastAsia="Arial" w:hAnsi="Arial" w:cs="Arial"/>
                <w:sz w:val="20"/>
                <w:szCs w:val="20"/>
              </w:rPr>
            </w:pPr>
          </w:p>
          <w:p w14:paraId="26A10AD2" w14:textId="77777777" w:rsidR="0002676E" w:rsidRDefault="0000000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sidR="0002676E">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0B28F0C3" w14:textId="77777777" w:rsidR="0002676E" w:rsidRDefault="0000000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01462E12" wp14:editId="7C622BF9">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3CA90D7B" w14:textId="77777777" w:rsidR="0002676E" w:rsidRDefault="0000000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39570909" w14:textId="4D2611BC" w:rsidR="0002676E" w:rsidRDefault="005E2470">
            <w:pPr>
              <w:widowControl w:val="0"/>
              <w:spacing w:after="0" w:line="240" w:lineRule="auto"/>
              <w:ind w:left="0" w:hanging="2"/>
              <w:rPr>
                <w:rFonts w:ascii="Arial" w:eastAsia="Arial" w:hAnsi="Arial" w:cs="Arial"/>
                <w:sz w:val="18"/>
                <w:szCs w:val="18"/>
              </w:rPr>
            </w:pPr>
            <w:r w:rsidRPr="005E2470">
              <w:rPr>
                <w:rFonts w:ascii="Arial" w:eastAsia="Arial" w:hAnsi="Arial" w:cs="Arial"/>
                <w:i/>
                <w:sz w:val="18"/>
                <w:szCs w:val="18"/>
              </w:rPr>
              <w:t>3D Scaffolds</w:t>
            </w:r>
            <w:r w:rsidR="00847019">
              <w:rPr>
                <w:rFonts w:ascii="Arial" w:eastAsia="Arial" w:hAnsi="Arial" w:cs="Arial"/>
                <w:i/>
                <w:sz w:val="18"/>
                <w:szCs w:val="18"/>
              </w:rPr>
              <w:t>;</w:t>
            </w:r>
            <w:r w:rsidRPr="005E2470">
              <w:rPr>
                <w:rFonts w:ascii="Arial" w:eastAsia="Arial" w:hAnsi="Arial" w:cs="Arial"/>
                <w:i/>
                <w:sz w:val="18"/>
                <w:szCs w:val="18"/>
              </w:rPr>
              <w:t>PCL</w:t>
            </w:r>
            <w:r w:rsidR="00847019">
              <w:rPr>
                <w:rFonts w:ascii="Arial" w:eastAsia="Arial" w:hAnsi="Arial" w:cs="Arial"/>
                <w:i/>
                <w:sz w:val="18"/>
                <w:szCs w:val="18"/>
              </w:rPr>
              <w:t>;</w:t>
            </w:r>
            <w:r w:rsidRPr="005E2470">
              <w:rPr>
                <w:rFonts w:ascii="Arial" w:eastAsia="Arial" w:hAnsi="Arial" w:cs="Arial"/>
                <w:i/>
                <w:sz w:val="18"/>
                <w:szCs w:val="18"/>
              </w:rPr>
              <w:t>Hidroksiapatit</w:t>
            </w:r>
            <w:r w:rsidR="00847019">
              <w:rPr>
                <w:rFonts w:ascii="Arial" w:eastAsia="Arial" w:hAnsi="Arial" w:cs="Arial"/>
                <w:i/>
                <w:sz w:val="18"/>
                <w:szCs w:val="18"/>
              </w:rPr>
              <w:t xml:space="preserve">; </w:t>
            </w:r>
            <w:r w:rsidR="00EC2C51">
              <w:rPr>
                <w:rFonts w:ascii="Arial" w:eastAsia="Arial" w:hAnsi="Arial" w:cs="Arial"/>
                <w:i/>
                <w:sz w:val="18"/>
                <w:szCs w:val="18"/>
              </w:rPr>
              <w:t>Coupling Agent</w:t>
            </w:r>
            <w:r w:rsidR="00847019">
              <w:rPr>
                <w:rFonts w:ascii="Arial" w:eastAsia="Arial" w:hAnsi="Arial" w:cs="Arial"/>
                <w:i/>
                <w:sz w:val="18"/>
                <w:szCs w:val="18"/>
              </w:rPr>
              <w:t xml:space="preserve">; </w:t>
            </w:r>
            <w:r w:rsidR="00EC2C51">
              <w:rPr>
                <w:rFonts w:ascii="Arial" w:eastAsia="Arial" w:hAnsi="Arial" w:cs="Arial"/>
                <w:i/>
                <w:sz w:val="18"/>
                <w:szCs w:val="18"/>
              </w:rPr>
              <w:t>Porogen</w:t>
            </w:r>
          </w:p>
          <w:p w14:paraId="07ACE885" w14:textId="77777777" w:rsidR="0002676E" w:rsidRDefault="0002676E">
            <w:pPr>
              <w:widowControl w:val="0"/>
              <w:tabs>
                <w:tab w:val="left" w:pos="9020"/>
              </w:tabs>
              <w:spacing w:after="0" w:line="240" w:lineRule="auto"/>
              <w:ind w:left="0" w:hanging="2"/>
              <w:rPr>
                <w:rFonts w:ascii="Arial" w:eastAsia="Arial" w:hAnsi="Arial" w:cs="Arial"/>
                <w:sz w:val="18"/>
                <w:szCs w:val="18"/>
              </w:rPr>
            </w:pPr>
          </w:p>
          <w:p w14:paraId="0F60FD94" w14:textId="77777777" w:rsidR="0002676E"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62347950" w14:textId="77777777" w:rsidR="0002676E" w:rsidRDefault="0002676E">
            <w:pPr>
              <w:widowControl w:val="0"/>
              <w:tabs>
                <w:tab w:val="left" w:pos="9020"/>
              </w:tabs>
              <w:spacing w:after="0" w:line="240" w:lineRule="auto"/>
              <w:ind w:left="0" w:hanging="2"/>
              <w:rPr>
                <w:rFonts w:ascii="Arial" w:eastAsia="Arial" w:hAnsi="Arial" w:cs="Arial"/>
                <w:sz w:val="18"/>
                <w:szCs w:val="18"/>
              </w:rPr>
            </w:pPr>
          </w:p>
          <w:p w14:paraId="121ED5B8" w14:textId="77777777" w:rsidR="0002676E"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43F9BDA6" w14:textId="7B8BCE9C" w:rsidR="0002676E" w:rsidRDefault="007C272B">
            <w:pPr>
              <w:widowControl w:val="0"/>
              <w:tabs>
                <w:tab w:val="left" w:pos="9020"/>
              </w:tabs>
              <w:spacing w:after="0" w:line="240" w:lineRule="auto"/>
              <w:ind w:left="0" w:hanging="2"/>
              <w:rPr>
                <w:rFonts w:ascii="Arial" w:eastAsia="Arial" w:hAnsi="Arial" w:cs="Arial"/>
                <w:i/>
                <w:sz w:val="18"/>
                <w:szCs w:val="18"/>
                <w:vertAlign w:val="superscript"/>
              </w:rPr>
            </w:pPr>
            <w:r w:rsidRPr="007C272B">
              <w:rPr>
                <w:rFonts w:ascii="Arial" w:eastAsia="Arial" w:hAnsi="Arial" w:cs="Arial"/>
                <w:i/>
                <w:sz w:val="18"/>
                <w:szCs w:val="18"/>
              </w:rPr>
              <w:t>Mu’adz Abdullah Faqih</w:t>
            </w:r>
            <w:r w:rsidR="000964A1">
              <w:rPr>
                <w:rFonts w:ascii="Arial" w:eastAsia="Arial" w:hAnsi="Arial" w:cs="Arial"/>
                <w:i/>
                <w:sz w:val="18"/>
                <w:szCs w:val="18"/>
                <w:vertAlign w:val="superscript"/>
              </w:rPr>
              <w:t>a</w:t>
            </w:r>
          </w:p>
          <w:p w14:paraId="3F8557B4" w14:textId="48C4D26F" w:rsidR="007A266A" w:rsidRPr="007A266A" w:rsidRDefault="007A266A">
            <w:pPr>
              <w:widowControl w:val="0"/>
              <w:tabs>
                <w:tab w:val="left" w:pos="9020"/>
              </w:tabs>
              <w:spacing w:after="0" w:line="240" w:lineRule="auto"/>
              <w:ind w:left="0" w:hanging="2"/>
              <w:rPr>
                <w:rFonts w:ascii="Arial" w:eastAsia="Arial" w:hAnsi="Arial" w:cs="Arial"/>
                <w:sz w:val="18"/>
                <w:szCs w:val="18"/>
              </w:rPr>
            </w:pPr>
            <w:r w:rsidRPr="007A266A">
              <w:rPr>
                <w:rFonts w:ascii="Arial" w:eastAsia="Arial" w:hAnsi="Arial" w:cs="Arial"/>
                <w:sz w:val="18"/>
                <w:szCs w:val="18"/>
              </w:rPr>
              <w:t>Agung Purniawan</w:t>
            </w:r>
            <w:r w:rsidR="000964A1">
              <w:rPr>
                <w:rFonts w:ascii="Arial" w:eastAsia="Arial" w:hAnsi="Arial" w:cs="Arial"/>
                <w:sz w:val="18"/>
                <w:szCs w:val="18"/>
                <w:vertAlign w:val="superscript"/>
              </w:rPr>
              <w:t>b</w:t>
            </w:r>
          </w:p>
          <w:p w14:paraId="5EED5FEC" w14:textId="6AB13FC0" w:rsidR="0002676E" w:rsidRDefault="007C272B">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7C272B">
              <w:rPr>
                <w:rFonts w:ascii="Arial" w:eastAsia="Arial" w:hAnsi="Arial" w:cs="Arial"/>
                <w:i/>
                <w:color w:val="000000"/>
                <w:sz w:val="18"/>
                <w:szCs w:val="18"/>
              </w:rPr>
              <w:t>Department of Materials and Metallurgical Engineering</w:t>
            </w:r>
            <w:r>
              <w:rPr>
                <w:rFonts w:ascii="Arial" w:eastAsia="Arial" w:hAnsi="Arial" w:cs="Arial"/>
                <w:i/>
                <w:color w:val="000000"/>
                <w:sz w:val="18"/>
                <w:szCs w:val="18"/>
              </w:rPr>
              <w:t xml:space="preserve">, </w:t>
            </w:r>
            <w:r w:rsidRPr="007C272B">
              <w:rPr>
                <w:rFonts w:ascii="Arial" w:eastAsia="Arial" w:hAnsi="Arial" w:cs="Arial"/>
                <w:i/>
                <w:color w:val="000000"/>
                <w:sz w:val="18"/>
                <w:szCs w:val="18"/>
              </w:rPr>
              <w:t>Institut Teknologi Sepuluh Nopembe</w:t>
            </w:r>
            <w:r>
              <w:rPr>
                <w:rFonts w:ascii="Arial" w:eastAsia="Arial" w:hAnsi="Arial" w:cs="Arial"/>
                <w:i/>
                <w:color w:val="000000"/>
                <w:sz w:val="18"/>
                <w:szCs w:val="18"/>
              </w:rPr>
              <w:t>r</w:t>
            </w:r>
          </w:p>
          <w:p w14:paraId="5385B9AC" w14:textId="3B2CC699" w:rsidR="0002676E" w:rsidRPr="00721A82" w:rsidRDefault="00000000">
            <w:pPr>
              <w:pBdr>
                <w:top w:val="nil"/>
                <w:left w:val="nil"/>
                <w:bottom w:val="nil"/>
                <w:right w:val="nil"/>
                <w:between w:val="nil"/>
              </w:pBdr>
              <w:tabs>
                <w:tab w:val="left" w:pos="0"/>
              </w:tabs>
              <w:spacing w:after="0" w:line="240" w:lineRule="auto"/>
              <w:ind w:left="0" w:hanging="2"/>
              <w:rPr>
                <w:rFonts w:ascii="Arial" w:eastAsia="Arial" w:hAnsi="Arial" w:cs="Arial"/>
                <w:i/>
                <w:color w:val="000000"/>
                <w:sz w:val="18"/>
                <w:szCs w:val="18"/>
              </w:rPr>
            </w:pPr>
            <w:r>
              <w:rPr>
                <w:rFonts w:ascii="Arial" w:eastAsia="Arial" w:hAnsi="Arial" w:cs="Arial"/>
                <w:i/>
                <w:color w:val="000000"/>
                <w:sz w:val="18"/>
                <w:szCs w:val="18"/>
              </w:rPr>
              <w:t xml:space="preserve">Email: </w:t>
            </w:r>
            <w:r w:rsidR="000964A1" w:rsidRPr="00721A82">
              <w:rPr>
                <w:rFonts w:ascii="Arial" w:eastAsia="Arial" w:hAnsi="Arial" w:cs="Arial"/>
                <w:i/>
                <w:color w:val="000000"/>
                <w:sz w:val="18"/>
                <w:szCs w:val="18"/>
                <w:vertAlign w:val="superscript"/>
              </w:rPr>
              <w:t>a)</w:t>
            </w:r>
            <w:hyperlink r:id="rId12" w:history="1">
              <w:r w:rsidR="00683156" w:rsidRPr="00CD1007">
                <w:rPr>
                  <w:rStyle w:val="Hyperlink"/>
                  <w:rFonts w:ascii="Arial" w:eastAsia="Arial" w:hAnsi="Arial" w:cs="Arial"/>
                  <w:i/>
                  <w:sz w:val="18"/>
                  <w:szCs w:val="18"/>
                </w:rPr>
                <w:t>6011231005@student.its.ac.id</w:t>
              </w:r>
            </w:hyperlink>
          </w:p>
          <w:p w14:paraId="4C30ECA0" w14:textId="6255FFF6" w:rsidR="0002676E" w:rsidRPr="000964A1" w:rsidRDefault="000964A1">
            <w:pPr>
              <w:widowControl w:val="0"/>
              <w:tabs>
                <w:tab w:val="left" w:pos="9020"/>
              </w:tabs>
              <w:spacing w:after="0" w:line="240" w:lineRule="auto"/>
              <w:ind w:left="0" w:hanging="2"/>
              <w:rPr>
                <w:rFonts w:ascii="Arial" w:eastAsia="Arial" w:hAnsi="Arial" w:cs="Arial"/>
                <w:sz w:val="18"/>
                <w:szCs w:val="18"/>
              </w:rPr>
            </w:pPr>
            <w:r w:rsidRPr="00721A82">
              <w:rPr>
                <w:rFonts w:ascii="Arial" w:eastAsia="Arial" w:hAnsi="Arial" w:cs="Arial"/>
                <w:i/>
                <w:sz w:val="18"/>
                <w:szCs w:val="18"/>
                <w:vertAlign w:val="superscript"/>
              </w:rPr>
              <w:t>b)</w:t>
            </w:r>
            <w:r w:rsidRPr="00721A82">
              <w:rPr>
                <w:i/>
              </w:rPr>
              <w:t xml:space="preserve"> </w:t>
            </w:r>
            <w:hyperlink r:id="rId13" w:history="1">
              <w:r w:rsidR="00BA1E34" w:rsidRPr="00A04FFA">
                <w:rPr>
                  <w:rStyle w:val="Hyperlink"/>
                </w:rPr>
                <w:t>a.purniawan@its.ac.id</w:t>
              </w:r>
            </w:hyperlink>
            <w:r w:rsidR="00BA1E34">
              <w:t xml:space="preserve"> </w:t>
            </w:r>
          </w:p>
        </w:tc>
      </w:tr>
    </w:tbl>
    <w:p w14:paraId="7521F609" w14:textId="77777777" w:rsidR="0002676E" w:rsidRDefault="0002676E">
      <w:pPr>
        <w:widowControl w:val="0"/>
        <w:tabs>
          <w:tab w:val="left" w:pos="9020"/>
        </w:tabs>
        <w:spacing w:after="0" w:line="240" w:lineRule="auto"/>
        <w:ind w:left="0" w:hanging="2"/>
        <w:jc w:val="center"/>
        <w:rPr>
          <w:rFonts w:ascii="Arial" w:eastAsia="Arial" w:hAnsi="Arial" w:cs="Arial"/>
          <w:sz w:val="20"/>
          <w:szCs w:val="20"/>
        </w:rPr>
        <w:sectPr w:rsidR="0002676E">
          <w:headerReference w:type="even" r:id="rId14"/>
          <w:headerReference w:type="default" r:id="rId15"/>
          <w:footerReference w:type="even" r:id="rId16"/>
          <w:footerReference w:type="default" r:id="rId17"/>
          <w:headerReference w:type="first" r:id="rId18"/>
          <w:footerReference w:type="first" r:id="rId19"/>
          <w:pgSz w:w="11907" w:h="16840"/>
          <w:pgMar w:top="1701" w:right="1134" w:bottom="1701" w:left="1701" w:header="680" w:footer="680" w:gutter="0"/>
          <w:pgNumType w:start="1"/>
          <w:cols w:space="720"/>
          <w:titlePg/>
        </w:sectPr>
      </w:pPr>
    </w:p>
    <w:p w14:paraId="32E8AD48" w14:textId="2F499DB2" w:rsidR="0002676E" w:rsidRDefault="00000000">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5FA608A6" w14:textId="202A85C2"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Bone is one of the most important tissues in the human body because it serves as a support for the body and as a protector of vital organs</w:t>
      </w:r>
      <w:r w:rsidR="006B7AF6">
        <w:rPr>
          <w:rFonts w:ascii="Arial" w:eastAsia="Arial" w:hAnsi="Arial" w:cs="Arial"/>
          <w:sz w:val="20"/>
          <w:szCs w:val="20"/>
        </w:rPr>
        <w:t xml:space="preserve"> </w:t>
      </w:r>
      <w:r w:rsidR="00296FE2">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{"citationItems":[{"id":"ITEM-1","itemData":{"DOI":"10.3390/ph15070879","ISSN":"14248247","abstract":"Bones play an important role in maintaining exercise and protecting organs. Bone defect, as a common orthopedic disease in clinics, can cause tremendous damage with long treatment cycles. Therefore, the treatment of bone defect remains as one of the main challenges in clinical practice. Today, with increased incidence of bone disease in the aging population, demand for bone repair material is high. At present, the method of clinical treatment for bone defects including non-invasive therapy and invasive therapy. Surgical treatment is the most effective way to treat bone defects, such as using bone grafts, Masquelet technique, Ilizarov technique etc. In recent years, the rapid development of tissue engineering technology provides a new treatment strategy for bone repair. This review paper introduces the current situation and challenges of clinical treatment of bone defect repair in detail. The advantages and disadvantages of bone tissue engineering scaffolds are comprehensively discussed from the aspect of material, preparation technology, and function of bone tissue engineering scaffolds. This paper also summarizes the 3D printing technology based on computer technology, aiming at designing personalized artificial scaffolds that can accurately fit bone defects.","author":[{"dropping-particle":"","family":"Xue","given":"Nannan","non-dropping-particle":"","parse-names":false,"suffix":""},{"dropping-particle":"","family":"Ding","given":"Xiaofeng","non-dropping-particle":"","parse-names":false,"suffix":""},{"dropping-particle":"","family":"Huang","given":"Rizhong","non-dropping-particle":"","parse-names":false,"suffix":""},{"dropping-particle":"","family":"Jiang","given":"Ruihan","non-dropping-particle":"","parse-names":false,"suffix":""},{"dropping-particle":"","family":"Huang","given":"Heyan","non-dropping-particle":"","parse-names":false,"suffix":""},{"dropping-particle":"","family":"Pan","given":"Xin","non-dropping-particle":"","parse-names":false,"suffix":""},{"dropping-particle":"","family":"Min","given":"Wen","non-dropping-particle":"","parse-names":false,"suffix":""},{"dropping-particle":"","family":"Chen","given":"Jun","non-dropping-particle":"","parse-names":false,"suffix":""},{"dropping-particle":"","family":"Duan","given":"Jin Ao","non-dropping-particle":"","parse-names":false,"suffix":""},{"dropping-particle":"","family":"Liu","given":"Pei","non-dropping-particle":"","parse-names":false,"suffix":""},{"dropping-particle":"","family":"Wang","given":"Yiwei","non-dropping-particle":"","parse-names":false,"suffix":""}],"container-title":"Pharmaceuticals","id":"ITEM-1","issue":"7","issued":{"date-parts":[["2022"]]},"page":"1-24","title":"Bone Tissue Engineering in the Treatment of Bone Defects","type":"article-journal","volume":"15"},"uris":["http://www.mendeley.com/documents/?uuid=97cb22d5-1dbf-4f33-9abd-ddfee2792f5b","http://www.mendeley.com/documents/?uuid=b49a32fc-a941-4c7a-9d8d-0029322d1275"]}],"mendeley":{"formattedCitation":"[1]","plainTextFormattedCitation":"[1]","previouslyFormattedCitation":"[1]"},"properties":{"noteIndex":0},"schema":"https://github.com/citation-style-language/schema/raw/master/csl-citation.json"}</w:instrText>
      </w:r>
      <w:r w:rsidR="00296FE2">
        <w:rPr>
          <w:rFonts w:ascii="Arial" w:eastAsia="Arial" w:hAnsi="Arial" w:cs="Arial"/>
          <w:sz w:val="20"/>
          <w:szCs w:val="20"/>
        </w:rPr>
        <w:fldChar w:fldCharType="separate"/>
      </w:r>
      <w:r w:rsidR="00296FE2" w:rsidRPr="00296FE2">
        <w:rPr>
          <w:rFonts w:ascii="Arial" w:eastAsia="Arial" w:hAnsi="Arial" w:cs="Arial"/>
          <w:noProof/>
          <w:sz w:val="20"/>
          <w:szCs w:val="20"/>
        </w:rPr>
        <w:t>[1]</w:t>
      </w:r>
      <w:r w:rsidR="00296FE2">
        <w:rPr>
          <w:rFonts w:ascii="Arial" w:eastAsia="Arial" w:hAnsi="Arial" w:cs="Arial"/>
          <w:sz w:val="20"/>
          <w:szCs w:val="20"/>
        </w:rPr>
        <w:fldChar w:fldCharType="end"/>
      </w:r>
      <w:r w:rsidRPr="00FC08A2">
        <w:rPr>
          <w:rFonts w:ascii="Arial" w:eastAsia="Arial" w:hAnsi="Arial" w:cs="Arial"/>
          <w:sz w:val="20"/>
          <w:szCs w:val="20"/>
        </w:rPr>
        <w:t xml:space="preserve">. However, various conditions such as degenerative diseases, trauma, and infections can cause significant fractures or bone damage. Bone fractures occur when the pressure received by the </w:t>
      </w:r>
      <w:r w:rsidRPr="00FC08A2">
        <w:rPr>
          <w:rFonts w:ascii="Arial" w:eastAsia="Arial" w:hAnsi="Arial" w:cs="Arial"/>
          <w:sz w:val="20"/>
          <w:szCs w:val="20"/>
        </w:rPr>
        <w:t xml:space="preserve">bone exceeds its elasticity limit, resulting in cracks to breaks </w:t>
      </w:r>
      <w:r w:rsidR="00296FE2">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{"citationItems":[{"id":"ITEM-1","itemData":{"DOI":"10.1021/acsomega.1c04015","ISSN":"24701343","abstract":"With advances in bone tissue engineering, various materials and methods have been explored to find a better scaffold that can help in improving bone growth and regeneration. Three-dimensional (3D) printing by fused deposition modeling can produce customized scaffolds from biodegradable polyesters such as polycaprolactone (PCL). Although the fabricated PCL scaffolds exhibited a lack of bioactivity and poor cell attachment on their surfaces, herein, using a simple postfabrication modification method with hydroxyapatite (HA) and bioglasses (BGs), we obtained better cell proliferation and attachment. Biological behavior and osteosupportive capacity of the 3D-printed scaffolds including PCL, PCL/HA, PCL/BG, and PCL/HA/BG were evaluated in this study, while human adipose tissue-derived mesenchymal stem cells (hADSCs) were cultured on the scaffolds. The cell morphology, attachment, and proliferation were investigated using scanning electron microscopy (SEM), 3-(4,5-dimethylthiazol-2-yl)-2,5-diphenyl tetrazolium bromide (MTT) assay, and 4′,6-diamidino-2-phenylindole (DAPI) staining. In the next step, the ability of stem cells to differentiate into osteoblasts was evaluated by measuring alkaline phosphatase (ALP) activity, calcium deposition, and bone-related gene and protein expression. In the end, the expression levels of miR-20a, miR-125a, and their target genes were also investigated as positive and negative regulators in osteogenesis pathways. The results showed that the coated scaffolds with bioceramics present a more appropriate surface for cell adhesion and proliferation, as well as efficient potential in inducing osteoconduction and osteointegration compared to PCL alone and control. The PCL/HA/BG scaffold exhibited higher in vitro cell viability and bone formation compared to the other groups, which can be due to the synergistic effect of HA and BG. On the whole, this tricomponent 3D-printing scaffold has a promising prospect for bone tissue engineering applications.","author":[{"dropping-particle":"","family":"Fazeli","given":"Nasrin","non-dropping-particle":"","parse-names":false,"suffix":""},{"dropping-particle":"","family":"Arefian","given":"Ehsan","non-dropping-particle":"","parse-names":false,"suffix":""},{"dropping-particle":"","family":"Irani","given":"Shiva","non-dropping-particle":"","parse-names":false,"suffix":""},{"dropping-particle":"","family":"Ardeshirylajimi","given":"Abdolreza","non-dropping-particle":"","parse-names":false,"suffix":""},{"dropping-particle":"","family":"Seyedjafari","given":"Ehsan","non-dropping-particle":"","parse-names":false,"suffix":""}],"container-title":"ACS Omega","id":"ITEM-1","issue":"51","issued":{"date-parts":[["2021"]]},"page":"35284-35296","title":"3D-Printed PCL Scaffolds Coated with Nanobioceramics Enhance Osteogenic Differentiation of Stem Cells","type":"article-journal","volume":"6"},"uris":["http://www.mendeley.com/documents/?uuid=75d2aa90-0e77-438f-affd-78052b07fa92","http://www.mendeley.com/documents/?uuid=6a28485c-a767-44c9-81e7-f811264d71cd"]},{"id":"ITEM-2","itemData":{"DOI":"10.20473/fmi.v55i3.15495","ISSN":"2355-8393","abstract":"Bone is an important organ for supports the body that stores reserve of calcium, phosphorus, and other minerals. In fracture conditions where bleeding, soft tissue edema, nerve damage, and blood vessels around the bone damage happen, they can cause the mobilization of these minerals in the surrounding tissue. One of the efforts made in the treatment of these fractures is reconnection, in which it works by filling of bone defect with a matrix and administration of anti-infection. Biomaterial filling in defective bone is thought to accelerate the healing process of bone fracture and prevent osteomyelitis. For this reason, this study evaluates the acceleration of bone fracture healing using natural hydroxyapatite (NHA) bone filler in rabbits with bone defect model. Fracture modeling was performed by surgical technique and drilling of bones with a 4.2 mm diameter to form a defect in the rabbit femur. Bone implant contained bovine hydroxyapatite-gelatin-glutaraldehyde (BHA implant) or bovine hydroxyapatite-gelatin-glutaraldehyde-gentamicin (BHA-GEN implant) that was inserted in bone defects. 27 rabbits were divided into 3 groups: the control group who had bone defect, the bone defect group was given BHA implant and the bone defect group was given BHA-GEN implant. Observation of osteoclast, osteoblast, osteocyte, BALP level, and bone morphological integrity was carried out on the 14th, 28th, and 42nd days after surgery. Histological observation of rabbit femur showed a significant difference on the number of osteoclast, osteoblast and osteocyte in all three groups. The BALP level also showed a significant difference in the group given the natural BHA bone implant compared to the control group on day 14 (p = 0.0361). Based on the result of the X-ray, there was also a better integration of rabbit femur bone in groups with the use of BHA or BHA-GEN bone implant. Thus, it can be concluded that the use of a natural BHA implant can accelerate the process of bone repair in the fracture of rabbit femur. In addition, BHA implants were compatible as a matrix for supporting the bone cell growth.","author":[{"dropping-particle":"","family":"Khotib","given":"Junaidi","non-dropping-particle":"","parse-names":false,"suffix":""},{"dropping-particle":"","family":"Lasandara","given":"Cantika SC","non-dropping-particle":"","parse-names":false,"suffix":""},{"dropping-particle":"","family":"Samirah","given":"Samirah","non-dropping-particle":"","parse-names":false,"suffix":""},{"dropping-particle":"","family":"Budiatin","given":"Aniek S","non-dropping-particle":"","parse-names":false,"suffix":""}],"container-title":"Folia Medica Indonesiana","id":"ITEM-2","issue":"3","issued":{"date-parts":[["2019"]]},"page":"176","title":"Acceleration of Bone Fracture Healing through the Use of Natural Bovine Hydroxyapatite Implant on Bone Defect Animal Model","type":"article-journal","volume":"55"},"uris":["http://www.mendeley.com/documents/?uuid=3683e469-c820-40a6-9be4-70b233dbb125","http://www.mendeley.com/documents/?uuid=ee34598d-7254-4aaa-8a4f-22c237a5c070"]}],"mendeley":{"formattedCitation":"[2], [3]","plainTextFormattedCitation":"[2], [3]","previouslyFormattedCitation":"[2], [3]"},"properties":{"noteIndex":0},"schema":"https://github.com/citation-style-language/schema/raw/master/csl-citation.json"}</w:instrText>
      </w:r>
      <w:r w:rsidR="00296FE2">
        <w:rPr>
          <w:rFonts w:ascii="Arial" w:eastAsia="Arial" w:hAnsi="Arial" w:cs="Arial"/>
          <w:sz w:val="20"/>
          <w:szCs w:val="20"/>
        </w:rPr>
        <w:fldChar w:fldCharType="separate"/>
      </w:r>
      <w:r w:rsidR="00296FE2" w:rsidRPr="00296FE2">
        <w:rPr>
          <w:rFonts w:ascii="Arial" w:eastAsia="Arial" w:hAnsi="Arial" w:cs="Arial"/>
          <w:noProof/>
          <w:sz w:val="20"/>
          <w:szCs w:val="20"/>
        </w:rPr>
        <w:t>[2], [3]</w:t>
      </w:r>
      <w:r w:rsidR="00296FE2">
        <w:rPr>
          <w:rFonts w:ascii="Arial" w:eastAsia="Arial" w:hAnsi="Arial" w:cs="Arial"/>
          <w:sz w:val="20"/>
          <w:szCs w:val="20"/>
        </w:rPr>
        <w:fldChar w:fldCharType="end"/>
      </w:r>
      <w:r w:rsidR="00CD7601">
        <w:rPr>
          <w:rFonts w:ascii="Arial" w:eastAsia="Arial" w:hAnsi="Arial" w:cs="Arial"/>
          <w:sz w:val="20"/>
          <w:szCs w:val="20"/>
        </w:rPr>
        <w:t>.</w:t>
      </w:r>
    </w:p>
    <w:p w14:paraId="7FA6AA3B" w14:textId="7C921921"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Bone tissue engineering offers innovative solutions for the treatment of complex fractures. The main focus in this field is the development of three-dimensional (3D) scaffold-based implant structures that can support the bone regeneration process</w:t>
      </w:r>
      <w:r w:rsidR="00CD7601">
        <w:rPr>
          <w:rFonts w:ascii="Arial" w:eastAsia="Arial" w:hAnsi="Arial" w:cs="Arial"/>
          <w:sz w:val="20"/>
          <w:szCs w:val="20"/>
        </w:rPr>
        <w:t xml:space="preserve"> </w:t>
      </w:r>
      <w:r w:rsidR="00CD7601">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{"citationItems":[{"id":"ITEM-1","itemData":{"DOI":"10.1038/s41598-022-15602-y","ISBN":"0123456789","ISSN":"20452322","PMID":"35859093","abstract":"Bone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author":[{"dropping-particle":"","family":"Ebrahimi","given":"Zahra","non-dropping-particle":"","parse-names":false,"suffix":""},{"dropping-particle":"","family":"Irani","given":"Shiva","non-dropping-particle":"","parse-names":false,"suffix":""},{"dropping-particle":"","family":"Ardeshirylajimi","given":"Abdolreza","non-dropping-particle":"","parse-names":false,"suffix":""},{"dropping-particle":"","family":"Seyedjafari","given":"Ehsan","non-dropping-particle":"","parse-names":false,"suffix":""}],"container-title":"Scientific Reports","id":"ITEM-1","issue":"1","issued":{"date-parts":[["2022"]]},"page":"1-15","publisher":"Nature Publishing Group UK","title":"Enhanced osteogenic differentiation of stem cells by 3D printed PCL scaffolds coated with collagen and hydroxyapatite","type":"article-journal","volume":"12"},"uris":["http://www.mendeley.com/documents/?uuid=7e86f8ba-996d-41ee-8174-c29aa430352c","http://www.mendeley.com/documents/?uuid=e47a13ec-62f1-4920-9482-cab5f608e5fa"]}],"mendeley":{"formattedCitation":"[4]","plainTextFormattedCitation":"[4]","previouslyFormattedCitation":"[4]"},"properties":{"noteIndex":0},"schema":"https://github.com/citation-style-language/schema/raw/master/csl-citation.json"}</w:instrText>
      </w:r>
      <w:r w:rsidR="00CD7601">
        <w:rPr>
          <w:rFonts w:ascii="Arial" w:eastAsia="Arial" w:hAnsi="Arial" w:cs="Arial"/>
          <w:sz w:val="20"/>
          <w:szCs w:val="20"/>
        </w:rPr>
        <w:fldChar w:fldCharType="separate"/>
      </w:r>
      <w:r w:rsidR="00CD7601" w:rsidRPr="00CD7601">
        <w:rPr>
          <w:rFonts w:ascii="Arial" w:eastAsia="Arial" w:hAnsi="Arial" w:cs="Arial"/>
          <w:noProof/>
          <w:sz w:val="20"/>
          <w:szCs w:val="20"/>
        </w:rPr>
        <w:t>[4]</w:t>
      </w:r>
      <w:r w:rsidR="00CD7601">
        <w:rPr>
          <w:rFonts w:ascii="Arial" w:eastAsia="Arial" w:hAnsi="Arial" w:cs="Arial"/>
          <w:sz w:val="20"/>
          <w:szCs w:val="20"/>
        </w:rPr>
        <w:fldChar w:fldCharType="end"/>
      </w:r>
      <w:r w:rsidRPr="00FC08A2">
        <w:rPr>
          <w:rFonts w:ascii="Arial" w:eastAsia="Arial" w:hAnsi="Arial" w:cs="Arial"/>
          <w:sz w:val="20"/>
          <w:szCs w:val="20"/>
        </w:rPr>
        <w:t>.</w:t>
      </w:r>
      <w:r w:rsidR="00CD7601">
        <w:rPr>
          <w:rFonts w:ascii="Arial" w:eastAsia="Arial" w:hAnsi="Arial" w:cs="Arial"/>
          <w:sz w:val="20"/>
          <w:szCs w:val="20"/>
        </w:rPr>
        <w:t xml:space="preserve"> </w:t>
      </w:r>
      <w:r w:rsidRPr="00FC08A2">
        <w:rPr>
          <w:rFonts w:ascii="Arial" w:eastAsia="Arial" w:hAnsi="Arial" w:cs="Arial"/>
          <w:sz w:val="20"/>
          <w:szCs w:val="20"/>
        </w:rPr>
        <w:t xml:space="preserve">These scaffolds are designed to support the adhesion and proliferation of </w:t>
      </w:r>
      <w:r w:rsidRPr="00FC08A2">
        <w:rPr>
          <w:rFonts w:ascii="Arial" w:eastAsia="Arial" w:hAnsi="Arial" w:cs="Arial"/>
          <w:sz w:val="20"/>
          <w:szCs w:val="20"/>
        </w:rPr>
        <w:lastRenderedPageBreak/>
        <w:t>osteogenic cells, facilitate the differentiation of cells into osteoblasts, support the transport of nutrients and waste disposal through structured pores, and provide a physical framework that can be gradually degraded and replaced by new bone tissue</w:t>
      </w:r>
      <w:r w:rsidR="003A7C7C">
        <w:rPr>
          <w:rFonts w:ascii="Arial" w:eastAsia="Arial" w:hAnsi="Arial" w:cs="Arial"/>
          <w:sz w:val="20"/>
          <w:szCs w:val="20"/>
        </w:rPr>
        <w:t xml:space="preserve"> </w:t>
      </w:r>
      <w:r w:rsidR="003A7C7C">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{"citationItems":[{"id":"ITEM-1","itemData":{"DOI":"10.3390/ma10101123","ISSN":"19961944","abstract":"We produced poro-us poly(ε-caprolactone) (PCL)/hydroxyapatite (HA) composite scaffolds for bone regeneration, which can have a tailored macro/micro-porous structure with high mechanical properties and excellent in vitro bioactivity using non-solvent-induced phase separation (NIPS)-based 3D plotting. This innovative 3D plotting technique can create highly microporous PCL/HA composite filaments by inducing unique phase separation in PCL/HA solutions through the non-solvent-solvent exchange phenomenon. The PCL/HA composite scaffolds produced with various HA contents (0 wt %, 10 wt %, 15 wt %, and 20 wt %) showed that PCL/HA composite struts with highly microporous structures were well constructed in a controlled periodic pattern. Similar levels of overall porosity (~78 vol %) and pore size (~248 μm) were observed for all the PCL/HA composite scaffolds, which would be highly beneficial to bone tissue regeneration. Mechanical properties, such as ultimate tensile strength and compressive yield strength, increased with an increase in HA content. In addition, incorporating bioactive HA particles into the PCL polymer led to remarkable enhancements in in vitro apatite-forming ability.","author":[{"dropping-particle":"","family":"Kim","given":"Jong Woo","non-dropping-particle":"","parse-names":false,"suffix":""},{"dropping-particle":"","family":"Shin","given":"Kwan Ha","non-dropping-particle":"","parse-names":false,"suffix":""},{"dropping-particle":"","family":"Koh","given":"Young Hag","non-dropping-particle":"","parse-names":false,"suffix":""},{"dropping-particle":"","family":"Hah","given":"Min Jin","non-dropping-particle":"","parse-names":false,"suffix":""},{"dropping-particle":"","family":"Moon","given":"Jiyoung","non-dropping-particle":"","parse-names":false,"suffix":""},{"dropping-particle":"","family":"Kim","given":"Hyoun Ee","non-dropping-particle":"","parse-names":false,"suffix":""}],"container-title":"Materials","id":"ITEM-1","issue":"10","issued":{"date-parts":[["2017"]]},"title":"Production of poly(ε-caprolactone)/hydroxyapatite composite scaffolds with a tailored macro/micro-porous structure, high mechanical properties, and excellent bioactivity","type":"article-journal","volume":"10"},"uris":["http://www.mendeley.com/documents/?uuid=5cf6cd85-4b54-431b-a1bd-d7a6bb2db57a","http://www.mendeley.com/documents/?uuid=ee861dc9-f1e7-4f78-8230-889257782ad9"]},{"id":"ITEM-2","itemData":{"DOI":"10.1021/acsomega.1c04015","ISSN":"24701343","abstract":"With advances in bone tissue engineering, various materials and methods have been explored to find a better scaffold that can help in improving bone growth and regeneration. Three-dimensional (3D) printing by fused deposition modeling can produce customized scaffolds from biodegradable polyesters such as polycaprolactone (PCL). Although the fabricated PCL scaffolds exhibited a lack of bioactivity and poor cell attachment on their surfaces, herein, using a simple postfabrication modification method with hydroxyapatite (HA) and bioglasses (BGs), we obtained better cell proliferation and attachment. Biological behavior and osteosupportive capacity of the 3D-printed scaffolds including PCL, PCL/HA, PCL/BG, and PCL/HA/BG were evaluated in this study, while human adipose tissue-derived mesenchymal stem cells (hADSCs) were cultured on the scaffolds. The cell morphology, attachment, and proliferation were investigated using scanning electron microscopy (SEM), 3-(4,5-dimethylthiazol-2-yl)-2,5-diphenyl tetrazolium bromide (MTT) assay, and 4′,6-diamidino-2-phenylindole (DAPI) staining. In the next step, the ability of stem cells to differentiate into osteoblasts was evaluated by measuring alkaline phosphatase (ALP) activity, calcium deposition, and bone-related gene and protein expression. In the end, the expression levels of miR-20a, miR-125a, and their target genes were also investigated as positive and negative regulators in osteogenesis pathways. The results showed that the coated scaffolds with bioceramics present a more appropriate surface for cell adhesion and proliferation, as well as efficient potential in inducing osteoconduction and osteointegration compared to PCL alone and control. The PCL/HA/BG scaffold exhibited higher in vitro cell viability and bone formation compared to the other groups, which can be due to the synergistic effect of HA and BG. On the whole, this tricomponent 3D-printing scaffold has a promising prospect for bone tissue engineering applications.","author":[{"dropping-particle":"","family":"Fazeli","given":"Nasrin","non-dropping-particle":"","parse-names":false,"suffix":""},{"dropping-particle":"","family":"Arefian","given":"Ehsan","non-dropping-particle":"","parse-names":false,"suffix":""},{"dropping-particle":"","family":"Irani","given":"Shiva","non-dropping-particle":"","parse-names":false,"suffix":""},{"dropping-particle":"","family":"Ardeshirylajimi","given":"Abdolreza","non-dropping-particle":"","parse-names":false,"suffix":""},{"dropping-particle":"","family":"Seyedjafari","given":"Ehsan","non-dropping-particle":"","parse-names":false,"suffix":""}],"container-title":"ACS Omega","id":"ITEM-2","issue":"51","issued":{"date-parts":[["2021"]]},"page":"35284-35296","title":"3D-Printed PCL Scaffolds Coated with Nanobioceramics Enhance Osteogenic Differentiation of Stem Cells","type":"article-journal","volume":"6"},"uris":["http://www.mendeley.com/documents/?uuid=6a28485c-a767-44c9-81e7-f811264d71cd","http://www.mendeley.com/documents/?uuid=75d2aa90-0e77-438f-affd-78052b07fa92"]}],"mendeley":{"formattedCitation":"[2], [5]","plainTextFormattedCitation":"[2], [5]","previouslyFormattedCitation":"[2], [5]"},"properties":{"noteIndex":0},"schema":"https://github.com/citation-style-language/schema/raw/master/csl-citation.json"}</w:instrText>
      </w:r>
      <w:r w:rsidR="003A7C7C">
        <w:rPr>
          <w:rFonts w:ascii="Arial" w:eastAsia="Arial" w:hAnsi="Arial" w:cs="Arial"/>
          <w:sz w:val="20"/>
          <w:szCs w:val="20"/>
        </w:rPr>
        <w:fldChar w:fldCharType="separate"/>
      </w:r>
      <w:r w:rsidR="003A7C7C" w:rsidRPr="003A7C7C">
        <w:rPr>
          <w:rFonts w:ascii="Arial" w:eastAsia="Arial" w:hAnsi="Arial" w:cs="Arial"/>
          <w:noProof/>
          <w:sz w:val="20"/>
          <w:szCs w:val="20"/>
        </w:rPr>
        <w:t>[2], [5]</w:t>
      </w:r>
      <w:r w:rsidR="003A7C7C">
        <w:rPr>
          <w:rFonts w:ascii="Arial" w:eastAsia="Arial" w:hAnsi="Arial" w:cs="Arial"/>
          <w:sz w:val="20"/>
          <w:szCs w:val="20"/>
        </w:rPr>
        <w:fldChar w:fldCharType="end"/>
      </w:r>
      <w:r w:rsidRPr="00FC08A2">
        <w:rPr>
          <w:rFonts w:ascii="Arial" w:eastAsia="Arial" w:hAnsi="Arial" w:cs="Arial"/>
          <w:sz w:val="20"/>
          <w:szCs w:val="20"/>
        </w:rPr>
        <w:t xml:space="preserve">. </w:t>
      </w:r>
    </w:p>
    <w:p w14:paraId="37DDA926" w14:textId="6FDBB28E"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To fulfill these functions, scaffolds must possess appropriate properties, including biocompatibility, osteoconductivity, bioactivity, biodegradability, and adequate mechanical strength. Research shows that the optimal porosity for cancellous bone is in the range of 60–90%, while pore sizes between 200–350 µm are most ideal for bone tissue regeneration</w:t>
      </w:r>
      <w:r w:rsidR="00DC1FBB">
        <w:rPr>
          <w:rFonts w:ascii="Arial" w:eastAsia="Arial" w:hAnsi="Arial" w:cs="Arial"/>
          <w:sz w:val="20"/>
          <w:szCs w:val="20"/>
        </w:rPr>
        <w:t xml:space="preserve"> </w:t>
      </w:r>
      <w:r w:rsidR="00B14691">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{"citationItems":[{"id":"ITEM-1","itemData":{"DOI":"10.3390/app9091965","ISSN":"20763417","abstract":"Porous hydroxyapatite (HA) artificial bone scaffolds were prepared via the freeze-gel casting process in order to improve their mechanical strengths. As a porogen, various volumes of poly (methyl methacrylate) (PMMA) powders were added to obtain high porosity, such as in cancellous bone. After fabrication, the porous and mechanical properties of the scaffolds were examined. The HA60 scaffold, with a porosity over 80%, had proper compressive strength and modulus and satisfied the range of properties of cancellous bone. Moreover, it was found that the investigated mechanical properties were affected by the scaffolds' porosity. However, a section was found where the compressive strength was high despite the increase in the porosity. Specifically, HA30 had a porosity of 62.9% and a compressive strength of 1.73 MPa, whereas the values for HA60 were 81.9% and 3.23 MPa, respectively. The results indicate that there are factors that can preserve the mechanical properties even if the porosity of the scaffold increases. Therefore, in this study, various parameters affecting the porous and mechanical properties of the scaffolds during the manufacturing process were analyzed. It is expected that the improvement in the mechanical properties of the artificial bone scaffold having a high porosity can be applied to tissue engineering.","author":[{"dropping-particle":"","family":"Kim","given":"Tae Rim","non-dropping-particle":"","parse-names":false,"suffix":""},{"dropping-particle":"","family":"Kim","given":"Min Su","non-dropping-particle":"","parse-names":false,"suffix":""},{"dropping-particle":"","family":"Goh","given":"Tae Sik","non-dropping-particle":"","parse-names":false,"suffix":""},{"dropping-particle":"","family":"Lee","given":"Jung Sub","non-dropping-particle":"","parse-names":false,"suffix":""},{"dropping-particle":"","family":"Kim","given":"Yun Hak","non-dropping-particle":"","parse-names":false,"suffix":""},{"dropping-particle":"","family":"Yoon","given":"Seog Young","non-dropping-particle":"","parse-names":false,"suffix":""},{"dropping-particle":"","family":"Lee","given":"Chi Seung","non-dropping-particle":"","parse-names":false,"suffix":""}],"container-title":"Applied Sciences (Switzerland)","id":"ITEM-1","issue":"9","issued":{"date-parts":[["2019"]]},"page":"1-17","title":"Evaluation of structural and mechanical properties of porous artificial bone scaffolds fabricated via advanced TBA-based freeze-gel casting technique","type":"article-journal","volume":"9"},"uris":["http://www.mendeley.com/documents/?uuid=bf5b9a50-1bd5-4e4b-a406-18dbc769cabe","http://www.mendeley.com/documents/?uuid=190a64c5-3e97-4360-960d-08164331703a"]}],"mendeley":{"formattedCitation":"[6]","plainTextFormattedCitation":"[6]","previouslyFormattedCitation":"[6]"},"properties":{"noteIndex":0},"schema":"https://github.com/citation-style-language/schema/raw/master/csl-citation.json"}</w:instrText>
      </w:r>
      <w:r w:rsidR="00B14691">
        <w:rPr>
          <w:rFonts w:ascii="Arial" w:eastAsia="Arial" w:hAnsi="Arial" w:cs="Arial"/>
          <w:sz w:val="20"/>
          <w:szCs w:val="20"/>
        </w:rPr>
        <w:fldChar w:fldCharType="separate"/>
      </w:r>
      <w:r w:rsidR="00B14691" w:rsidRPr="00B14691">
        <w:rPr>
          <w:rFonts w:ascii="Arial" w:eastAsia="Arial" w:hAnsi="Arial" w:cs="Arial"/>
          <w:noProof/>
          <w:sz w:val="20"/>
          <w:szCs w:val="20"/>
        </w:rPr>
        <w:t>[6]</w:t>
      </w:r>
      <w:r w:rsidR="00B14691">
        <w:rPr>
          <w:rFonts w:ascii="Arial" w:eastAsia="Arial" w:hAnsi="Arial" w:cs="Arial"/>
          <w:sz w:val="20"/>
          <w:szCs w:val="20"/>
        </w:rPr>
        <w:fldChar w:fldCharType="end"/>
      </w:r>
      <w:r w:rsidRPr="00FC08A2">
        <w:rPr>
          <w:rFonts w:ascii="Arial" w:eastAsia="Arial" w:hAnsi="Arial" w:cs="Arial"/>
          <w:sz w:val="20"/>
          <w:szCs w:val="20"/>
        </w:rPr>
        <w:t>.</w:t>
      </w:r>
    </w:p>
    <w:p w14:paraId="4DAED944" w14:textId="07D91319"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Poly(ε-caprolactone) (PCL) and Hydroxyapatite (HA) are materials widely used in the development of 3D scaffolds for bone tissue engineering. The combination of PCL and HA provides unique advantages. PCL is a synthetic polymer with high biodegradability, mechanical flexibility, and good thermal and chemical stability</w:t>
      </w:r>
      <w:r w:rsidR="00B64E08">
        <w:rPr>
          <w:rFonts w:ascii="Arial" w:eastAsia="Arial" w:hAnsi="Arial" w:cs="Arial"/>
          <w:sz w:val="20"/>
          <w:szCs w:val="20"/>
        </w:rPr>
        <w:t xml:space="preserve"> </w:t>
      </w:r>
      <w:r w:rsidR="00B64E08">
        <w:rPr>
          <w:rFonts w:ascii="Arial" w:eastAsia="Arial" w:hAnsi="Arial" w:cs="Arial"/>
          <w:sz w:val="20"/>
          <w:szCs w:val="20"/>
        </w:rPr>
        <w:fldChar w:fldCharType="begin" w:fldLock="1"/>
      </w:r>
      <w:r w:rsidR="00BE693D">
        <w:rPr>
          <w:rFonts w:ascii="Arial" w:eastAsia="Arial" w:hAnsi="Arial" w:cs="Arial"/>
          <w:sz w:val="20"/>
          <w:szCs w:val="20"/>
        </w:rPr>
        <w:instrText>ADDIN CSL_CITATION {"citationItems":[{"id":"ITEM-1","itemData":{"DOI":"10.3390/polym13020257","ISBN":"8228804601","ISSN":"20734360","abstract":"The 3D-printed bioactive ceramic incorporated Poly(ε-caprolactone) (PCL) scaffolds show great promise as synthetic bone graft substitutes. However, 3D-printed scaffolds still lack adequate surface properties for cells to be attached to them. In this study, we modified the surface characteristics of 3D-printed poly(ε-caprolactone)/hydroxyapatite scaffolds using O2 plasma and sodium hydroxide. The surface property of the alkaline hydrolyzed and O2 plasma-treated PCL/HA scaffolds were evaluated using field-emission scanning microscopy (FE-SEM), Alizarin Red S (ARS) staining, and water contact angle analysis, respectively. The in vitro behavior of the scaffolds was investigated using human dental pulp-derived stem cells (hDPSCs). Cell proliferation of hDPSCs on the scaffolds was evaluated via immunocytochemistry (ICC) and water-soluble tetrazolium salt (WST-1) assay. Osteogenic differentiation of hDPSCs on the scaffolds was further investigated using ARS staining and Western blot analysis. The result of this study shows that alkaline treatment is beneficial for exposing hydroxyapatite particles embedded in the scaffolds compared to O2 plasma treatment, which promotes cell proliferation and differentiation of hDPSCs.","author":[{"dropping-particle":"","family":"Park","given":"Sangbae","non-dropping-particle":"","parse-names":false,"suffix":""},{"dropping-particle":"","family":"Kim","given":"Jae Eun","non-dropping-particle":"","parse-names":false,"suffix":""},{"dropping-particle":"","family":"Han","given":"Jinsub","non-dropping-particle":"","parse-names":false,"suffix":""},{"dropping-particle":"","family":"Jeong","given":"Seung","non-dropping-particle":"","parse-names":false,"suffix":""},{"dropping-particle":"","family":"Lim","given":"Jae Woon","non-dropping-particle":"","parse-names":false,"suffix":""},{"dropping-particle":"","family":"Lee","given":"Myung Chul","non-dropping-particle":"","parse-names":false,"suffix":""},{"dropping-particle":"","family":"Son","given":"Hyunmok","non-dropping-particle":"","parse-names":false,"suffix":""},{"dropping-particle":"","family":"Kim","given":"Hong Bae","non-dropping-particle":"","parse-names":false,"suffix":""},{"dropping-particle":"","family":"Choung","given":"Yun Hoon","non-dropping-particle":"","parse-names":false,"suffix":""},{"dropping-particle":"","family":"Seonwoo","given":"Hoon","non-dropping-particle":"","parse-names":false,"suffix":""},{"dropping-particle":"","family":"Chung","given":"Jong Hoon","non-dropping-particle":"","parse-names":false,"suffix":""},{"dropping-particle":"","family":"Jang","given":"Kyoung Je","non-dropping-particle":"","parse-names":false,"suffix":""}],"container-title":"Polymers","id":"ITEM-1","issue":"2","issued":{"date-parts":[["2021"]]},"page":"1-11","title":"3D-Printed Poly(Ε-Caprolactone)/Hydroxyapatite Scaffolds Modified With Alkaline Hydrolysis Enhance Osteogenesis in Vitro","type":"article-journal","volume":"13"},"uris":["http://www.mendeley.com/documents/?uuid=2591a5cb-c55d-47a7-8ae3-db09969fe8aa","http://www.mendeley.com/documents/?uuid=42475244-1fe0-417f-a828-9448ba9b51c1"]},{"id":"ITEM-2","itemData":{"DOI":"10.1021/acsbiomaterials.0c00550","ISSN":"23739878","PMID":"33455267","abstract":"The purpose of this study is to develop a bioactive bone graft based on polycaprolactone (PCL, synthetic polymer; used in clinical practices as a grafting material for craniofacial bone defects) and hyaluronic acid (HA, bioactive natural polymer; known as a promoting substance for bone regeneration) that would be fabricated by clinically available procedures (mild condition without toxic chemicals) and provide bioactivity for sufficient period, and thus effectively induce bone reconstruction. For this, PCL/HA hybrid microspheres were produced by a spray-precipitation technique using clinically adapted solvents. The HA was stably and evenly entrapped in the PCL/HA hybrid microspheres. It was demonstrated that the PCL/HA hybrid microspheres provide an appropriate environment for proliferation and osteogenic differentiation of human periosteum-derived cells (hPDCs) (in vitro) and allow significantly enhanced bone regeneration (in vivo) compared with PCL microspheres without HA. The PCL/HA hybrid microspheres can be a simple but clinically applicable bioactive bone graft for large-sized bone defects.","author":[{"dropping-particle":"","family":"Jang","given":"Hee Yun","non-dropping-particle":"","parse-names":false,"suffix":""},{"dropping-particle":"","family":"Shin","given":"Jun Yung","non-dropping-particle":"","parse-names":false,"suffix":""},{"dropping-particle":"","family":"Oh","given":"Se Heang","non-dropping-particle":"","parse-names":false,"suffix":""},{"dropping-particle":"","family":"Byun","given":"June Ho","non-dropping-particle":"","parse-names":false,"suffix":""},{"dropping-particle":"","family":"Lee","given":"Jin Ho","non-dropping-particle":"","parse-names":false,"suffix":""}],"container-title":"ACS Biomaterials Science and Engineering","id":"ITEM-2","issue":"9","issued":{"date-parts":[["2020"]]},"page":"5172-5180","title":"PCL/HA Hybrid Microspheres for Effective Osteogenic Differentiation and Bone Regeneration","type":"article-journal","volume":"6"},"uris":["http://www.mendeley.com/documents/?uuid=157008dc-471c-4cd5-9f18-edae6cf6ab08","http://www.mendeley.com/documents/?uuid=6032ec09-a5eb-4cff-a279-756f77cbace3"]},{"id":"ITEM-3","itemData":{"DOI":"10.3390/cryst11020149","ISSN":"20734352","abstract":"Hydroxyapatite (HA) is widely used in bone tissue engineering for its bioactivity and biocompatibility, and a growing number of researchers are exploring ways to improve the physical properties and biological functions of hydroxyapatite. Up to now, HA has been used as inorganic building blocks for tissue engineering or as nanofillers to blend with polymers, furthermore, various methods such as ion doping or surface modification have been also reported to prepare functionalized HA. In this review, we try to give a brief and comprehensive introduction about HA-based materials, including ion-doped HA, HA/polymer composites and surface modified HA and their applications in bone tissue engineering. In addition, the prospective of HA is also discussed. This review may be helpful for researchers to get a general understanding about the development of hydroxyapatite based materials.","author":[{"dropping-particle":"","family":"Shi","given":"Hui","non-dropping-particle":"","parse-names":false,"suffix":""},{"dropping-particle":"","family":"Zhou","given":"Ziqi","non-dropping-particle":"","parse-names":false,"suffix":""},{"dropping-particle":"","family":"Li","given":"Wuda","non-dropping-particle":"","parse-names":false,"suffix":""},{"dropping-particle":"","family":"Fan","given":"Yuan","non-dropping-particle":"","parse-names":false,"suffix":""},{"dropping-particle":"","family":"Li","given":"Zhihua","non-dropping-particle":"","parse-names":false,"suffix":""},{"dropping-particle":"","family":"Wei","given":"Junchao","non-dropping-particle":"","parse-names":false,"suffix":""}],"container-title":"Crystals","id":"ITEM-3","issue":"2","issued":{"date-parts":[["2021"]]},"page":"1-18","title":"Hydroxyapatite based materials for bone tissue engineering: A brief and comprehensive introduction","type":"article-journal","volume":"11"},"uris":["http://www.mendeley.com/documents/?uuid=e279a770-2f14-4042-b16f-5e3d6e493a0f","http://www.mendeley.com/documents/?uuid=052c5eba-58b8-4c90-8ae2-f84792033c3d"]}],"mendeley":{"formattedCitation":"[7], [8], [9]","plainTextFormattedCitation":"[7], [8], [9]","previouslyFormattedCitation":"[7], [8], [9]"},"properties":{"noteIndex":0},"schema":"https://github.com/citation-style-language/schema/raw/master/csl-citation.json"}</w:instrText>
      </w:r>
      <w:r w:rsidR="00B64E08">
        <w:rPr>
          <w:rFonts w:ascii="Arial" w:eastAsia="Arial" w:hAnsi="Arial" w:cs="Arial"/>
          <w:sz w:val="20"/>
          <w:szCs w:val="20"/>
        </w:rPr>
        <w:fldChar w:fldCharType="separate"/>
      </w:r>
      <w:r w:rsidR="00BE693D" w:rsidRPr="00BE693D">
        <w:rPr>
          <w:rFonts w:ascii="Arial" w:eastAsia="Arial" w:hAnsi="Arial" w:cs="Arial"/>
          <w:noProof/>
          <w:sz w:val="20"/>
          <w:szCs w:val="20"/>
        </w:rPr>
        <w:t>[7], [8], [9]</w:t>
      </w:r>
      <w:r w:rsidR="00B64E08">
        <w:rPr>
          <w:rFonts w:ascii="Arial" w:eastAsia="Arial" w:hAnsi="Arial" w:cs="Arial"/>
          <w:sz w:val="20"/>
          <w:szCs w:val="20"/>
        </w:rPr>
        <w:fldChar w:fldCharType="end"/>
      </w:r>
      <w:r w:rsidRPr="00FC08A2">
        <w:rPr>
          <w:rFonts w:ascii="Arial" w:eastAsia="Arial" w:hAnsi="Arial" w:cs="Arial"/>
          <w:sz w:val="20"/>
          <w:szCs w:val="20"/>
        </w:rPr>
        <w:t>. However, PCL has low hydrophilic properties, which can directly affect cell adhesion. Whereas HA is a bioactive ceramic with a chemical composition similar to natural bone minerals. HA provides excellent osteoconductivity and bioactivity, supporting cell adhesion and differentiation. However, the brittle mechanical properties of HA pose a challenge, so the combination of PCL and HA offers an optimal solution, namely the flexibility and mechanical strength of PCL along with the bioactivity of HA</w:t>
      </w:r>
      <w:r w:rsidR="00CB699B">
        <w:rPr>
          <w:rFonts w:ascii="Arial" w:eastAsia="Arial" w:hAnsi="Arial" w:cs="Arial"/>
          <w:sz w:val="20"/>
          <w:szCs w:val="20"/>
        </w:rPr>
        <w:t xml:space="preserve"> </w:t>
      </w:r>
      <w:r w:rsidR="00CB699B">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{"citationItems":[{"id":"ITEM-1","itemData":{"DOI":"10.1016/B978-0-323-32889-0.00002-9","ISBN":"9780323353038","abstract":"The explorations in medical sciences have provided innumerable biomaterials that can perform, augment, or replace the natural function of a defective organ by interacting with the biological system. These materials represent a unique class of biomedical functional materials that potentially perform broad spectrum of biological activities in the absence of the original living tissue/organ, thereby replace the problems encountered with the defective tissue/organ and support smooth functioning of the organ and the living organism. The day-to-day increased demand in the medical field for the bioalternatives that could be able to perform the living activities of bodily organs has raised the interest of the researchers to design novel biomaterials. Hence, the study of biomaterials has become crucial for the material scientists and engineers to understand more about biomaterials. In that point of view, the present chapter focuses on the design, development, and biomedical applications of biomaterials.","author":[{"dropping-particle":"","family":"Raghavendra","given":"Gownolla Malegowd","non-dropping-particle":"","parse-names":false,"suffix":""},{"dropping-particle":"","family":"Varaprasad","given":"Kokkarachedu","non-dropping-particle":"","parse-names":false,"suffix":""},{"dropping-particle":"","family":"Jayaramudu","given":"Tippabattini","non-dropping-particle":"","parse-names":false,"suffix":""}],"container-title":"Nanotechnology Applications for Tissue Engineering","id":"ITEM-1","issued":{"date-parts":[["2015"]]},"number-of-pages":"21-44","publisher":"Elsevier Inc.","title":"Biomaterials: Design, Development and Biomedical Applications","type":"book"},"uris":["http://www.mendeley.com/documents/?uuid=fab33729-a145-493a-a21d-391110303789","http://www.mendeley.com/documents/?uuid=2a508a1a-83af-4f88-ab81-31570ce92ae2"]},{"id":"ITEM-2","itemData":{"DOI":"10.1021/acsomega.1c04015","ISSN":"24701343","abstract":"With advances in bone tissue engineering, various materials and methods have been explored to find a better scaffold that can help in improving bone growth and regeneration. Three-dimensional (3D) printing by fused deposition modeling can produce customized scaffolds from biodegradable polyesters such as polycaprolactone (PCL). Although the fabricated PCL scaffolds exhibited a lack of bioactivity and poor cell attachment on their surfaces, herein, using a simple postfabrication modification method with hydroxyapatite (HA) and bioglasses (BGs), we obtained better cell proliferation and attachment. Biological behavior and osteosupportive capacity of the 3D-printed scaffolds including PCL, PCL/HA, PCL/BG, and PCL/HA/BG were evaluated in this study, while human adipose tissue-derived mesenchymal stem cells (hADSCs) were cultured on the scaffolds. The cell morphology, attachment, and proliferation were investigated using scanning electron microscopy (SEM), 3-(4,5-dimethylthiazol-2-yl)-2,5-diphenyl tetrazolium bromide (MTT) assay, and 4′,6-diamidino-2-phenylindole (DAPI) staining. In the next step, the ability of stem cells to differentiate into osteoblasts was evaluated by measuring alkaline phosphatase (ALP) activity, calcium deposition, and bone-related gene and protein expression. In the end, the expression levels of miR-20a, miR-125a, and their target genes were also investigated as positive and negative regulators in osteogenesis pathways. The results showed that the coated scaffolds with bioceramics present a more appropriate surface for cell adhesion and proliferation, as well as efficient potential in inducing osteoconduction and osteointegration compared to PCL alone and control. The PCL/HA/BG scaffold exhibited higher in vitro cell viability and bone formation compared to the other groups, which can be due to the synergistic effect of HA and BG. On the whole, this tricomponent 3D-printing scaffold has a promising prospect for bone tissue engineering applications.","author":[{"dropping-particle":"","family":"Fazeli","given":"Nasrin","non-dropping-particle":"","parse-names":false,"suffix":""},{"dropping-particle":"","family":"Arefian","given":"Ehsan","non-dropping-particle":"","parse-names":false,"suffix":""},{"dropping-particle":"","family":"Irani","given":"Shiva","non-dropping-particle":"","parse-names":false,"suffix":""},{"dropping-particle":"","family":"Ardeshirylajimi","given":"Abdolreza","non-dropping-particle":"","parse-names":false,"suffix":""},{"dropping-particle":"","family":"Seyedjafari","given":"Ehsan","non-dropping-particle":"","parse-names":false,"suffix":""}],"container-title":"ACS Omega","id":"ITEM-2","issue":"51","issued":{"date-parts":[["2021"]]},"page":"35284-35296","title":"3D-Printed PCL Scaffolds Coated with Nanobioceramics Enhance Osteogenic Differentiation of Stem Cells","type":"article-journal","volume":"6"},"uris":["http://www.mendeley.com/documents/?uuid=6a28485c-a767-44c9-81e7-f811264d71cd","http://www.mendeley.com/documents/?uuid=75d2aa90-0e77-438f-affd-78052b07fa92"]},{"id":"ITEM-3","itemData":{"DOI":"10.3390/ma10101123","ISSN":"19961944","abstract":"We produced poro-us poly(ε-caprolactone) (PCL)/hydroxyapatite (HA) composite scaffolds for bone regeneration, which can have a tailored macro/micro-porous structure with high mechanical properties and excellent in vitro bioactivity using non-solvent-induced phase separation (NIPS)-based 3D plotting. This innovative 3D plotting technique can create highly microporous PCL/HA composite filaments by inducing unique phase separation in PCL/HA solutions through the non-solvent-solvent exchange phenomenon. The PCL/HA composite scaffolds produced with various HA contents (0 wt %, 10 wt %, 15 wt %, and 20 wt %) showed that PCL/HA composite struts with highly microporous structures were well constructed in a controlled periodic pattern. Similar levels of overall porosity (~78 vol %) and pore size (~248 μm) were observed for all the PCL/HA composite scaffolds, which would be highly beneficial to bone tissue regeneration. Mechanical properties, such as ultimate tensile strength and compressive yield strength, increased with an increase in HA content. In addition, incorporating bioactive HA particles into the PCL polymer led to remarkable enhancements in in vitro apatite-forming ability.","author":[{"dropping-particle":"","family":"Kim","given":"Jong Woo","non-dropping-particle":"","parse-names":false,"suffix":""},{"dropping-particle":"","family":"Shin","given":"Kwan Ha","non-dropping-particle":"","parse-names":false,"suffix":""},{"dropping-particle":"","family":"Koh","given":"Young Hag","non-dropping-particle":"","parse-names":false,"suffix":""},{"dropping-particle":"","family":"Hah","given":"Min Jin","non-dropping-particle":"","parse-names":false,"suffix":""},{"dropping-particle":"","family":"Moon","given":"Jiyoung","non-dropping-particle":"","parse-names":false,"suffix":""},{"dropping-particle":"","family":"Kim","given":"Hyoun Ee","non-dropping-particle":"","parse-names":false,"suffix":""}],"container-title":"Materials","id":"ITEM-3","issue":"10","issued":{"date-parts":[["2017"]]},"title":"Production of poly(ε-caprolactone)/hydroxyapatite composite scaffolds with a tailored macro/micro-porous structure, high mechanical properties, and excellent bioactivity","type":"article-journal","volume":"10"},"uris":["http://www.mendeley.com/documents/?uuid=ee861dc9-f1e7-4f78-8230-889257782ad9","http://www.mendeley.com/documents/?uuid=5cf6cd85-4b54-431b-a1bd-d7a6bb2db57a","http://www.mendeley.com/documents/?uuid=2bfa269b-d84b-4d64-b749-4df7e5938121"]}],"mendeley":{"formattedCitation":"[2], [5], [10]","plainTextFormattedCitation":"[2], [5], [10]","previouslyFormattedCitation":"[2], [5], [10]"},"properties":{"noteIndex":0},"schema":"https://github.com/citation-style-language/schema/raw/master/csl-citation.json"}</w:instrText>
      </w:r>
      <w:r w:rsidR="00CB699B">
        <w:rPr>
          <w:rFonts w:ascii="Arial" w:eastAsia="Arial" w:hAnsi="Arial" w:cs="Arial"/>
          <w:sz w:val="20"/>
          <w:szCs w:val="20"/>
        </w:rPr>
        <w:fldChar w:fldCharType="separate"/>
      </w:r>
      <w:r w:rsidR="00CB699B" w:rsidRPr="00CB699B">
        <w:rPr>
          <w:rFonts w:ascii="Arial" w:eastAsia="Arial" w:hAnsi="Arial" w:cs="Arial"/>
          <w:noProof/>
          <w:sz w:val="20"/>
          <w:szCs w:val="20"/>
        </w:rPr>
        <w:t>[2], [5], [10]</w:t>
      </w:r>
      <w:r w:rsidR="00CB699B">
        <w:rPr>
          <w:rFonts w:ascii="Arial" w:eastAsia="Arial" w:hAnsi="Arial" w:cs="Arial"/>
          <w:sz w:val="20"/>
          <w:szCs w:val="20"/>
        </w:rPr>
        <w:fldChar w:fldCharType="end"/>
      </w:r>
      <w:r w:rsidRPr="00FC08A2">
        <w:rPr>
          <w:rFonts w:ascii="Arial" w:eastAsia="Arial" w:hAnsi="Arial" w:cs="Arial"/>
          <w:sz w:val="20"/>
          <w:szCs w:val="20"/>
        </w:rPr>
        <w:t>.</w:t>
      </w:r>
    </w:p>
    <w:p w14:paraId="47D1E3F6" w14:textId="07DD0ED2"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Fabrication techniques play a crucial role in determining the morphology, porosity, and mechanical performance of scaffolds. One of the most popular techniques is solvent casting particulate leaching (SCPL), where porogens such as salt are used to create a porous structure. The advantages of SCPL include a simple process, good control over pore size and porosity, and the ability to produce interconnected pores essential for nutrient transport and cell proliferation</w:t>
      </w:r>
      <w:r w:rsidR="002A1170">
        <w:rPr>
          <w:rFonts w:ascii="Arial" w:eastAsia="Arial" w:hAnsi="Arial" w:cs="Arial"/>
          <w:sz w:val="20"/>
          <w:szCs w:val="20"/>
        </w:rPr>
        <w:t xml:space="preserve"> </w:t>
      </w:r>
      <w:r w:rsidR="002D77B4">
        <w:rPr>
          <w:rFonts w:ascii="Arial" w:eastAsia="Arial" w:hAnsi="Arial" w:cs="Arial"/>
          <w:sz w:val="20"/>
          <w:szCs w:val="20"/>
        </w:rPr>
        <w:fldChar w:fldCharType="begin" w:fldLock="1"/>
      </w:r>
      <w:r w:rsidR="00BE693D">
        <w:rPr>
          <w:rFonts w:ascii="Arial" w:eastAsia="Arial" w:hAnsi="Arial" w:cs="Arial"/>
          <w:sz w:val="20"/>
          <w:szCs w:val="20"/>
        </w:rPr>
        <w:instrText>ADDIN CSL_CITATION {"citationItems":[{"id":"ITEM-1","itemData":{"DOI":"10.1016/j.ibiod.2023.105599","ISSN":"09648305","abstract":"Successful bone tissue engineering strategies require 3D scaffolds with controllable properties tailored to the intended clinical applications. The scaffold as a temporary substrate for cells to live and grow, must be degraded over time and replaced with the host tissue gradually. However, despite remarkable advances in bone tissue engineering, adjusting the rate of scaffold degradation with the ability of host tissue to regenerate, is still one of the main challenges. To date, most studies on bone tissue engineering have addressed the role of scaffold properties in cell differentiation and bone regeneration, and scaffold degradation has received less attention. For this reason, an understanding of bone tissue engineering materials and their degradation process is valuable if we are to exploit their potential for the regeneration of bone defects. In this review, we specifically have focused on the bone scaffold materials. Bone scaffold materials can be degraded through hydrolytic, oxidative, enzymatic, stimuli-assisted, and cell-mediated reactions. In various studies, chemical composition, structure, surface modification and fabrication method of scaffolds have been introduced as influencing factors in the degradation of scaffolds. Herein, not only the degradation mechanisms of materials used in bone scaffolds has been discussed, but also the approaches used by researchers to control the rate of degradation are pointed out.","author":[{"dropping-particle":"","family":"Tajvar","given":"Samira","non-dropping-particle":"","parse-names":false,"suffix":""},{"dropping-particle":"","family":"Hadjizadeh","given":"Afra","non-dropping-particle":"","parse-names":false,"suffix":""},{"dropping-particle":"","family":"Samandari","given":"Saeed Saber","non-dropping-particle":"","parse-names":false,"suffix":""}],"container-title":"International Biodeterioration and Biodegradation","id":"ITEM-1","issue":"February","issued":{"date-parts":[["2023"]]},"page":"105599","publisher":"Elsevier Ltd","title":"Scaffold degradation in bone tissue engineering: An overview","type":"article-journal","volume":"180"},"uris":["http://www.mendeley.com/documents/?uuid=59986cb0-a72d-4284-93d0-e2b2db0e0c8b","http://www.mendeley.com/documents/?uuid=a169e784-7c7a-4daa-ba06-faf9fb808a61"]},{"id":"ITEM-2","itemData":{"DOI":"10.1016/j.irbm.2020.05.007","ISSN":"18760988","abstract":"Scaffolds for bone tissue applications have been an outstanding alternative to repair and regenerate bone tissue defects caused by traumas or illness. There are many methods available to fabricate porous scaffold such as solvent casting, gas bubble, phase separation, electrospinning, particle-leaching, among others. The particle-leaching technique has shown advantages in bone tissue regeneration applications, the main benefit of this technique is related to the porogen particle size and the porogen content in the manufacture of scaffolds. Tricalcium phosphate is one calcium phosphate that presented appropriated characteristic to be used for bone tissue engineering due to the chemical properties similar to the human bones. Scaffolds of tricalcium phosphate β phase were made using sugar particles. The porogen was varied in amounts of 50, 60 and 70 wt.% of two commercial sugars with the remainder of the composition made up of tricalcium phosphate powders. The pore sizes in all the scaffolds were in the range of 90 to 600 μm with an irregular pore morphology and the porosity was in the range of 63 to 77%.","author":[{"dropping-particle":"","family":"Ruiz-Aguilar","given":"C.","non-dropping-particle":"","parse-names":false,"suffix":""},{"dropping-particle":"","family":"Olivares-Pinto","given":"U.","non-dropping-particle":"","parse-names":false,"suffix":""},{"dropping-particle":"","family":"Drew","given":"R. A.L.","non-dropping-particle":"","parse-names":false,"suffix":""},{"dropping-particle":"","family":"Aguilar-Reyes","given":"E. A.","non-dropping-particle":"","parse-names":false,"suffix":""},{"dropping-particle":"","family":"Alfonso","given":"I.","non-dropping-particle":"","parse-names":false,"suffix":""}],"container-title":"Irbm","id":"ITEM-2","issue":"5","issued":{"date-parts":[["2021"]]},"page":"302-312","publisher":"Elsevier Masson SAS","title":"Porogen Effect on Structural and Physical Properties of β-TCP Scaffolds for Bone Tissue Regeneration","type":"article-journal","volume":"42"},"uris":["http://www.mendeley.com/documents/?uuid=71ab97c0-2490-4eb2-99aa-dc4c1178ef47","http://www.mendeley.com/documents/?uuid=e2248151-7afb-477a-86d6-11c1528b2fa1"]},{"id":"ITEM-3","itemData":{"DOI":"10.1016/j.jobcr.2019.10.003","ISBN":"9335902322","ISSN":"22124268","abstract":"Bone tissue engineering using polymer based scaffolds have been studied a lot in last decades. Considering the qualities of all the polymers desired to be used as scaffolds, Polycaprolactone (PCL) polyester apart from being biocompatible and biodegradable qualifies to an appreciable level due its easy availability, cost efficacy and suitability for modification. Its adjustable physio-chemical state, biological properties and mechanical strength renders it to withstand physical, chemical and mechanical, insults without significant loss of its properties. This review aims to critically analyse the efficacy of PCL as a biomaterial for bone scaffolds.","author":[{"dropping-particle":"","family":"Dwivedi","given":"Ruby","non-dropping-particle":"","parse-names":false,"suffix":""},{"dropping-particle":"","family":"Kumar","given":"Sumit","non-dropping-particle":"","parse-names":false,"suffix":""},{"dropping-particle":"","family":"Pandey","given":"Rahul","non-dropping-particle":"","parse-names":false,"suffix":""},{"dropping-particle":"","family":"Mahajan","given":"Aman","non-dropping-particle":"","parse-names":false,"suffix":""},{"dropping-particle":"","family":"Nandana","given":"Deepti","non-dropping-particle":"","parse-names":false,"suffix":""},{"dropping-particle":"","family":"Katti","given":"Dhirendra S.","non-dropping-particle":"","parse-names":false,"suffix":""},{"dropping-particle":"","family":"Mehrotra","given":"Divya","non-dropping-particle":"","parse-names":false,"suffix":""}],"container-title":"Journal of Oral Biology and Craniofacial Research","id":"ITEM-3","issue":"1","issued":{"date-parts":[["2020"]]},"number-of-pages":"381-388","publisher":"Craniofacial Research Foundation","title":"Polycaprolactone as biomaterial for bone scaffolds: Review of literature","type":"book","volume":"10"},"uris":["http://www.mendeley.com/documents/?uuid=89050cc1-a4d3-4b12-abdf-97c86c0739a0","http://www.mendeley.com/documents/?uuid=9122a5eb-66cd-4f7e-9d6c-880a0a07e7cb"]}],"mendeley":{"formattedCitation":"[11], [12], [13]","plainTextFormattedCitation":"[11], [12], [13]","previouslyFormattedCitation":"[11], [12], [13]"},"properties":{"noteIndex":0},"schema":"https://github.com/citation-style-language/schema/raw/master/csl-citation.json"}</w:instrText>
      </w:r>
      <w:r w:rsidR="002D77B4">
        <w:rPr>
          <w:rFonts w:ascii="Arial" w:eastAsia="Arial" w:hAnsi="Arial" w:cs="Arial"/>
          <w:sz w:val="20"/>
          <w:szCs w:val="20"/>
        </w:rPr>
        <w:fldChar w:fldCharType="separate"/>
      </w:r>
      <w:r w:rsidR="00BE693D" w:rsidRPr="00BE693D">
        <w:rPr>
          <w:rFonts w:ascii="Arial" w:eastAsia="Arial" w:hAnsi="Arial" w:cs="Arial"/>
          <w:noProof/>
          <w:sz w:val="20"/>
          <w:szCs w:val="20"/>
        </w:rPr>
        <w:t>[11], [12], [13]</w:t>
      </w:r>
      <w:r w:rsidR="002D77B4">
        <w:rPr>
          <w:rFonts w:ascii="Arial" w:eastAsia="Arial" w:hAnsi="Arial" w:cs="Arial"/>
          <w:sz w:val="20"/>
          <w:szCs w:val="20"/>
        </w:rPr>
        <w:fldChar w:fldCharType="end"/>
      </w:r>
      <w:r w:rsidRPr="00FC08A2">
        <w:rPr>
          <w:rFonts w:ascii="Arial" w:eastAsia="Arial" w:hAnsi="Arial" w:cs="Arial"/>
          <w:sz w:val="20"/>
          <w:szCs w:val="20"/>
        </w:rPr>
        <w:t>.</w:t>
      </w:r>
    </w:p>
    <w:p w14:paraId="5A234189" w14:textId="1E0F355F"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Previous studies have shown that the porogen-to-composite material ratio significantly affects the structure and mechanical properties of scaffolds. The higher the porogen ratio, the greater the porosity, but the mechanical strength tends to decrease</w:t>
      </w:r>
      <w:r w:rsidR="00DA541D">
        <w:rPr>
          <w:rFonts w:ascii="Arial" w:eastAsia="Arial" w:hAnsi="Arial" w:cs="Arial"/>
          <w:sz w:val="20"/>
          <w:szCs w:val="20"/>
        </w:rPr>
        <w:t xml:space="preserve"> </w:t>
      </w:r>
      <w:r w:rsidR="002463F7">
        <w:rPr>
          <w:rFonts w:ascii="Arial" w:eastAsia="Arial" w:hAnsi="Arial" w:cs="Arial"/>
          <w:sz w:val="20"/>
          <w:szCs w:val="20"/>
        </w:rPr>
        <w:fldChar w:fldCharType="begin" w:fldLock="1"/>
      </w:r>
      <w:r w:rsidR="00BE693D">
        <w:rPr>
          <w:rFonts w:ascii="Arial" w:eastAsia="Arial" w:hAnsi="Arial" w:cs="Arial"/>
          <w:sz w:val="20"/>
          <w:szCs w:val="20"/>
        </w:rPr>
        <w:instrText>ADDIN CSL_CITATION {"citationItems":[{"id":"ITEM-1","itemData":{"DOI":"10.1016/j.jmbbm.2021.104363","ISSN":"18780180","PMID":"33550144","abstract":"Modification of the setting process of brushite cements by varying the concentration of ions that alter calcium phosphate crystallization kinetics, is known to enable control on the monetite conversion extent and the accompanying microporosity. This is useful because monetite serves as a suitable matrix in macroporous scaffolds due to its higher phase stability and finer crystal morphology compared to its hydrous counterpart brushite. In this study the synergistic effect of NaCl and citric acid on the microstructural evolution of brushite cement was demonstrated and microporosity of macroporous monetite-rich cement blocks was minimized by a variable NaCl porogen size distribution approach. Initially, maximum packing ratio of various combinations of NaCl size groups in PEG were determined by their rheological analysis in a range between 57% and 69%. Statistical analysis revealed a positive correlation between the amounts of NaCl particles under 38μm and 212μm and the maximum packing ratio. Further broadening the size distributions of NaCl porogens with fine cement precursors was effective in increasing the solids packing ratio of cement blocks more than the maximum packing ratio for the porogens. This improvement in packing was accompanied by a reduction in microporosity despite the increase in micropore volume with ion induced monetite formation. The detrimental effect of the microporosity introduced to the structure during monetite formation was balanced for some size distributions and not so much for others, thereby resulting in a wide range of porosities and mechanical properties. Thus, the exponential dependence of mechanical properties on porosity and the mechanical properties of monetite-rich macroporous blocks at the theoretical zero-porosity were determined according to Rice's model. Zero-porosity extrapolations were much higher than those predicted for brushite cement, contrary to the common assumption that brushite is mechanically stronger than monetite.","author":[{"dropping-particle":"","family":"Şahin","given":"Erdem","non-dropping-particle":"","parse-names":false,"suffix":""},{"dropping-particle":"","family":"Çiftçioğlu","given":"Muhsin","non-dropping-particle":"","parse-names":false,"suffix":""}],"container-title":"Journal of the Mechanical Behavior of Biomedical Materials","id":"ITEM-1","issue":"October 2020","issued":{"date-parts":[["2021"]]},"title":"Compositional, microstructural and mechanical effects of NaCl porogens in brushite cement scaffolds","type":"article-journal","volume":"116"},"uris":["http://www.mendeley.com/documents/?uuid=5a3d7e3f-63d9-41f6-8d56-5efa90d03692","http://www.mendeley.com/documents/?uuid=e9d4966b-72db-4815-a44a-396dba6dbfb5"]},{"id":"ITEM-2","itemData":{"DOI":"10.3390/ijms21093401","ISSN":"14220067","PMID":"32403422","abstract":"In tissue engineering, biocompatible scaffolds are used as 3D cell niches to provide a similar environment to that of native tissue for seeded cells to regenerate the target tissue. When engineering bone tissue, high mechanical strength and calcium phosphate composition are essential factors to consider. In this study, we fabricated biocompatible composite scaffolds composed of synthetic polymers (polycaprolactone (PCL) and poly (vinyl alcohol) (PVA)), natural polymers (gelatin and collagen) and bioceramic (hydroxyapatite; HA) for bone tissue engineering. The synthetic polymers were used to enhance the mechanical properties of the composite scaffolds while the natural protein-based polymers were used to enhance various cellular activities, such as cell adhesion and proliferation. Meanwhile, the bioceramic was introduced to promote osteogenic differentiation. Composite scaffolds were evaluated for their physical characteristics, such as mechanical, swelling and protein absorbing properties as well as biological properties (cell proliferation, alkaline phosphatase (ALP) activities and calcium deposition) with human osteoblast-like cells (MG63). Consequently, incorporation of hydroxyapatite into the gelatin/PVA (C-GPH) scaffold showed 5-fold and 1.5-fold increase in calcium deposition and ALP activities, respectively compared to gelatin/PVA scaffold (C-GP). Moreover, compressive modulus also increased 1.8-fold. Integration of PCL core into gelatin/PVA/hydroxyapatite scaffold (C-PGPH) further amplified the compressive modulus 1.5-fold. In conclusion, the scaffold that is reinforced with HA particles and integrated with PCL core of the struts showed significant potential in field of bone tissue engineering.","author":[{"dropping-particle":"","family":"Kim","given":"Haeri","non-dropping-particle":"","parse-names":false,"suffix":""},{"dropping-particle":"","family":"Hwangbo","given":"Hanjun","non-dropping-particle":"","parse-names":false,"suffix":""},{"dropping-particle":"","family":"Koo","given":"Young Won","non-dropping-particle":"","parse-names":false,"suffix":""},{"dropping-particle":"","family":"Kim","given":"Geunhyung","non-dropping-particle":"","parse-names":false,"suffix":""}],"container-title":"International Journal of Molecular Sciences","id":"ITEM-2","issue":"9","issued":{"date-parts":[["2020"]]},"page":"1-15","title":"Fabrication of mechanically reinforced gelatin/hydroxyapatite bio-composite scaffolds by core/shell nozzle printing for bone tissue engineering","type":"article-journal","volume":"21"},"uris":["http://www.mendeley.com/documents/?uuid=c64b4ab5-592d-4e84-bb52-06116f5e4d26","http://www.mendeley.com/documents/?uuid=d6c8895c-cc4c-4cbf-954b-3607bd504339"]},{"id":"ITEM-3","itemData":{"DOI":"10.1002/jssc.201900876","ISSN":"16159314","PMID":"31589375","abstract":"Porogens are key components required for the preparation of porous polymer monoliths for application in separation science. Porogens determine the stability, selectivity, and permeability of polymer monoliths. This review summarizes the role of porogens in the preparation of porous polymer monoliths with a focus on clear understanding of effect of porogens on morphological properties, porosity, surface area, mechanical stability, and permeability of monoliths, particularly targeting the field of separation science. This review also includes the use of different types of porogens with the focus on various approaches used to set criteria for their systematic selection, including porogen-free techniques recently used for synthesis of porous monoliths. It discusses the current state-of-the-art applications of porogens in column preparation as well as where the future developments in this field may be directed.","author":[{"dropping-particle":"","family":"Mansour","given":"Fotouh R.","non-dropping-particle":"","parse-names":false,"suffix":""},{"dropping-particle":"","family":"Waheed","given":"Sidra","non-dropping-particle":"","parse-names":false,"suffix":""},{"dropping-particle":"","family":"Paull","given":"Brett","non-dropping-particle":"","parse-names":false,"suffix":""},{"dropping-particle":"","family":"Maya","given":"Fernando","non-dropping-particle":"","parse-names":false,"suffix":""}],"container-title":"Journal of Separation Science","id":"ITEM-3","issue":"1","issued":{"date-parts":[["2020"]]},"page":"56-69","title":"Porogens and porogen selection in the preparation of porous polymer monoliths","type":"article-journal","volume":"43"},"uris":["http://www.mendeley.com/documents/?uuid=50b49c63-7b9d-4059-837e-eb8ad750317f","http://www.mendeley.com/documents/?uuid=022d3aa8-9c32-40e3-9e7d-fe4e319b482c"]}],"mendeley":{"formattedCitation":"[14], [15], [16]","plainTextFormattedCitation":"[14], [15], [16]","previouslyFormattedCitation":"[14], [15], [16]"},"properties":{"noteIndex":0},"schema":"https://github.com/citation-style-language/schema/raw/master/csl-citation.json"}</w:instrText>
      </w:r>
      <w:r w:rsidR="002463F7">
        <w:rPr>
          <w:rFonts w:ascii="Arial" w:eastAsia="Arial" w:hAnsi="Arial" w:cs="Arial"/>
          <w:sz w:val="20"/>
          <w:szCs w:val="20"/>
        </w:rPr>
        <w:fldChar w:fldCharType="separate"/>
      </w:r>
      <w:r w:rsidR="00BE693D" w:rsidRPr="00BE693D">
        <w:rPr>
          <w:rFonts w:ascii="Arial" w:eastAsia="Arial" w:hAnsi="Arial" w:cs="Arial"/>
          <w:noProof/>
          <w:sz w:val="20"/>
          <w:szCs w:val="20"/>
        </w:rPr>
        <w:t>[14], [15], [16]</w:t>
      </w:r>
      <w:r w:rsidR="002463F7">
        <w:rPr>
          <w:rFonts w:ascii="Arial" w:eastAsia="Arial" w:hAnsi="Arial" w:cs="Arial"/>
          <w:sz w:val="20"/>
          <w:szCs w:val="20"/>
        </w:rPr>
        <w:fldChar w:fldCharType="end"/>
      </w:r>
      <w:r w:rsidRPr="00FC08A2">
        <w:rPr>
          <w:rFonts w:ascii="Arial" w:eastAsia="Arial" w:hAnsi="Arial" w:cs="Arial"/>
          <w:sz w:val="20"/>
          <w:szCs w:val="20"/>
        </w:rPr>
        <w:t>.</w:t>
      </w:r>
      <w:r w:rsidR="0036476B">
        <w:rPr>
          <w:rFonts w:ascii="Arial" w:eastAsia="Arial" w:hAnsi="Arial" w:cs="Arial"/>
          <w:sz w:val="20"/>
          <w:szCs w:val="20"/>
        </w:rPr>
        <w:t xml:space="preserve"> </w:t>
      </w:r>
      <w:r w:rsidRPr="00FC08A2">
        <w:rPr>
          <w:rFonts w:ascii="Arial" w:eastAsia="Arial" w:hAnsi="Arial" w:cs="Arial"/>
          <w:sz w:val="20"/>
          <w:szCs w:val="20"/>
        </w:rPr>
        <w:t>Therefore, optimizing the porogen ratio becomes a critical aspect in the design of scaffolds that meet clinical needs.</w:t>
      </w:r>
    </w:p>
    <w:p w14:paraId="15961790" w14:textId="061530C3" w:rsidR="00FC08A2" w:rsidRPr="00FC08A2" w:rsidRDefault="00FC08A2" w:rsidP="00EF37BE">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 xml:space="preserve">To enhance the interaction between the PCL matrix and HA particles, the use of silane coupling agents such as 3-aminopropyltriethoxysilane (APTES) has become </w:t>
      </w:r>
      <w:r w:rsidRPr="00FC08A2">
        <w:rPr>
          <w:rFonts w:ascii="Arial" w:eastAsia="Arial" w:hAnsi="Arial" w:cs="Arial"/>
          <w:sz w:val="20"/>
          <w:szCs w:val="20"/>
        </w:rPr>
        <w:t>the subject of research. APTES can enhance the chemical bonds between organic and inorganic components through the formation of siloxane bonds</w:t>
      </w:r>
      <w:r w:rsidR="00454AD9">
        <w:rPr>
          <w:rFonts w:ascii="Arial" w:eastAsia="Arial" w:hAnsi="Arial" w:cs="Arial"/>
          <w:sz w:val="20"/>
          <w:szCs w:val="20"/>
        </w:rPr>
        <w:t xml:space="preserve"> </w:t>
      </w:r>
      <w:r w:rsidR="008124A0">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{"citationItems":[{"id":"ITEM-1","itemData":{"DOI":"10.3390/ijms21093401","ISSN":"14220067","PMID":"32403422","abstract":"In tissue engineering, biocompatible scaffolds are used as 3D cell niches to provide a similar environment to that of native tissue for seeded cells to regenerate the target tissue. When engineering bone tissue, high mechanical strength and calcium phosphate composition are essential factors to consider. In this study, we fabricated biocompatible composite scaffolds composed of synthetic polymers (polycaprolactone (PCL) and poly (vinyl alcohol) (PVA)), natural polymers (gelatin and collagen) and bioceramic (hydroxyapatite; HA) for bone tissue engineering. The synthetic polymers were used to enhance the mechanical properties of the composite scaffolds while the natural protein-based polymers were used to enhance various cellular activities, such as cell adhesion and proliferation. Meanwhile, the bioceramic was introduced to promote osteogenic differentiation. Composite scaffolds were evaluated for their physical characteristics, such as mechanical, swelling and protein absorbing properties as well as biological properties (cell proliferation, alkaline phosphatase (ALP) activities and calcium deposition) with human osteoblast-like cells (MG63). Consequently, incorporation of hydroxyapatite into the gelatin/PVA (C-GPH) scaffold showed 5-fold and 1.5-fold increase in calcium deposition and ALP activities, respectively compared to gelatin/PVA scaffold (C-GP). Moreover, compressive modulus also increased 1.8-fold. Integration of PCL core into gelatin/PVA/hydroxyapatite scaffold (C-PGPH) further amplified the compressive modulus 1.5-fold. In conclusion, the scaffold that is reinforced with HA particles and integrated with PCL core of the struts showed significant potential in field of bone tissue engineering.","author":[{"dropping-particle":"","family":"Kim","given":"Haeri","non-dropping-particle":"","parse-names":false,"suffix":""},{"dropping-particle":"","family":"Hwangbo","given":"Hanjun","non-dropping-particle":"","parse-names":false,"suffix":""},{"dropping-particle":"","family":"Koo","given":"Young Won","non-dropping-particle":"","parse-names":false,"suffix":""},{"dropping-particle":"","family":"Kim","given":"Geunhyung","non-dropping-particle":"","parse-names":false,"suffix":""}],"container-title":"International Journal of Molecular Sciences","id":"ITEM-1","issue":"9","issued":{"date-parts":[["2020"]]},"page":"1-15","title":"Fabrication of mechanically reinforced gelatin/hydroxyapatite bio-composite scaffolds by core/shell nozzle printing for bone tissue engineering","type":"article-journal","volume":"21"},"uris":["http://www.mendeley.com/documents/?uuid=d6c8895c-cc4c-4cbf-954b-3607bd504339","http://www.mendeley.com/documents/?uuid=c64b4ab5-592d-4e84-bb52-06116f5e4d26"]}],"mendeley":{"formattedCitation":"[15]","plainTextFormattedCitation":"[15]","previouslyFormattedCitation":"[15]"},"properties":{"noteIndex":0},"schema":"https://github.com/citation-style-language/schema/raw/master/csl-citation.json"}</w:instrText>
      </w:r>
      <w:r w:rsidR="008124A0">
        <w:rPr>
          <w:rFonts w:ascii="Arial" w:eastAsia="Arial" w:hAnsi="Arial" w:cs="Arial"/>
          <w:sz w:val="20"/>
          <w:szCs w:val="20"/>
        </w:rPr>
        <w:fldChar w:fldCharType="separate"/>
      </w:r>
      <w:r w:rsidR="008124A0" w:rsidRPr="008124A0">
        <w:rPr>
          <w:rFonts w:ascii="Arial" w:eastAsia="Arial" w:hAnsi="Arial" w:cs="Arial"/>
          <w:noProof/>
          <w:sz w:val="20"/>
          <w:szCs w:val="20"/>
        </w:rPr>
        <w:t>[15]</w:t>
      </w:r>
      <w:r w:rsidR="008124A0">
        <w:rPr>
          <w:rFonts w:ascii="Arial" w:eastAsia="Arial" w:hAnsi="Arial" w:cs="Arial"/>
          <w:sz w:val="20"/>
          <w:szCs w:val="20"/>
        </w:rPr>
        <w:fldChar w:fldCharType="end"/>
      </w:r>
      <w:r w:rsidRPr="00FC08A2">
        <w:rPr>
          <w:rFonts w:ascii="Arial" w:eastAsia="Arial" w:hAnsi="Arial" w:cs="Arial"/>
          <w:sz w:val="20"/>
          <w:szCs w:val="20"/>
        </w:rPr>
        <w:t>.</w:t>
      </w:r>
      <w:r w:rsidR="008124A0">
        <w:rPr>
          <w:rFonts w:ascii="Arial" w:eastAsia="Arial" w:hAnsi="Arial" w:cs="Arial"/>
          <w:sz w:val="20"/>
          <w:szCs w:val="20"/>
        </w:rPr>
        <w:t xml:space="preserve"> </w:t>
      </w:r>
      <w:r w:rsidRPr="00FC08A2">
        <w:rPr>
          <w:rFonts w:ascii="Arial" w:eastAsia="Arial" w:hAnsi="Arial" w:cs="Arial"/>
          <w:sz w:val="20"/>
          <w:szCs w:val="20"/>
        </w:rPr>
        <w:t>Studies show that the addition of APTES can enhance the tensile and compressive strength of scaffolds, strengthen the material interface, thereby reducing the degradation rate, and supporting long-term morphological stability</w:t>
      </w:r>
      <w:r w:rsidR="005B21D3">
        <w:rPr>
          <w:rFonts w:ascii="Arial" w:eastAsia="Arial" w:hAnsi="Arial" w:cs="Arial"/>
          <w:sz w:val="20"/>
          <w:szCs w:val="20"/>
        </w:rPr>
        <w:t xml:space="preserve"> </w:t>
      </w:r>
      <w:r w:rsidR="005B21D3">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{"citationItems":[{"id":"ITEM-1","itemData":{"DOI":"10.1007/s10856-022-06653-8","ISBN":"1085602206653","ISSN":"15734838","PMID":"35267105","abstract":"Controlled pore size and desirable internal architecture of bone scaffolds play a significant role in bone regeneration efficiency. In addition to choosing appropriate materials, the manufacturing method is another significant factor in fabricating the ideal scaffold. In this study, scaffolds were designed and fabricated by the fused filament fabrication (FFF) technique. Polycaprolactone (PCL) and composites films with various percentages of hydroxyapatite (HA) (up to 20%wt) were used to fabricate filaments. The influence of (HA) addition on the mechanical properties of filaments and scaffolds was investigated. in vitro biological evaluation was examined as well as the apatite formation in simulated body fluid (SBF). The addition of HA particles increased the compressive strength and Young’s modulus of filaments and consequently the scaffolds. Compared to PCL, Young’s modulus of PCL/HA20% filament and three-dimensional (3D) printed scaffold has increased by 30% and 50%, respectively. Also, Young’s modulus for all scaffolds was in the range of 30–70 MPa, which is appropriate to use in spongy bone. Besides, the MTT assay was utilized to evaluate cell viability on the scaffolds. All the samples had qualified cytocompatibility, and it would be anticipated that addition of HA particles raise the biocompatibility in vivo. Alkaline phosphatase (ALP) evaluation shows that the addition of HA caused higher ALP activity in the PCL/HA scaffolds than PCL. Furthermore, calcium deposition in the PCL/HA specimens is higher than control. In conclusion, the addition of HA particles into the PCL matrix, as well as utilizing an inexpensive commercial FFF device, lead to the fabrication of scaffolds with proper mechanical and biological properties for bone tissue engineering applications. [Figure not available: see fulltext.].","author":[{"dropping-particle":"","family":"Rezania","given":"Naghme","non-dropping-particle":"","parse-names":false,"suffix":""},{"dropping-particle":"","family":"Asadi-Eydivand","given":"Mitra","non-dropping-particle":"","parse-names":false,"suffix":""},{"dropping-particle":"","family":"Abolfathi","given":"Nabiollah","non-dropping-particle":"","parse-names":false,"suffix":""},{"dropping-particle":"","family":"Bonakdar","given":"Shahin","non-dropping-particle":"","parse-names":false,"suffix":""},{"dropping-particle":"","family":"Mehrjoo","given":"Morteza","non-dropping-particle":"","parse-names":false,"suffix":""},{"dropping-particle":"","family":"Solati-Hashjin","given":"Mehran","non-dropping-particle":"","parse-names":false,"suffix":""}],"container-title":"Journal of Materials Science: Materials in Medicine","id":"ITEM-1","issue":"3","issued":{"date-parts":[["2022"]]},"publisher":"Springer US","title":"Three-dimensional printing of polycaprolactone/hydroxyapatite bone tissue engineering scaffolds mechanical properties and biological behavior","type":"article-journal","volume":"33"},"uris":["http://www.mendeley.com/documents/?uuid=f23b5a34-8bb1-401c-b585-97e88cf3ab46","http://www.mendeley.com/documents/?uuid=787d01da-3ef4-4363-a789-8b4a570390d5"]}],"mendeley":{"formattedCitation":"[17]","plainTextFormattedCitation":"[17]","previouslyFormattedCitation":"[17]"},"properties":{"noteIndex":0},"schema":"https://github.com/citation-style-language/schema/raw/master/csl-citation.json"}</w:instrText>
      </w:r>
      <w:r w:rsidR="005B21D3">
        <w:rPr>
          <w:rFonts w:ascii="Arial" w:eastAsia="Arial" w:hAnsi="Arial" w:cs="Arial"/>
          <w:sz w:val="20"/>
          <w:szCs w:val="20"/>
        </w:rPr>
        <w:fldChar w:fldCharType="separate"/>
      </w:r>
      <w:r w:rsidR="005B21D3" w:rsidRPr="005B21D3">
        <w:rPr>
          <w:rFonts w:ascii="Arial" w:eastAsia="Arial" w:hAnsi="Arial" w:cs="Arial"/>
          <w:noProof/>
          <w:sz w:val="20"/>
          <w:szCs w:val="20"/>
        </w:rPr>
        <w:t>[17]</w:t>
      </w:r>
      <w:r w:rsidR="005B21D3">
        <w:rPr>
          <w:rFonts w:ascii="Arial" w:eastAsia="Arial" w:hAnsi="Arial" w:cs="Arial"/>
          <w:sz w:val="20"/>
          <w:szCs w:val="20"/>
        </w:rPr>
        <w:fldChar w:fldCharType="end"/>
      </w:r>
      <w:r w:rsidRPr="00FC08A2">
        <w:rPr>
          <w:rFonts w:ascii="Arial" w:eastAsia="Arial" w:hAnsi="Arial" w:cs="Arial"/>
          <w:sz w:val="20"/>
          <w:szCs w:val="20"/>
        </w:rPr>
        <w:t>.</w:t>
      </w:r>
      <w:r w:rsidR="005B21D3">
        <w:rPr>
          <w:rFonts w:ascii="Arial" w:eastAsia="Arial" w:hAnsi="Arial" w:cs="Arial"/>
          <w:sz w:val="20"/>
          <w:szCs w:val="20"/>
        </w:rPr>
        <w:t xml:space="preserve"> </w:t>
      </w:r>
      <w:r w:rsidRPr="00FC08A2">
        <w:rPr>
          <w:rFonts w:ascii="Arial" w:eastAsia="Arial" w:hAnsi="Arial" w:cs="Arial"/>
          <w:sz w:val="20"/>
          <w:szCs w:val="20"/>
        </w:rPr>
        <w:t>However, an excessively high amount of APTES can cause uneven reactions, resulting in a decrease in mechanical strength and material stability</w:t>
      </w:r>
      <w:r w:rsidR="007F1008">
        <w:rPr>
          <w:rFonts w:ascii="Arial" w:eastAsia="Arial" w:hAnsi="Arial" w:cs="Arial"/>
          <w:sz w:val="20"/>
          <w:szCs w:val="20"/>
        </w:rPr>
        <w:t xml:space="preserve"> </w:t>
      </w:r>
      <w:r w:rsidR="007F1008">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{"citationItems":[{"id":"ITEM-1","itemData":{"DOI":"10.3390/ma10101123","ISSN":"19961944","abstract":"We produced poro-us poly(ε-caprolactone) (PCL)/hydroxyapatite (HA) composite scaffolds for bone regeneration, which can have a tailored macro/micro-porous structure with high mechanical properties and excellent in vitro bioactivity using non-solvent-induced phase separation (NIPS)-based 3D plotting. This innovative 3D plotting technique can create highly microporous PCL/HA composite filaments by inducing unique phase separation in PCL/HA solutions through the non-solvent-solvent exchange phenomenon. The PCL/HA composite scaffolds produced with various HA contents (0 wt %, 10 wt %, 15 wt %, and 20 wt %) showed that PCL/HA composite struts with highly microporous structures were well constructed in a controlled periodic pattern. Similar levels of overall porosity (~78 vol %) and pore size (~248 μm) were observed for all the PCL/HA composite scaffolds, which would be highly beneficial to bone tissue regeneration. Mechanical properties, such as ultimate tensile strength and compressive yield strength, increased with an increase in HA content. In addition, incorporating bioactive HA particles into the PCL polymer led to remarkable enhancements in in vitro apatite-forming ability.","author":[{"dropping-particle":"","family":"Kim","given":"Jong Woo","non-dropping-particle":"","parse-names":false,"suffix":""},{"dropping-particle":"","family":"Shin","given":"Kwan Ha","non-dropping-particle":"","parse-names":false,"suffix":""},{"dropping-particle":"","family":"Koh","given":"Young Hag","non-dropping-particle":"","parse-names":false,"suffix":""},{"dropping-particle":"","family":"Hah","given":"Min Jin","non-dropping-particle":"","parse-names":false,"suffix":""},{"dropping-particle":"","family":"Moon","given":"Jiyoung","non-dropping-particle":"","parse-names":false,"suffix":""},{"dropping-particle":"","family":"Kim","given":"Hyoun Ee","non-dropping-particle":"","parse-names":false,"suffix":""}],"container-title":"Materials","id":"ITEM-1","issue":"10","issued":{"date-parts":[["2017"]]},"title":"Production of poly(ε-caprolactone)/hydroxyapatite composite scaffolds with a tailored macro/micro-porous structure, high mechanical properties, and excellent bioactivity","type":"article-journal","volume":"10"},"uris":["http://www.mendeley.com/documents/?uuid=ee861dc9-f1e7-4f78-8230-889257782ad9","http://www.mendeley.com/documents/?uuid=5cf6cd85-4b54-431b-a1bd-d7a6bb2db57a"]}],"mendeley":{"formattedCitation":"[5]","plainTextFormattedCitation":"[5]","previouslyFormattedCitation":"[5]"},"properties":{"noteIndex":0},"schema":"https://github.com/citation-style-language/schema/raw/master/csl-citation.json"}</w:instrText>
      </w:r>
      <w:r w:rsidR="007F1008">
        <w:rPr>
          <w:rFonts w:ascii="Arial" w:eastAsia="Arial" w:hAnsi="Arial" w:cs="Arial"/>
          <w:sz w:val="20"/>
          <w:szCs w:val="20"/>
        </w:rPr>
        <w:fldChar w:fldCharType="separate"/>
      </w:r>
      <w:r w:rsidR="007F1008" w:rsidRPr="007F1008">
        <w:rPr>
          <w:rFonts w:ascii="Arial" w:eastAsia="Arial" w:hAnsi="Arial" w:cs="Arial"/>
          <w:noProof/>
          <w:sz w:val="20"/>
          <w:szCs w:val="20"/>
        </w:rPr>
        <w:t>[5]</w:t>
      </w:r>
      <w:r w:rsidR="007F1008">
        <w:rPr>
          <w:rFonts w:ascii="Arial" w:eastAsia="Arial" w:hAnsi="Arial" w:cs="Arial"/>
          <w:sz w:val="20"/>
          <w:szCs w:val="20"/>
        </w:rPr>
        <w:fldChar w:fldCharType="end"/>
      </w:r>
      <w:r w:rsidRPr="00FC08A2">
        <w:rPr>
          <w:rFonts w:ascii="Arial" w:eastAsia="Arial" w:hAnsi="Arial" w:cs="Arial"/>
          <w:sz w:val="20"/>
          <w:szCs w:val="20"/>
        </w:rPr>
        <w:t>. Therefore, further research is needed to determine the optimal APTES concentration.</w:t>
      </w:r>
    </w:p>
    <w:p w14:paraId="3A12AD47" w14:textId="5FF22DF3" w:rsidR="00FC08A2" w:rsidRPr="00FC08A2" w:rsidRDefault="00FC08A2" w:rsidP="00DB055A">
      <w:pPr>
        <w:spacing w:after="0" w:line="240" w:lineRule="auto"/>
        <w:ind w:leftChars="0" w:left="0" w:firstLineChars="0" w:firstLine="720"/>
        <w:jc w:val="both"/>
        <w:rPr>
          <w:rFonts w:ascii="Arial" w:eastAsia="Arial" w:hAnsi="Arial" w:cs="Arial"/>
          <w:sz w:val="20"/>
          <w:szCs w:val="20"/>
        </w:rPr>
      </w:pPr>
      <w:r w:rsidRPr="00FC08A2">
        <w:rPr>
          <w:rFonts w:ascii="Arial" w:eastAsia="Arial" w:hAnsi="Arial" w:cs="Arial"/>
          <w:sz w:val="20"/>
          <w:szCs w:val="20"/>
        </w:rPr>
        <w:t>Although developments in this field have been significant, several challenges still need to be addressed, such as optimizing the combination of porosity and mechanical strength to meet specific clinical needs, enhancing the bioactivity of PCL without compromising its mechanical properties, and determining the porogen ratio and APTES concentration that yield the best morphology and performance</w:t>
      </w:r>
      <w:r w:rsidR="00DA4EA4">
        <w:rPr>
          <w:rFonts w:ascii="Arial" w:eastAsia="Arial" w:hAnsi="Arial" w:cs="Arial"/>
          <w:sz w:val="20"/>
          <w:szCs w:val="20"/>
        </w:rPr>
        <w:t xml:space="preserve"> </w:t>
      </w:r>
      <w:r w:rsidR="00C43054">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{"citationItems":[{"id":"ITEM-1","itemData":{"DOI":"10.1080/09205063.2017.1394711","ISBN":"9031221031","ISSN":"15685624","PMID":"29053081","abstract":"Biodegradable polymers have met with an increasing demand in medical usage over the last decades. One of such polymers is poly(ε-caprolactone) (PCL), which is a polyester that has been widely used in tissue engineering field for its availability, relatively inexpensive price and suitability for modification. Its chemical and biological properties, physicochemical state, degradability and mechanical strength can be adjusted, and therefore, it can be used under harsh mechanical, physical and chemical conditions without significant loss of its properties. Degradation time of PCL is quite long, thus it is used mainly in the replacement of hard tissues in the body where healing also takes an extended period of time. It is also used at load-bearing tissues of the body by enhancing its stiffness. However, due to its tailorability, use of PCL is not restricted to one type of tissue and it can be extended to engineering of soft tissues by decreasing its molecular weight and degradation time. This review outlines the basic properties of PCL, its composites, blends and copolymers. We report on various techniques for the production of different forms, and provide examples of medical applications such as tissue engineering and drug delivery systems covering the studies performed in the last decades.","author":[{"dropping-particle":"","family":"Malikmammadov","given":"Elbay","non-dropping-particle":"","parse-names":false,"suffix":""},{"dropping-particle":"","family":"Tanir","given":"Tugba Endogan","non-dropping-particle":"","parse-names":false,"suffix":""},{"dropping-particle":"","family":"Kiziltay","given":"Aysel","non-dropping-particle":"","parse-names":false,"suffix":""},{"dropping-particle":"","family":"Hasirci","given":"Vasif","non-dropping-particle":"","parse-names":false,"suffix":""},{"dropping-particle":"","family":"Hasirci","given":"Nesrin","non-dropping-particle":"","parse-names":false,"suffix":""}],"container-title":"Journal of Biomaterials Science, Polymer Edition","id":"ITEM-1","issue":"7-9","issued":{"date-parts":[["2018"]]},"number-of-pages":"863-893","publisher":"Taylor &amp; Francis","title":"PCL and PCL-based materials in biomedical applications","type":"book","volume":"29"},"uris":["http://www.mendeley.com/documents/?uuid=1ff0c874-81fa-43a6-a420-1193d90fbe74","http://www.mendeley.com/documents/?uuid=972f3f56-f385-49c6-9e55-a69b7c0da7cc"]}],"mendeley":{"formattedCitation":"[18]","plainTextFormattedCitation":"[18]","previouslyFormattedCitation":"[18]"},"properties":{"noteIndex":0},"schema":"https://github.com/citation-style-language/schema/raw/master/csl-citation.json"}</w:instrText>
      </w:r>
      <w:r w:rsidR="00C43054">
        <w:rPr>
          <w:rFonts w:ascii="Arial" w:eastAsia="Arial" w:hAnsi="Arial" w:cs="Arial"/>
          <w:sz w:val="20"/>
          <w:szCs w:val="20"/>
        </w:rPr>
        <w:fldChar w:fldCharType="separate"/>
      </w:r>
      <w:r w:rsidR="00C43054" w:rsidRPr="00C43054">
        <w:rPr>
          <w:rFonts w:ascii="Arial" w:eastAsia="Arial" w:hAnsi="Arial" w:cs="Arial"/>
          <w:noProof/>
          <w:sz w:val="20"/>
          <w:szCs w:val="20"/>
        </w:rPr>
        <w:t>[18]</w:t>
      </w:r>
      <w:r w:rsidR="00C43054">
        <w:rPr>
          <w:rFonts w:ascii="Arial" w:eastAsia="Arial" w:hAnsi="Arial" w:cs="Arial"/>
          <w:sz w:val="20"/>
          <w:szCs w:val="20"/>
        </w:rPr>
        <w:fldChar w:fldCharType="end"/>
      </w:r>
      <w:r w:rsidRPr="00FC08A2">
        <w:rPr>
          <w:rFonts w:ascii="Arial" w:eastAsia="Arial" w:hAnsi="Arial" w:cs="Arial"/>
          <w:sz w:val="20"/>
          <w:szCs w:val="20"/>
        </w:rPr>
        <w:t>. Until now, many studies have focused on the influence of only one parameter, such as morphology or bioactivity. The combination of parameters, including porogen ratio, APTES concentration, and fabrication techniques, has not yet been comprehensively explored</w:t>
      </w:r>
      <w:r w:rsidR="00DB055A">
        <w:rPr>
          <w:rFonts w:ascii="Arial" w:eastAsia="Arial" w:hAnsi="Arial" w:cs="Arial"/>
          <w:sz w:val="20"/>
          <w:szCs w:val="20"/>
        </w:rPr>
        <w:t xml:space="preserve"> </w:t>
      </w:r>
      <w:r w:rsidR="00DB055A">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{"citationItems":[{"id":"ITEM-1","itemData":{"DOI":"10.1088/2053-1591/abcc5d","ISSN":"20531591","abstract":"In the present review, the effect of porosity on the mechanical properties of the fabricated parts, which are additively manufactured by powder bed fusion and filament extrusion-based technologies, are discussed in detail. Usually, additive manufacturing (AM) processes based on these techniques produce the components with a significant amount of pores. The porosity in these parts typically takes two forms: pores with irregular shapes (called keyholes) and uniform (spherical) pores. These pores are present at different locations, such as surface, sub-surface, interior bulk material, between the deposited layers and at filler/matrix interface, which critically affect the corrosion resistance, fatigue strength, stiffness, mechanical strength, and fracture toughness properties, respectively. Therefore, it is essential to study and understand the influence of pores on the mechanical properties of AM fabricated parts. The technologies of AM can be employed in the manufacturing of components with the desired porous structure through the topology optimization process of scaffolds and lattices to improve their toughness under a specific load. The undesirable effect of pores can be eliminated by using defects-free raw materials, optimizing the processing parameters, and implementing suitable post-processing treatment. The current review grants a more comprehensive understanding of the effect of porous defects on mechanical performance and provides a mechanistic basis for reliable applications of additively manufactured components.","author":[{"dropping-particle":"","family":"Al-Maharma","given":"Ahmad Y.","non-dropping-particle":"","parse-names":false,"suffix":""},{"dropping-particle":"","family":"Patil","given":"Sandeep P.","non-dropping-particle":"","parse-names":false,"suffix":""},{"dropping-particle":"","family":"Markert","given":"Bernd","non-dropping-particle":"","parse-names":false,"suffix":""}],"container-title":"Materials Research Express","id":"ITEM-1","issue":"12","issued":{"date-parts":[["2020"]]},"publisher":"IOP Publishing","title":"Effects of porosity on the mechanical properties of additively manufactured components: a critical review","type":"article-journal","volume":"7"},"uris":["http://www.mendeley.com/documents/?uuid=40a7f954-10f3-4330-993a-7a667bc0d2a7","http://www.mendeley.com/documents/?uuid=70b7be54-1199-431b-9afe-517303f8de70"]},{"id":"ITEM-2","itemData":{"DOI":"10.4028/www.scientific.net/AMR.858.96","ISBN":"9783037859056","ISSN":"10226680","abstract":"Continuous porous hydroxyapatite (HA) scaffold has been considered to be used in bone tissue engineering. However, the low fracture property of HA scaffold has been a problem to be solved. In the present study, polycaprolactone (PCL) was introduced as a secondary phase into the porous structure of HA scaffold to improve the low fracture property. HA scaffolds were firstly fabricated using the template method. The HA scaffolds were then coated with PCL by changing the solution concentration from 1 to 5 wt%. Compression tests and SEM were done to examine the mechanical properties and the morphology of the two-phase composite scaffolds. It was found that the compression strength and modulus increased with increasing PCL concentration. It is also noted that PCL coating can greatly improve the brittleness of pure HA scaffolds. XRD test was also done to study the phase stability of HA and the two-phase scaffolds. There was no chemical reaction between PCL and HA observed by the XRD results. On the overall, these results indicated that PCL coating can effectively improve the low fracture property of pure HA scaffold and the two-phase scaffold could be a potential candidate for bone regeneration. © (2014) Trans Tech Publications, Switzerland.","author":[{"dropping-particle":"","family":"Yos","given":"Phanny","non-dropping-particle":"","parse-names":false,"suffix":""},{"dropping-particle":"","family":"Todo","given":"Mitsugu","non-dropping-particle":"","parse-names":false,"suffix":""}],"container-title":"Advanced Materials Research","id":"ITEM-2","issued":{"date-parts":[["2014"]]},"page":"96-102","title":"Improvement of compressive properties of porous HA scaffold by introducing PCL secondary phase","type":"article-journal","volume":"858"},"uris":["http://www.mendeley.com/documents/?uuid=9cc32c12-3939-4445-bfec-1bcf04b30f67","http://www.mendeley.com/documents/?uuid=55e9463e-205b-4fc0-a81b-764dfbb1fef6"]},{"id":"ITEM-3","itemData":{"DOI":"10.1038/s41598-022-15602-y","ISBN":"0123456789","ISSN":"20452322","PMID":"35859093","abstract":"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author":[{"dropping-particle":"","family":"Ebrahimi","given":"Zahra","non-dropping-particle":"","parse-names":false,"suffix":""},{"dropping-particle":"","family":"Irani","given":"Shiva","non-dropping-particle":"","parse-names":false,"suffix":""},{"dropping-particle":"","family":"Ardeshirylajimi","given":"Abdolreza","non-dropping-particle":"","parse-names":false,"suffix":""},{"dropping-particle":"","family":"Seyedjafari","given":"Ehsan","non-dropping-particle":"","parse-names":false,"suffix":""}],"container-title":"Scientific Reports","id":"ITEM-3","issue":"1","issued":{"date-parts":[["2022"]]},"page":"1-15","publisher":"Nature Publishing Group UK","title":"Enhanced osteogenic differentiation of stem cells by 3D printed PCL scaffolds coated with collagen and hydroxyapatite","type":"article-journal","volume":"12"},"uris":["http://www.mendeley.com/documents/?uuid=e47a13ec-62f1-4920-9482-cab5f608e5fa","http://www.mendeley.com/documents/?uuid=7e86f8ba-996d-41ee-8174-c29aa430352c"]}],"mendeley":{"formattedCitation":"[4], [19], [20]","plainTextFormattedCitation":"[4], [19], [20]","previouslyFormattedCitation":"[4], [19], [20]"},"properties":{"noteIndex":0},"schema":"https://github.com/citation-style-language/schema/raw/master/csl-citation.json"}</w:instrText>
      </w:r>
      <w:r w:rsidR="00DB055A">
        <w:rPr>
          <w:rFonts w:ascii="Arial" w:eastAsia="Arial" w:hAnsi="Arial" w:cs="Arial"/>
          <w:sz w:val="20"/>
          <w:szCs w:val="20"/>
        </w:rPr>
        <w:fldChar w:fldCharType="separate"/>
      </w:r>
      <w:r w:rsidR="00DB055A" w:rsidRPr="00DB055A">
        <w:rPr>
          <w:rFonts w:ascii="Arial" w:eastAsia="Arial" w:hAnsi="Arial" w:cs="Arial"/>
          <w:noProof/>
          <w:sz w:val="20"/>
          <w:szCs w:val="20"/>
        </w:rPr>
        <w:t>[4], [19], [20]</w:t>
      </w:r>
      <w:r w:rsidR="00DB055A">
        <w:rPr>
          <w:rFonts w:ascii="Arial" w:eastAsia="Arial" w:hAnsi="Arial" w:cs="Arial"/>
          <w:sz w:val="20"/>
          <w:szCs w:val="20"/>
        </w:rPr>
        <w:fldChar w:fldCharType="end"/>
      </w:r>
      <w:r w:rsidRPr="00FC08A2">
        <w:rPr>
          <w:rFonts w:ascii="Arial" w:eastAsia="Arial" w:hAnsi="Arial" w:cs="Arial"/>
          <w:sz w:val="20"/>
          <w:szCs w:val="20"/>
        </w:rPr>
        <w:t xml:space="preserve">. </w:t>
      </w:r>
    </w:p>
    <w:p w14:paraId="23063E61" w14:textId="74664260" w:rsidR="00FC08A2" w:rsidRPr="00A411A1" w:rsidRDefault="00FC08A2" w:rsidP="00A411A1">
      <w:pPr>
        <w:spacing w:after="0" w:line="240" w:lineRule="auto"/>
        <w:ind w:leftChars="0" w:left="0" w:firstLineChars="0" w:firstLine="426"/>
        <w:jc w:val="both"/>
        <w:rPr>
          <w:rFonts w:ascii="Arial" w:eastAsia="Arial" w:hAnsi="Arial" w:cs="Arial"/>
          <w:sz w:val="20"/>
          <w:szCs w:val="20"/>
        </w:rPr>
      </w:pPr>
      <w:r w:rsidRPr="00FC08A2">
        <w:rPr>
          <w:rFonts w:ascii="Arial" w:eastAsia="Arial" w:hAnsi="Arial" w:cs="Arial"/>
          <w:sz w:val="20"/>
          <w:szCs w:val="20"/>
        </w:rPr>
        <w:t>This research aims to evaluate the influence of variations in porogen ratio and APTES concentration on the morphology, mechanical properties, and biodegradation capability of PCL/HA-based scaffolds fabricated using the SCPL method. This study combines experimental and theoretical analyses to</w:t>
      </w:r>
      <w:r w:rsidR="00A411A1">
        <w:rPr>
          <w:rFonts w:ascii="Arial" w:eastAsia="Arial" w:hAnsi="Arial" w:cs="Arial"/>
          <w:sz w:val="20"/>
          <w:szCs w:val="20"/>
        </w:rPr>
        <w:t xml:space="preserve"> d</w:t>
      </w:r>
      <w:r w:rsidRPr="00A411A1">
        <w:rPr>
          <w:rFonts w:ascii="Arial" w:eastAsia="Arial" w:hAnsi="Arial" w:cs="Arial"/>
          <w:sz w:val="20"/>
          <w:szCs w:val="20"/>
        </w:rPr>
        <w:t>etermine the optimal combination of porogen ratio and APTES concentration to produce 3D scaffolds with appropriate mechanical strength and porosity.</w:t>
      </w:r>
    </w:p>
    <w:p w14:paraId="5D959645" w14:textId="7178E2BB" w:rsidR="00305150" w:rsidRPr="00716D0A" w:rsidRDefault="00FC08A2" w:rsidP="00716D0A">
      <w:pPr>
        <w:spacing w:after="0" w:line="240" w:lineRule="auto"/>
        <w:ind w:leftChars="0" w:left="0" w:firstLineChars="0" w:firstLine="426"/>
        <w:jc w:val="both"/>
        <w:rPr>
          <w:rFonts w:ascii="Arial" w:eastAsia="Arial" w:hAnsi="Arial" w:cs="Arial"/>
          <w:color w:val="000000"/>
          <w:sz w:val="20"/>
          <w:szCs w:val="20"/>
        </w:rPr>
      </w:pPr>
      <w:r w:rsidRPr="00FC08A2">
        <w:rPr>
          <w:rFonts w:ascii="Arial" w:eastAsia="Arial" w:hAnsi="Arial" w:cs="Arial"/>
          <w:color w:val="000000"/>
          <w:sz w:val="20"/>
          <w:szCs w:val="20"/>
        </w:rPr>
        <w:t>The results of this research are expected to not only expand knowledge in the field of tissue engineering, particularly bone, but also provide practical references for the development of bone implants based on 3D scaffolds in the future.</w:t>
      </w:r>
    </w:p>
    <w:p w14:paraId="3C4819C6" w14:textId="77777777" w:rsidR="00305150" w:rsidRDefault="00305150">
      <w:pPr>
        <w:spacing w:after="0" w:line="240" w:lineRule="auto"/>
        <w:ind w:left="0" w:hanging="2"/>
        <w:jc w:val="both"/>
        <w:rPr>
          <w:rFonts w:ascii="Arial" w:eastAsia="Arial" w:hAnsi="Arial" w:cs="Arial"/>
          <w:sz w:val="20"/>
          <w:szCs w:val="20"/>
        </w:rPr>
      </w:pPr>
    </w:p>
    <w:p w14:paraId="0FE673F3" w14:textId="4EB2CBFA" w:rsidR="0002676E"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486ABE89" w14:textId="77777777" w:rsidR="00DA2489" w:rsidRPr="00DA2489" w:rsidRDefault="00DA2489" w:rsidP="00DA2489">
      <w:pPr>
        <w:spacing w:after="0" w:line="240" w:lineRule="auto"/>
        <w:ind w:leftChars="0" w:left="0" w:firstLineChars="0" w:firstLine="720"/>
        <w:jc w:val="both"/>
        <w:rPr>
          <w:rFonts w:ascii="Arial" w:eastAsia="Arial" w:hAnsi="Arial" w:cs="Arial"/>
          <w:sz w:val="20"/>
          <w:szCs w:val="20"/>
        </w:rPr>
      </w:pPr>
      <w:r w:rsidRPr="00DA2489">
        <w:rPr>
          <w:rFonts w:ascii="Arial" w:eastAsia="Arial" w:hAnsi="Arial" w:cs="Arial"/>
          <w:sz w:val="20"/>
          <w:szCs w:val="20"/>
        </w:rPr>
        <w:t>The HA modification process was carried out by dissolving it with APTES according to its variations (1%, 3%, and 5% relative to the weight of HA) using 90% ethanol and 10% deionized water for 15 minutes at a speed of 500 rpm at room temperature. Then adjusted with NaOH to pH 10 and stirred for 2 hours at 40°C. Finally, filtered and heated at 50°C for 24 hours to obtain the modified HA/APTES powder.</w:t>
      </w:r>
    </w:p>
    <w:p w14:paraId="16FAD7F1" w14:textId="30E070E5" w:rsidR="0002676E" w:rsidRDefault="00DA2489" w:rsidP="00DA2489">
      <w:pPr>
        <w:spacing w:after="0" w:line="240" w:lineRule="auto"/>
        <w:ind w:leftChars="0" w:left="0" w:firstLineChars="0" w:firstLine="720"/>
        <w:jc w:val="both"/>
        <w:rPr>
          <w:rFonts w:ascii="Arial" w:eastAsia="Arial" w:hAnsi="Arial" w:cs="Arial"/>
          <w:sz w:val="20"/>
          <w:szCs w:val="20"/>
        </w:rPr>
      </w:pPr>
      <w:r w:rsidRPr="00DA2489">
        <w:rPr>
          <w:rFonts w:ascii="Arial" w:eastAsia="Arial" w:hAnsi="Arial" w:cs="Arial"/>
          <w:sz w:val="20"/>
          <w:szCs w:val="20"/>
        </w:rPr>
        <w:t>3D scaffold fabrication was carried out using the solvent casting particulate leaching technique</w:t>
      </w:r>
      <w:r w:rsidR="00A523B2">
        <w:rPr>
          <w:rFonts w:ascii="Arial" w:eastAsia="Arial" w:hAnsi="Arial" w:cs="Arial"/>
          <w:sz w:val="20"/>
          <w:szCs w:val="20"/>
        </w:rPr>
        <w:t xml:space="preserve"> </w:t>
      </w:r>
      <w:r w:rsidRPr="00DA2489">
        <w:rPr>
          <w:rFonts w:ascii="Arial" w:eastAsia="Arial" w:hAnsi="Arial" w:cs="Arial"/>
          <w:sz w:val="20"/>
          <w:szCs w:val="20"/>
        </w:rPr>
        <w:t xml:space="preserve">(SCPL). 1 gram of PCL is dissolved in </w:t>
      </w:r>
      <w:r w:rsidRPr="00DA2489">
        <w:rPr>
          <w:rFonts w:ascii="Arial" w:eastAsia="Arial" w:hAnsi="Arial" w:cs="Arial"/>
          <w:sz w:val="20"/>
          <w:szCs w:val="20"/>
        </w:rPr>
        <w:lastRenderedPageBreak/>
        <w:t>10 ml of chloroform, then 0.25 grams of HA modified with APTES according to its variations (1%, 3%, and 5%) are added. Next, NaCl with a ratio to the composite (PCL/HA) of 4:1, 6:1, and 8:1 was added and stirred at a speed of 1000 rpm for 30 minutes. Then the solution is dried in silicone molds. After the solid composite is formed, it is soaked for 2 days using deionized water, which is replaced every 12 hours to remove the NaCl porogen. After that, the samples were dried at a temperature of 50</w:t>
      </w:r>
      <w:r w:rsidRPr="00DA2489">
        <w:rPr>
          <w:rFonts w:ascii="Cambria Math" w:eastAsia="Arial" w:hAnsi="Cambria Math" w:cs="Cambria Math"/>
          <w:sz w:val="20"/>
          <w:szCs w:val="20"/>
        </w:rPr>
        <w:t>℃</w:t>
      </w:r>
      <w:r w:rsidRPr="00DA2489">
        <w:rPr>
          <w:rFonts w:ascii="Arial" w:eastAsia="Arial" w:hAnsi="Arial" w:cs="Arial"/>
          <w:sz w:val="20"/>
          <w:szCs w:val="20"/>
        </w:rPr>
        <w:t xml:space="preserve"> for 48 hours</w:t>
      </w:r>
      <w:r>
        <w:rPr>
          <w:rFonts w:ascii="Arial" w:eastAsia="Arial" w:hAnsi="Arial" w:cs="Arial"/>
          <w:sz w:val="20"/>
          <w:szCs w:val="20"/>
        </w:rPr>
        <w:t xml:space="preserve">.  </w:t>
      </w:r>
      <w:r w:rsidR="00E006CB" w:rsidRPr="00E006CB">
        <w:rPr>
          <w:rFonts w:ascii="Arial" w:eastAsia="Arial" w:hAnsi="Arial" w:cs="Arial"/>
          <w:sz w:val="20"/>
          <w:szCs w:val="20"/>
        </w:rPr>
        <w:t xml:space="preserve">The </w:t>
      </w:r>
      <w:r w:rsidR="00E006CB">
        <w:rPr>
          <w:rFonts w:ascii="Arial" w:eastAsia="Arial" w:hAnsi="Arial" w:cs="Arial"/>
          <w:sz w:val="20"/>
          <w:szCs w:val="20"/>
        </w:rPr>
        <w:t xml:space="preserve">schematic </w:t>
      </w:r>
      <w:r w:rsidR="00E006CB" w:rsidRPr="00E006CB">
        <w:rPr>
          <w:rFonts w:ascii="Arial" w:eastAsia="Arial" w:hAnsi="Arial" w:cs="Arial"/>
          <w:sz w:val="20"/>
          <w:szCs w:val="20"/>
        </w:rPr>
        <w:t>procedure of the research flow is presented in</w:t>
      </w:r>
      <w:r w:rsidR="00E006CB">
        <w:rPr>
          <w:rFonts w:ascii="Arial" w:eastAsia="Arial" w:hAnsi="Arial" w:cs="Arial"/>
          <w:sz w:val="20"/>
          <w:szCs w:val="20"/>
        </w:rPr>
        <w:t xml:space="preserve"> figure 1</w:t>
      </w:r>
      <w:r w:rsidR="00DE75B0">
        <w:rPr>
          <w:rFonts w:ascii="Arial" w:eastAsia="Arial" w:hAnsi="Arial" w:cs="Arial"/>
          <w:sz w:val="20"/>
          <w:szCs w:val="20"/>
        </w:rPr>
        <w:t xml:space="preserve"> and table 1 show the </w:t>
      </w:r>
      <w:r w:rsidR="00C2052E">
        <w:rPr>
          <w:rFonts w:ascii="Arial" w:eastAsia="Arial" w:hAnsi="Arial" w:cs="Arial"/>
          <w:sz w:val="20"/>
          <w:szCs w:val="20"/>
        </w:rPr>
        <w:t>sample variation code uses.</w:t>
      </w:r>
    </w:p>
    <w:p w14:paraId="303B07E7" w14:textId="598C8E6F" w:rsidR="0002676E" w:rsidRDefault="00E006CB">
      <w:pPr>
        <w:spacing w:after="0" w:line="240" w:lineRule="auto"/>
        <w:ind w:left="0" w:hanging="2"/>
        <w:jc w:val="both"/>
        <w:rPr>
          <w:rFonts w:ascii="Arial" w:eastAsia="Arial" w:hAnsi="Arial" w:cs="Arial"/>
          <w:sz w:val="20"/>
          <w:szCs w:val="20"/>
        </w:rPr>
      </w:pPr>
      <w:r>
        <w:rPr>
          <w:noProof/>
        </w:rPr>
        <w:t xml:space="preserve"> </w:t>
      </w:r>
      <w:r w:rsidR="00367729">
        <w:rPr>
          <w:noProof/>
        </w:rPr>
        <w:drawing>
          <wp:inline distT="0" distB="0" distL="0" distR="0" wp14:anchorId="610F3BBD" wp14:editId="15A35020">
            <wp:extent cx="2756047" cy="2066649"/>
            <wp:effectExtent l="0" t="0" r="6350" b="0"/>
            <wp:docPr id="71160328" name="Picture 3"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0328" name="Picture 3" descr="A diagram of a machine&#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76" r="23410"/>
                    <a:stretch/>
                  </pic:blipFill>
                  <pic:spPr bwMode="auto">
                    <a:xfrm>
                      <a:off x="0" y="0"/>
                      <a:ext cx="2762652" cy="2071602"/>
                    </a:xfrm>
                    <a:prstGeom prst="rect">
                      <a:avLst/>
                    </a:prstGeom>
                    <a:noFill/>
                    <a:ln>
                      <a:noFill/>
                    </a:ln>
                    <a:extLst>
                      <a:ext uri="{53640926-AAD7-44D8-BBD7-CCE9431645EC}">
                        <a14:shadowObscured xmlns:a14="http://schemas.microsoft.com/office/drawing/2010/main"/>
                      </a:ext>
                    </a:extLst>
                  </pic:spPr>
                </pic:pic>
              </a:graphicData>
            </a:graphic>
          </wp:inline>
        </w:drawing>
      </w:r>
    </w:p>
    <w:p w14:paraId="5F6D785F" w14:textId="5AEED5CB" w:rsidR="00E006CB" w:rsidRDefault="00E006CB" w:rsidP="00DA2489">
      <w:pPr>
        <w:spacing w:after="0" w:line="240" w:lineRule="auto"/>
        <w:ind w:left="0" w:hanging="2"/>
        <w:jc w:val="center"/>
        <w:rPr>
          <w:rFonts w:ascii="Arial" w:eastAsia="Arial" w:hAnsi="Arial" w:cs="Arial"/>
          <w:sz w:val="20"/>
          <w:szCs w:val="20"/>
        </w:rPr>
      </w:pPr>
      <w:r>
        <w:rPr>
          <w:rFonts w:ascii="Arial" w:eastAsia="Arial" w:hAnsi="Arial" w:cs="Arial"/>
          <w:sz w:val="20"/>
          <w:szCs w:val="20"/>
        </w:rPr>
        <w:t xml:space="preserve">Figure 1 </w:t>
      </w:r>
      <w:r w:rsidRPr="00E006CB">
        <w:rPr>
          <w:rFonts w:ascii="Arial" w:eastAsia="Arial" w:hAnsi="Arial" w:cs="Arial"/>
          <w:sz w:val="20"/>
          <w:szCs w:val="20"/>
        </w:rPr>
        <w:t>Schematic of the research procedure</w:t>
      </w:r>
    </w:p>
    <w:p w14:paraId="0E016A93" w14:textId="77777777" w:rsidR="00E006CB" w:rsidRDefault="00E006CB" w:rsidP="00DA2489">
      <w:pPr>
        <w:spacing w:after="0" w:line="240" w:lineRule="auto"/>
        <w:ind w:left="0" w:hanging="2"/>
        <w:jc w:val="center"/>
        <w:rPr>
          <w:rFonts w:ascii="Arial" w:eastAsia="Arial" w:hAnsi="Arial" w:cs="Arial"/>
          <w:sz w:val="20"/>
          <w:szCs w:val="20"/>
        </w:rPr>
      </w:pPr>
    </w:p>
    <w:p w14:paraId="59B4953B" w14:textId="0E7AE011" w:rsidR="00DA2489" w:rsidRDefault="00DA2489" w:rsidP="00DA2489">
      <w:pPr>
        <w:spacing w:after="0" w:line="240" w:lineRule="auto"/>
        <w:ind w:left="0" w:hanging="2"/>
        <w:jc w:val="center"/>
        <w:rPr>
          <w:rFonts w:ascii="Arial" w:eastAsia="Arial" w:hAnsi="Arial" w:cs="Arial"/>
          <w:sz w:val="20"/>
          <w:szCs w:val="20"/>
        </w:rPr>
      </w:pPr>
      <w:r>
        <w:rPr>
          <w:rFonts w:ascii="Arial" w:eastAsia="Arial" w:hAnsi="Arial" w:cs="Arial"/>
          <w:sz w:val="20"/>
          <w:szCs w:val="20"/>
        </w:rPr>
        <w:t>Table 1. Sample</w:t>
      </w:r>
      <w:r w:rsidR="00DE75B0">
        <w:rPr>
          <w:rFonts w:ascii="Arial" w:eastAsia="Arial" w:hAnsi="Arial" w:cs="Arial"/>
          <w:sz w:val="20"/>
          <w:szCs w:val="20"/>
        </w:rPr>
        <w:t xml:space="preserve"> Variation Code</w:t>
      </w:r>
    </w:p>
    <w:tbl>
      <w:tblPr>
        <w:tblStyle w:val="TableGrid"/>
        <w:tblW w:w="4198" w:type="dxa"/>
        <w:tblLook w:val="04A0" w:firstRow="1" w:lastRow="0" w:firstColumn="1" w:lastColumn="0" w:noHBand="0" w:noVBand="1"/>
      </w:tblPr>
      <w:tblGrid>
        <w:gridCol w:w="1161"/>
        <w:gridCol w:w="1386"/>
        <w:gridCol w:w="1651"/>
      </w:tblGrid>
      <w:tr w:rsidR="00DA2489" w14:paraId="0301BD4B" w14:textId="77777777" w:rsidTr="00DA2489">
        <w:tc>
          <w:tcPr>
            <w:tcW w:w="1161" w:type="dxa"/>
            <w:vMerge w:val="restart"/>
          </w:tcPr>
          <w:p w14:paraId="3EF8C594" w14:textId="7A162F04" w:rsidR="00DA2489" w:rsidRPr="00DA2489" w:rsidRDefault="00DA2489" w:rsidP="00DA2489">
            <w:pPr>
              <w:ind w:leftChars="0" w:left="0" w:firstLineChars="0" w:firstLine="0"/>
              <w:jc w:val="center"/>
              <w:rPr>
                <w:rFonts w:ascii="Arial" w:eastAsia="Arial" w:hAnsi="Arial" w:cs="Arial"/>
                <w:b/>
                <w:bCs/>
                <w:sz w:val="20"/>
                <w:szCs w:val="20"/>
              </w:rPr>
            </w:pPr>
            <w:r>
              <w:rPr>
                <w:rFonts w:ascii="Arial" w:eastAsia="Arial" w:hAnsi="Arial" w:cs="Arial"/>
                <w:b/>
                <w:bCs/>
                <w:sz w:val="20"/>
                <w:szCs w:val="20"/>
              </w:rPr>
              <w:t>Spesimen</w:t>
            </w:r>
          </w:p>
        </w:tc>
        <w:tc>
          <w:tcPr>
            <w:tcW w:w="3037" w:type="dxa"/>
            <w:gridSpan w:val="2"/>
          </w:tcPr>
          <w:p w14:paraId="3F498861" w14:textId="6F2887A3" w:rsidR="00DA2489" w:rsidRPr="00DA2489" w:rsidRDefault="00DA2489" w:rsidP="00DA2489">
            <w:pPr>
              <w:ind w:leftChars="0" w:left="0" w:firstLineChars="0" w:firstLine="0"/>
              <w:jc w:val="center"/>
              <w:rPr>
                <w:rFonts w:ascii="Arial" w:eastAsia="Arial" w:hAnsi="Arial" w:cs="Arial"/>
                <w:b/>
                <w:bCs/>
                <w:sz w:val="20"/>
                <w:szCs w:val="20"/>
              </w:rPr>
            </w:pPr>
            <w:r>
              <w:rPr>
                <w:rFonts w:ascii="Arial" w:eastAsia="Arial" w:hAnsi="Arial" w:cs="Arial"/>
                <w:b/>
                <w:bCs/>
                <w:sz w:val="20"/>
                <w:szCs w:val="20"/>
              </w:rPr>
              <w:t>Variation</w:t>
            </w:r>
          </w:p>
        </w:tc>
      </w:tr>
      <w:tr w:rsidR="00DA2489" w14:paraId="59D7D26D" w14:textId="77777777" w:rsidTr="00DA2489">
        <w:tc>
          <w:tcPr>
            <w:tcW w:w="1161" w:type="dxa"/>
            <w:vMerge/>
          </w:tcPr>
          <w:p w14:paraId="74C7A7BB" w14:textId="77777777" w:rsidR="00DA2489" w:rsidRPr="00DA2489" w:rsidRDefault="00DA2489" w:rsidP="00DA2489">
            <w:pPr>
              <w:ind w:leftChars="0" w:left="0" w:firstLineChars="0" w:firstLine="0"/>
              <w:jc w:val="center"/>
              <w:rPr>
                <w:rFonts w:ascii="Arial" w:eastAsia="Arial" w:hAnsi="Arial" w:cs="Arial"/>
                <w:b/>
                <w:bCs/>
                <w:sz w:val="20"/>
                <w:szCs w:val="20"/>
              </w:rPr>
            </w:pPr>
          </w:p>
        </w:tc>
        <w:tc>
          <w:tcPr>
            <w:tcW w:w="1386" w:type="dxa"/>
          </w:tcPr>
          <w:p w14:paraId="2A7AA7B3" w14:textId="6E60DDAD" w:rsidR="00DA2489" w:rsidRPr="00DA2489" w:rsidRDefault="00DA2489" w:rsidP="00DA2489">
            <w:pPr>
              <w:ind w:leftChars="0" w:left="0" w:firstLineChars="0" w:firstLine="0"/>
              <w:jc w:val="center"/>
              <w:rPr>
                <w:rFonts w:ascii="Arial" w:eastAsia="Arial" w:hAnsi="Arial" w:cs="Arial"/>
                <w:b/>
                <w:bCs/>
                <w:sz w:val="20"/>
                <w:szCs w:val="20"/>
              </w:rPr>
            </w:pPr>
            <w:r>
              <w:rPr>
                <w:rFonts w:ascii="Arial" w:eastAsia="Arial" w:hAnsi="Arial" w:cs="Arial"/>
                <w:b/>
                <w:bCs/>
                <w:sz w:val="20"/>
                <w:szCs w:val="20"/>
              </w:rPr>
              <w:t>APTES (%)</w:t>
            </w:r>
          </w:p>
        </w:tc>
        <w:tc>
          <w:tcPr>
            <w:tcW w:w="1651" w:type="dxa"/>
          </w:tcPr>
          <w:p w14:paraId="3E8044AF" w14:textId="3EBF5985" w:rsidR="00DA2489" w:rsidRPr="00DA2489" w:rsidRDefault="00DA2489" w:rsidP="00DA2489">
            <w:pPr>
              <w:ind w:leftChars="0" w:left="0" w:firstLineChars="0" w:firstLine="0"/>
              <w:jc w:val="center"/>
              <w:rPr>
                <w:rFonts w:ascii="Arial" w:eastAsia="Arial" w:hAnsi="Arial" w:cs="Arial"/>
                <w:b/>
                <w:bCs/>
                <w:sz w:val="20"/>
                <w:szCs w:val="20"/>
              </w:rPr>
            </w:pPr>
            <w:r>
              <w:rPr>
                <w:rFonts w:ascii="Arial" w:eastAsia="Arial" w:hAnsi="Arial" w:cs="Arial"/>
                <w:b/>
                <w:bCs/>
                <w:sz w:val="20"/>
                <w:szCs w:val="20"/>
              </w:rPr>
              <w:t>Ratio Porogen</w:t>
            </w:r>
          </w:p>
        </w:tc>
      </w:tr>
      <w:tr w:rsidR="00DA2489" w14:paraId="2B556D7B" w14:textId="77777777" w:rsidTr="00DA2489">
        <w:tc>
          <w:tcPr>
            <w:tcW w:w="1161" w:type="dxa"/>
          </w:tcPr>
          <w:p w14:paraId="47B08C2B" w14:textId="107D4D26"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A0N4</w:t>
            </w:r>
          </w:p>
        </w:tc>
        <w:tc>
          <w:tcPr>
            <w:tcW w:w="1386" w:type="dxa"/>
          </w:tcPr>
          <w:p w14:paraId="5AFE2F07" w14:textId="0D5FC60A"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0</w:t>
            </w:r>
          </w:p>
        </w:tc>
        <w:tc>
          <w:tcPr>
            <w:tcW w:w="1651" w:type="dxa"/>
          </w:tcPr>
          <w:p w14:paraId="645EFE7A" w14:textId="0EE0E363"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4:1</w:t>
            </w:r>
          </w:p>
        </w:tc>
      </w:tr>
      <w:tr w:rsidR="00DA2489" w14:paraId="26329260" w14:textId="77777777" w:rsidTr="00DA2489">
        <w:tc>
          <w:tcPr>
            <w:tcW w:w="1161" w:type="dxa"/>
          </w:tcPr>
          <w:p w14:paraId="0755D563" w14:textId="283AE344"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A1N4</w:t>
            </w:r>
          </w:p>
        </w:tc>
        <w:tc>
          <w:tcPr>
            <w:tcW w:w="1386" w:type="dxa"/>
          </w:tcPr>
          <w:p w14:paraId="02E7F84E" w14:textId="2E3D2BF9"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1</w:t>
            </w:r>
          </w:p>
        </w:tc>
        <w:tc>
          <w:tcPr>
            <w:tcW w:w="1651" w:type="dxa"/>
          </w:tcPr>
          <w:p w14:paraId="182D8ACD" w14:textId="14733A1F"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4:1</w:t>
            </w:r>
          </w:p>
        </w:tc>
      </w:tr>
      <w:tr w:rsidR="00DA2489" w14:paraId="222FA7FA" w14:textId="77777777" w:rsidTr="00DA2489">
        <w:tc>
          <w:tcPr>
            <w:tcW w:w="1161" w:type="dxa"/>
          </w:tcPr>
          <w:p w14:paraId="7D262452" w14:textId="110BE504"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A3N4</w:t>
            </w:r>
          </w:p>
        </w:tc>
        <w:tc>
          <w:tcPr>
            <w:tcW w:w="1386" w:type="dxa"/>
          </w:tcPr>
          <w:p w14:paraId="3B4C4783" w14:textId="7BCCCE17"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3</w:t>
            </w:r>
          </w:p>
        </w:tc>
        <w:tc>
          <w:tcPr>
            <w:tcW w:w="1651" w:type="dxa"/>
          </w:tcPr>
          <w:p w14:paraId="786051D1" w14:textId="317F84CF"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4:1</w:t>
            </w:r>
          </w:p>
        </w:tc>
      </w:tr>
      <w:tr w:rsidR="00DA2489" w14:paraId="524A4B06" w14:textId="77777777" w:rsidTr="00DA2489">
        <w:tc>
          <w:tcPr>
            <w:tcW w:w="1161" w:type="dxa"/>
          </w:tcPr>
          <w:p w14:paraId="194BEEC6" w14:textId="5E696557"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A5N4</w:t>
            </w:r>
          </w:p>
        </w:tc>
        <w:tc>
          <w:tcPr>
            <w:tcW w:w="1386" w:type="dxa"/>
          </w:tcPr>
          <w:p w14:paraId="1113EA50" w14:textId="7B0B3200"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5</w:t>
            </w:r>
          </w:p>
        </w:tc>
        <w:tc>
          <w:tcPr>
            <w:tcW w:w="1651" w:type="dxa"/>
          </w:tcPr>
          <w:p w14:paraId="4410C45F" w14:textId="7CCD8136"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4:1</w:t>
            </w:r>
          </w:p>
        </w:tc>
      </w:tr>
      <w:tr w:rsidR="00DA2489" w14:paraId="56CCCA7F" w14:textId="77777777" w:rsidTr="00DA2489">
        <w:tc>
          <w:tcPr>
            <w:tcW w:w="1161" w:type="dxa"/>
          </w:tcPr>
          <w:p w14:paraId="072D0F35" w14:textId="30A593E9"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A3N6</w:t>
            </w:r>
          </w:p>
        </w:tc>
        <w:tc>
          <w:tcPr>
            <w:tcW w:w="1386" w:type="dxa"/>
          </w:tcPr>
          <w:p w14:paraId="66AD188D" w14:textId="778A2EB2"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3</w:t>
            </w:r>
          </w:p>
        </w:tc>
        <w:tc>
          <w:tcPr>
            <w:tcW w:w="1651" w:type="dxa"/>
          </w:tcPr>
          <w:p w14:paraId="1993D12F" w14:textId="5F82B20B"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6:1</w:t>
            </w:r>
          </w:p>
        </w:tc>
      </w:tr>
      <w:tr w:rsidR="00DA2489" w14:paraId="7FE10469" w14:textId="77777777" w:rsidTr="00DA2489">
        <w:tc>
          <w:tcPr>
            <w:tcW w:w="1161" w:type="dxa"/>
          </w:tcPr>
          <w:p w14:paraId="652CB0F7" w14:textId="30D242F7"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A3N8</w:t>
            </w:r>
          </w:p>
        </w:tc>
        <w:tc>
          <w:tcPr>
            <w:tcW w:w="1386" w:type="dxa"/>
          </w:tcPr>
          <w:p w14:paraId="7E8DDF8C" w14:textId="0B2E56E2"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3</w:t>
            </w:r>
          </w:p>
        </w:tc>
        <w:tc>
          <w:tcPr>
            <w:tcW w:w="1651" w:type="dxa"/>
          </w:tcPr>
          <w:p w14:paraId="23C60CAD" w14:textId="40C0D26B" w:rsidR="00DA2489" w:rsidRDefault="00DA2489" w:rsidP="00DA2489">
            <w:pPr>
              <w:ind w:leftChars="0" w:left="0" w:firstLineChars="0" w:firstLine="0"/>
              <w:jc w:val="center"/>
              <w:rPr>
                <w:rFonts w:ascii="Arial" w:eastAsia="Arial" w:hAnsi="Arial" w:cs="Arial"/>
                <w:sz w:val="20"/>
                <w:szCs w:val="20"/>
              </w:rPr>
            </w:pPr>
            <w:r>
              <w:rPr>
                <w:rFonts w:ascii="Arial" w:eastAsia="Arial" w:hAnsi="Arial" w:cs="Arial"/>
                <w:sz w:val="20"/>
                <w:szCs w:val="20"/>
              </w:rPr>
              <w:t>8:1</w:t>
            </w:r>
          </w:p>
        </w:tc>
      </w:tr>
    </w:tbl>
    <w:p w14:paraId="6385A8F8" w14:textId="77777777" w:rsidR="00DA2489" w:rsidRDefault="00DA2489" w:rsidP="00DA2489">
      <w:pPr>
        <w:spacing w:after="0" w:line="240" w:lineRule="auto"/>
        <w:ind w:left="0" w:hanging="2"/>
        <w:jc w:val="center"/>
        <w:rPr>
          <w:rFonts w:ascii="Arial" w:eastAsia="Arial" w:hAnsi="Arial" w:cs="Arial"/>
          <w:sz w:val="20"/>
          <w:szCs w:val="20"/>
        </w:rPr>
      </w:pPr>
    </w:p>
    <w:p w14:paraId="63AAEA1B" w14:textId="77777777" w:rsidR="0002676E"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Material</w:t>
      </w:r>
    </w:p>
    <w:p w14:paraId="2C94A0AE" w14:textId="77777777" w:rsidR="00BE72E9" w:rsidRPr="00BE72E9" w:rsidRDefault="00BE72E9" w:rsidP="00BE72E9">
      <w:pPr>
        <w:spacing w:after="0" w:line="240" w:lineRule="auto"/>
        <w:ind w:leftChars="0" w:left="0" w:firstLineChars="0" w:firstLine="720"/>
        <w:jc w:val="both"/>
        <w:rPr>
          <w:rFonts w:ascii="Arial" w:eastAsia="Arial" w:hAnsi="Arial" w:cs="Arial"/>
          <w:sz w:val="20"/>
          <w:szCs w:val="20"/>
        </w:rPr>
      </w:pPr>
      <w:r w:rsidRPr="00BE72E9">
        <w:rPr>
          <w:rFonts w:ascii="Arial" w:eastAsia="Arial" w:hAnsi="Arial" w:cs="Arial"/>
          <w:sz w:val="20"/>
          <w:szCs w:val="20"/>
        </w:rPr>
        <w:t xml:space="preserve">PCL CAPA-6800 (Mw = 80,000, density = 1.14 g/cm3) from petroshop, Hydroxyapatite (HA) with particle size 10×200 nm from sigma-aldrich, Sodium chloride from Merck, and 3-aminotriethoxysilane (APTES) from Guangzhou Double Peach Fine Chemical Co., Ltd. </w:t>
      </w:r>
    </w:p>
    <w:p w14:paraId="5CE4F452" w14:textId="77777777" w:rsidR="00BE72E9" w:rsidRPr="00BE72E9" w:rsidRDefault="00BE72E9" w:rsidP="00BE72E9">
      <w:pPr>
        <w:spacing w:after="0" w:line="240" w:lineRule="auto"/>
        <w:ind w:leftChars="0" w:left="0" w:firstLineChars="0" w:firstLine="720"/>
        <w:jc w:val="both"/>
        <w:rPr>
          <w:rFonts w:ascii="Arial" w:eastAsia="Arial" w:hAnsi="Arial" w:cs="Arial"/>
          <w:sz w:val="20"/>
          <w:szCs w:val="20"/>
        </w:rPr>
      </w:pPr>
      <w:r w:rsidRPr="00BE72E9">
        <w:rPr>
          <w:rFonts w:ascii="Arial" w:eastAsia="Arial" w:hAnsi="Arial" w:cs="Arial"/>
          <w:sz w:val="20"/>
          <w:szCs w:val="20"/>
        </w:rPr>
        <w:t xml:space="preserve">FTIR test was performed using the Thermo Scientific Nicolet IS10 instrument with a wavelength of 400-4000 cm-1. Digital microscope (merek) dengan perbesaran 50-500x. Tensile and compressive test using the Universal Testing Machine Hung ta HT 2402 Seri 4035 and the ASTM D638 and ASTM D5024-95 standard was </w:t>
      </w:r>
      <w:r w:rsidRPr="00BE72E9">
        <w:rPr>
          <w:rFonts w:ascii="Arial" w:eastAsia="Arial" w:hAnsi="Arial" w:cs="Arial"/>
          <w:sz w:val="20"/>
          <w:szCs w:val="20"/>
        </w:rPr>
        <w:t xml:space="preserve">used for composite materials with the speed 2 mm/min. </w:t>
      </w:r>
    </w:p>
    <w:p w14:paraId="37B075A6" w14:textId="621A1E4A" w:rsidR="00426CF7" w:rsidRDefault="00BE72E9" w:rsidP="00426CF7">
      <w:pPr>
        <w:spacing w:after="0" w:line="240" w:lineRule="auto"/>
        <w:ind w:leftChars="0" w:left="0" w:firstLineChars="0" w:firstLine="720"/>
        <w:jc w:val="both"/>
        <w:rPr>
          <w:rFonts w:ascii="Arial" w:eastAsia="Arial" w:hAnsi="Arial" w:cs="Arial"/>
          <w:sz w:val="20"/>
          <w:szCs w:val="20"/>
        </w:rPr>
      </w:pPr>
      <w:r w:rsidRPr="00BE72E9">
        <w:rPr>
          <w:rFonts w:ascii="Arial" w:eastAsia="Arial" w:hAnsi="Arial" w:cs="Arial"/>
          <w:sz w:val="20"/>
          <w:szCs w:val="20"/>
        </w:rPr>
        <w:t>To determine the 3D scaffolds degradation rate, an in vitro Hydrolysis Degradation test was conducted. It was performed by immersing the specimen in Phosphate Buffer Solution (PBS) with the same temperature as the body (37</w:t>
      </w:r>
      <w:r w:rsidRPr="00ED1DA0">
        <w:rPr>
          <w:rFonts w:ascii="Arial" w:eastAsia="Arial" w:hAnsi="Arial" w:cs="Arial"/>
          <w:sz w:val="20"/>
          <w:szCs w:val="20"/>
          <w:vertAlign w:val="superscript"/>
        </w:rPr>
        <w:t>o</w:t>
      </w:r>
      <w:r w:rsidRPr="00BE72E9">
        <w:rPr>
          <w:rFonts w:ascii="Arial" w:eastAsia="Arial" w:hAnsi="Arial" w:cs="Arial"/>
          <w:sz w:val="20"/>
          <w:szCs w:val="20"/>
        </w:rPr>
        <w:t>C). The samples were weighed before immersion and 5, 10, and 15 days after. Finally, the following formula</w:t>
      </w:r>
      <w:r w:rsidR="003B56AF">
        <w:rPr>
          <w:rFonts w:ascii="Arial" w:eastAsia="Arial" w:hAnsi="Arial" w:cs="Arial"/>
          <w:sz w:val="20"/>
          <w:szCs w:val="20"/>
        </w:rPr>
        <w:t xml:space="preserve"> (1)</w:t>
      </w:r>
      <w:r w:rsidRPr="00BE72E9">
        <w:rPr>
          <w:rFonts w:ascii="Arial" w:eastAsia="Arial" w:hAnsi="Arial" w:cs="Arial"/>
          <w:sz w:val="20"/>
          <w:szCs w:val="20"/>
        </w:rPr>
        <w:t xml:space="preserve"> is used to measure weight loss:</w:t>
      </w:r>
    </w:p>
    <w:tbl>
      <w:tblPr>
        <w:tblW w:w="4610" w:type="dxa"/>
        <w:tblInd w:w="-108" w:type="dxa"/>
        <w:tblLayout w:type="fixed"/>
        <w:tblLook w:val="0000" w:firstRow="0" w:lastRow="0" w:firstColumn="0" w:lastColumn="0" w:noHBand="0" w:noVBand="0"/>
      </w:tblPr>
      <w:tblGrid>
        <w:gridCol w:w="3369"/>
        <w:gridCol w:w="1241"/>
      </w:tblGrid>
      <w:tr w:rsidR="008A2700" w14:paraId="4F95F332" w14:textId="77777777" w:rsidTr="008A2700">
        <w:tc>
          <w:tcPr>
            <w:tcW w:w="3369" w:type="dxa"/>
          </w:tcPr>
          <w:p w14:paraId="40FCCC8A" w14:textId="46ACEF1C" w:rsidR="008A2700" w:rsidRPr="008A2700" w:rsidRDefault="008A2700" w:rsidP="009A57D6">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m:oMathPara>
              <m:oMathParaPr>
                <m:jc m:val="left"/>
              </m:oMathParaPr>
              <m:oMath>
                <m:r>
                  <w:rPr>
                    <w:rFonts w:ascii="Cambria Math" w:hAnsi="Cambria Math" w:cstheme="minorBidi"/>
                    <w:sz w:val="20"/>
                    <w:szCs w:val="20"/>
                    <w:lang w:val="zh-CN"/>
                  </w:rPr>
                  <m:t>W=</m:t>
                </m:r>
                <m:d>
                  <m:dPr>
                    <m:ctrlPr>
                      <w:rPr>
                        <w:rFonts w:ascii="Cambria Math" w:hAnsi="Cambria Math" w:cstheme="minorBidi"/>
                        <w:i/>
                        <w:sz w:val="20"/>
                        <w:szCs w:val="20"/>
                        <w:lang w:val="zh-CN"/>
                      </w:rPr>
                    </m:ctrlPr>
                  </m:dPr>
                  <m:e>
                    <m:f>
                      <m:fPr>
                        <m:ctrlPr>
                          <w:rPr>
                            <w:rFonts w:ascii="Cambria Math" w:hAnsi="Cambria Math" w:cstheme="minorBidi"/>
                            <w:i/>
                            <w:sz w:val="20"/>
                            <w:szCs w:val="20"/>
                            <w:lang w:val="zh-CN"/>
                          </w:rPr>
                        </m:ctrlPr>
                      </m:fPr>
                      <m:num>
                        <m:r>
                          <w:rPr>
                            <w:rFonts w:ascii="Cambria Math" w:hAnsi="Cambria Math" w:cstheme="minorBidi"/>
                            <w:sz w:val="20"/>
                            <w:szCs w:val="20"/>
                            <w:lang w:val="zh-CN"/>
                          </w:rPr>
                          <m:t>mb-ma</m:t>
                        </m:r>
                      </m:num>
                      <m:den>
                        <m:r>
                          <w:rPr>
                            <w:rFonts w:ascii="Cambria Math" w:hAnsi="Cambria Math" w:cstheme="minorBidi"/>
                            <w:sz w:val="20"/>
                            <w:szCs w:val="20"/>
                            <w:lang w:val="zh-CN"/>
                          </w:rPr>
                          <m:t>mb</m:t>
                        </m:r>
                      </m:den>
                    </m:f>
                  </m:e>
                </m:d>
                <m:r>
                  <w:rPr>
                    <w:rFonts w:ascii="Cambria Math" w:hAnsi="Cambria Math" w:cstheme="minorBidi"/>
                    <w:sz w:val="20"/>
                    <w:szCs w:val="20"/>
                    <w:lang w:val="zh-CN"/>
                  </w:rPr>
                  <m:t>x100 %</m:t>
                </m:r>
              </m:oMath>
            </m:oMathPara>
          </w:p>
        </w:tc>
        <w:tc>
          <w:tcPr>
            <w:tcW w:w="1241" w:type="dxa"/>
            <w:vAlign w:val="center"/>
          </w:tcPr>
          <w:p w14:paraId="3D3FB1D4" w14:textId="77777777" w:rsidR="008A2700" w:rsidRDefault="008A2700" w:rsidP="008A2700">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(1)</w:t>
            </w:r>
          </w:p>
        </w:tc>
      </w:tr>
    </w:tbl>
    <w:p w14:paraId="02D00B99" w14:textId="77777777" w:rsidR="008A2700" w:rsidRDefault="008A2700" w:rsidP="008A2700">
      <w:pPr>
        <w:spacing w:after="0" w:line="240" w:lineRule="auto"/>
        <w:ind w:leftChars="0" w:left="0" w:firstLineChars="0" w:firstLine="0"/>
        <w:jc w:val="both"/>
        <w:rPr>
          <w:rFonts w:ascii="Arial" w:eastAsia="Arial" w:hAnsi="Arial" w:cs="Arial"/>
          <w:sz w:val="20"/>
          <w:szCs w:val="20"/>
        </w:rPr>
      </w:pPr>
    </w:p>
    <w:p w14:paraId="7862DB2A" w14:textId="363041F1" w:rsidR="0002676E" w:rsidRDefault="00BE72E9" w:rsidP="00BE72E9">
      <w:pPr>
        <w:spacing w:after="0" w:line="240" w:lineRule="auto"/>
        <w:ind w:leftChars="0" w:left="0" w:firstLineChars="0" w:firstLine="720"/>
        <w:jc w:val="both"/>
        <w:rPr>
          <w:rFonts w:ascii="Arial" w:eastAsia="Arial" w:hAnsi="Arial" w:cs="Arial"/>
          <w:sz w:val="20"/>
          <w:szCs w:val="20"/>
        </w:rPr>
      </w:pPr>
      <w:r w:rsidRPr="00BE72E9">
        <w:rPr>
          <w:rFonts w:ascii="Arial" w:eastAsia="Arial" w:hAnsi="Arial" w:cs="Arial"/>
          <w:sz w:val="20"/>
          <w:szCs w:val="20"/>
        </w:rPr>
        <w:t>Where ma and mb are the measured mass after and before immersion, respectively. After the weight loss value is obtained, the lifetime of the sample is predicted using the linear regression method, and the test specimen is in the form of a cube cube with side length 1 cm.</w:t>
      </w:r>
      <w:r>
        <w:rPr>
          <w:rFonts w:ascii="Arial" w:eastAsia="Arial" w:hAnsi="Arial" w:cs="Arial"/>
          <w:sz w:val="20"/>
          <w:szCs w:val="20"/>
        </w:rPr>
        <w:t xml:space="preserve"> </w:t>
      </w:r>
    </w:p>
    <w:p w14:paraId="21296444" w14:textId="77777777" w:rsidR="0002676E" w:rsidRDefault="0002676E" w:rsidP="006743FC">
      <w:pPr>
        <w:spacing w:after="0" w:line="240" w:lineRule="auto"/>
        <w:ind w:leftChars="0" w:left="0" w:firstLineChars="0" w:firstLine="0"/>
        <w:jc w:val="both"/>
        <w:rPr>
          <w:rFonts w:ascii="Arial" w:eastAsia="Arial" w:hAnsi="Arial" w:cs="Arial"/>
          <w:sz w:val="20"/>
          <w:szCs w:val="20"/>
        </w:rPr>
      </w:pPr>
    </w:p>
    <w:p w14:paraId="277E678B" w14:textId="31453297" w:rsidR="002D766E" w:rsidRPr="00E0441D" w:rsidRDefault="00000000" w:rsidP="00E0441D">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37570E52" w14:textId="741F07F8" w:rsidR="002D766E" w:rsidRPr="008A23F9" w:rsidRDefault="002D766E" w:rsidP="002D766E">
      <w:pPr>
        <w:spacing w:after="0" w:line="240" w:lineRule="auto"/>
        <w:ind w:leftChars="0" w:left="0" w:firstLineChars="0" w:firstLine="720"/>
        <w:jc w:val="both"/>
        <w:rPr>
          <w:rFonts w:ascii="Arial" w:eastAsia="Arial" w:hAnsi="Arial" w:cs="Arial"/>
          <w:sz w:val="20"/>
          <w:szCs w:val="20"/>
        </w:rPr>
      </w:pPr>
      <w:r w:rsidRPr="008A23F9">
        <w:rPr>
          <w:rFonts w:ascii="Arial" w:eastAsia="Arial" w:hAnsi="Arial" w:cs="Arial"/>
          <w:sz w:val="20"/>
          <w:szCs w:val="20"/>
        </w:rPr>
        <w:t xml:space="preserve">Figure </w:t>
      </w:r>
      <w:r w:rsidR="00E0441D">
        <w:rPr>
          <w:rFonts w:ascii="Arial" w:eastAsia="Arial" w:hAnsi="Arial" w:cs="Arial"/>
          <w:sz w:val="20"/>
          <w:szCs w:val="20"/>
        </w:rPr>
        <w:t>2</w:t>
      </w:r>
      <w:r w:rsidRPr="008A23F9">
        <w:rPr>
          <w:rFonts w:ascii="Arial" w:eastAsia="Arial" w:hAnsi="Arial" w:cs="Arial"/>
          <w:sz w:val="20"/>
          <w:szCs w:val="20"/>
        </w:rPr>
        <w:t xml:space="preserve"> shows the results of the FTIR test on the HA/APTES modification, where several peaks belonging to the functional groups of HA and APTES are observed. There are 3 waves with strong intensities, namely at 1025.68 cm</w:t>
      </w:r>
      <w:r w:rsidRPr="00A47385">
        <w:rPr>
          <w:rFonts w:ascii="Arial" w:eastAsia="Arial" w:hAnsi="Arial" w:cs="Arial"/>
          <w:sz w:val="20"/>
          <w:szCs w:val="20"/>
          <w:vertAlign w:val="superscript"/>
        </w:rPr>
        <w:t>-1</w:t>
      </w:r>
      <w:r w:rsidRPr="008A23F9">
        <w:rPr>
          <w:rFonts w:ascii="Arial" w:eastAsia="Arial" w:hAnsi="Arial" w:cs="Arial"/>
          <w:sz w:val="20"/>
          <w:szCs w:val="20"/>
        </w:rPr>
        <w:t>, 599.53 cm</w:t>
      </w:r>
      <w:r w:rsidRPr="00A47385">
        <w:rPr>
          <w:rFonts w:ascii="Arial" w:eastAsia="Arial" w:hAnsi="Arial" w:cs="Arial"/>
          <w:sz w:val="20"/>
          <w:szCs w:val="20"/>
          <w:vertAlign w:val="superscript"/>
        </w:rPr>
        <w:t>-1</w:t>
      </w:r>
      <w:r w:rsidRPr="008A23F9">
        <w:rPr>
          <w:rFonts w:ascii="Arial" w:eastAsia="Arial" w:hAnsi="Arial" w:cs="Arial"/>
          <w:sz w:val="20"/>
          <w:szCs w:val="20"/>
        </w:rPr>
        <w:t>, and 561.74 cm</w:t>
      </w:r>
      <w:r w:rsidRPr="00A47385">
        <w:rPr>
          <w:rFonts w:ascii="Arial" w:eastAsia="Arial" w:hAnsi="Arial" w:cs="Arial"/>
          <w:sz w:val="20"/>
          <w:szCs w:val="20"/>
          <w:vertAlign w:val="superscript"/>
        </w:rPr>
        <w:t>-1</w:t>
      </w:r>
      <w:r w:rsidRPr="008A23F9">
        <w:rPr>
          <w:rFonts w:ascii="Arial" w:eastAsia="Arial" w:hAnsi="Arial" w:cs="Arial"/>
          <w:sz w:val="20"/>
          <w:szCs w:val="20"/>
        </w:rPr>
        <w:t>, which indicate the presence of P-O asymmetrical stretching and P-O symmetrical stretching bonds in the phosphate ion (PO43</w:t>
      </w:r>
      <w:r w:rsidRPr="00A47385">
        <w:rPr>
          <w:rFonts w:ascii="Arial" w:eastAsia="Arial" w:hAnsi="Arial" w:cs="Arial"/>
          <w:sz w:val="20"/>
          <w:szCs w:val="20"/>
          <w:vertAlign w:val="superscript"/>
        </w:rPr>
        <w:t>-</w:t>
      </w:r>
      <w:r w:rsidRPr="008A23F9">
        <w:rPr>
          <w:rFonts w:ascii="Arial" w:eastAsia="Arial" w:hAnsi="Arial" w:cs="Arial"/>
          <w:sz w:val="20"/>
          <w:szCs w:val="20"/>
        </w:rPr>
        <w:t>). The peak at 1419.49 cm</w:t>
      </w:r>
      <w:r w:rsidRPr="00A47385">
        <w:rPr>
          <w:rFonts w:ascii="Arial" w:eastAsia="Arial" w:hAnsi="Arial" w:cs="Arial"/>
          <w:sz w:val="20"/>
          <w:szCs w:val="20"/>
          <w:vertAlign w:val="superscript"/>
        </w:rPr>
        <w:t>-1</w:t>
      </w:r>
      <w:r w:rsidRPr="008A23F9">
        <w:rPr>
          <w:rFonts w:ascii="Arial" w:eastAsia="Arial" w:hAnsi="Arial" w:cs="Arial"/>
          <w:sz w:val="20"/>
          <w:szCs w:val="20"/>
        </w:rPr>
        <w:t xml:space="preserve"> shows the C=O asymmetrical stretching bond in the carbonate ion. (CO32-). The FTIR characterization results can confirm that hydroxyapatite [Ca</w:t>
      </w:r>
      <w:r w:rsidRPr="00A47385">
        <w:rPr>
          <w:rFonts w:ascii="Arial" w:eastAsia="Arial" w:hAnsi="Arial" w:cs="Arial"/>
          <w:sz w:val="20"/>
          <w:szCs w:val="20"/>
          <w:vertAlign w:val="subscript"/>
        </w:rPr>
        <w:t>10</w:t>
      </w:r>
      <w:r w:rsidRPr="008A23F9">
        <w:rPr>
          <w:rFonts w:ascii="Arial" w:eastAsia="Arial" w:hAnsi="Arial" w:cs="Arial"/>
          <w:sz w:val="20"/>
          <w:szCs w:val="20"/>
        </w:rPr>
        <w:t>(PO</w:t>
      </w:r>
      <w:r w:rsidRPr="00A47385">
        <w:rPr>
          <w:rFonts w:ascii="Arial" w:eastAsia="Arial" w:hAnsi="Arial" w:cs="Arial"/>
          <w:sz w:val="20"/>
          <w:szCs w:val="20"/>
          <w:vertAlign w:val="subscript"/>
        </w:rPr>
        <w:t>4</w:t>
      </w:r>
      <w:r w:rsidRPr="008A23F9">
        <w:rPr>
          <w:rFonts w:ascii="Arial" w:eastAsia="Arial" w:hAnsi="Arial" w:cs="Arial"/>
          <w:sz w:val="20"/>
          <w:szCs w:val="20"/>
        </w:rPr>
        <w:t>)</w:t>
      </w:r>
      <w:r w:rsidRPr="00A47385">
        <w:rPr>
          <w:rFonts w:ascii="Arial" w:eastAsia="Arial" w:hAnsi="Arial" w:cs="Arial"/>
          <w:sz w:val="20"/>
          <w:szCs w:val="20"/>
          <w:vertAlign w:val="subscript"/>
        </w:rPr>
        <w:t>6</w:t>
      </w:r>
      <w:r w:rsidRPr="008A23F9">
        <w:rPr>
          <w:rFonts w:ascii="Arial" w:eastAsia="Arial" w:hAnsi="Arial" w:cs="Arial"/>
          <w:sz w:val="20"/>
          <w:szCs w:val="20"/>
        </w:rPr>
        <w:t>(OH)</w:t>
      </w:r>
      <w:r w:rsidRPr="00A47385">
        <w:rPr>
          <w:rFonts w:ascii="Arial" w:eastAsia="Arial" w:hAnsi="Arial" w:cs="Arial"/>
          <w:sz w:val="20"/>
          <w:szCs w:val="20"/>
          <w:vertAlign w:val="subscript"/>
        </w:rPr>
        <w:t>2</w:t>
      </w:r>
      <w:r w:rsidRPr="008A23F9">
        <w:rPr>
          <w:rFonts w:ascii="Arial" w:eastAsia="Arial" w:hAnsi="Arial" w:cs="Arial"/>
          <w:sz w:val="20"/>
          <w:szCs w:val="20"/>
        </w:rPr>
        <w:t>] is present, although there are no OH bonds because the OH bonds are presumed to have formed siloxane bonds</w:t>
      </w:r>
      <w:r w:rsidR="00A47385">
        <w:rPr>
          <w:rFonts w:ascii="Arial" w:eastAsia="Arial" w:hAnsi="Arial" w:cs="Arial"/>
          <w:sz w:val="20"/>
          <w:szCs w:val="20"/>
        </w:rPr>
        <w:t xml:space="preserve"> </w:t>
      </w:r>
      <w:r w:rsidR="00A47385">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{"citationItems":[{"id":"ITEM-1","itemData":{"DOI":"10.1016/j.carbpol.2017.01.100","ISSN":"01448617","PMID":"28325318","abstract":"In this study, three different types of scaffolds including a uniquely modified composite scaffold – namely chitosan (CTS), nano-hydroxyapatite/chitosan composite (CTS + nHAP), and amine group (NH2) modified nano-hydroxyapatite/chitosan composite (CTS + nHAP-NH2) scaffolds – were synthesized for bone tissue engineering (BTE) purposes. As results of the study, it was found that all scaffold types were biodegradable with CTS and CTS + nHAP scaffolds losing up to 15% of their initial weight, while the CTS + nHAP-NH2 scaffold showing 10% of weight loss after six weeks of lysozyme treatment. In addition, all three types of scaffolds were shown to be biocompatible, and amongst them CTS + nHAP-NH2 scaffolds supported the most cell proliferation in WST-1 assay and expressed the least and acceptable level of cytotoxicity in lactate dehydrogenase (LDH) test for human bone mesenchymal stem cells (hBM-MSCs). Finally, during osteoinductivity assessment, CTS + nHAP-NH2 nearly tripled initial alkaline phosphatase (ALP) activity when whereas both CTS and CTS + nHAP scaffolds only doubled. These results indicate that all synthesized scaffold types under investigation have certain potential to be used in bone tissue engineering approaches with CTS + nHAP-NH2 scaffold being the most promising and applicable one. In the future, we plan to intensify our studies on osteogenic differentiation on our scaffolds on a detailed molecular level and to include in vivo studies for pre-clinical purposes.","author":[{"dropping-particle":"","family":"Atak","given":"Besir Hakan","non-dropping-particle":"","parse-names":false,"suffix":""},{"dropping-particle":"","family":"Buyuk","given":"Berna","non-dropping-particle":"","parse-names":false,"suffix":""},{"dropping-particle":"","family":"Huysal","given":"Merve","non-dropping-particle":"","parse-names":false,"suffix":""},{"dropping-particle":"","family":"Isik","given":"Sevim","non-dropping-particle":"","parse-names":false,"suffix":""},{"dropping-particle":"","family":"Senel","given":"Mehmet","non-dropping-particle":"","parse-names":false,"suffix":""},{"dropping-particle":"","family":"Metzger","given":"Wolfgang","non-dropping-particle":"","parse-names":false,"suffix":""},{"dropping-particle":"","family":"Cetin","given":"Guven","non-dropping-particle":"","parse-names":false,"suffix":""}],"container-title":"Carbohydrate Polymers","id":"ITEM-1","issued":{"date-parts":[["2017"]]},"page":"200-213","publisher":"Elsevier Ltd.","title":"Preparation and characterization of amine functional nano-hydroxyapatite/chitosan bionanocomposite for bone tissue engineering applications","type":"article-journal","volume":"164"},"uris":["http://www.mendeley.com/documents/?uuid=c1729945-6a11-48b5-8f25-5fbb8c760e04","http://www.mendeley.com/documents/?uuid=e0caef54-48bf-4885-99c9-8cda3091c493"]}],"mendeley":{"formattedCitation":"[21]","plainTextFormattedCitation":"[21]","previouslyFormattedCitation":"[21]"},"properties":{"noteIndex":0},"schema":"https://github.com/citation-style-language/schema/raw/master/csl-citation.json"}</w:instrText>
      </w:r>
      <w:r w:rsidR="00A47385">
        <w:rPr>
          <w:rFonts w:ascii="Arial" w:eastAsia="Arial" w:hAnsi="Arial" w:cs="Arial"/>
          <w:sz w:val="20"/>
          <w:szCs w:val="20"/>
        </w:rPr>
        <w:fldChar w:fldCharType="separate"/>
      </w:r>
      <w:r w:rsidR="00A47385" w:rsidRPr="00A47385">
        <w:rPr>
          <w:rFonts w:ascii="Arial" w:eastAsia="Arial" w:hAnsi="Arial" w:cs="Arial"/>
          <w:noProof/>
          <w:sz w:val="20"/>
          <w:szCs w:val="20"/>
        </w:rPr>
        <w:t>[21]</w:t>
      </w:r>
      <w:r w:rsidR="00A47385">
        <w:rPr>
          <w:rFonts w:ascii="Arial" w:eastAsia="Arial" w:hAnsi="Arial" w:cs="Arial"/>
          <w:sz w:val="20"/>
          <w:szCs w:val="20"/>
        </w:rPr>
        <w:fldChar w:fldCharType="end"/>
      </w:r>
      <w:r w:rsidRPr="008A23F9">
        <w:rPr>
          <w:rFonts w:ascii="Arial" w:eastAsia="Arial" w:hAnsi="Arial" w:cs="Arial"/>
          <w:sz w:val="20"/>
          <w:szCs w:val="20"/>
        </w:rPr>
        <w:t>.</w:t>
      </w:r>
    </w:p>
    <w:p w14:paraId="6C138C08" w14:textId="7CDB464A" w:rsidR="002D766E" w:rsidRDefault="002D766E" w:rsidP="002D766E">
      <w:pPr>
        <w:spacing w:after="0" w:line="240" w:lineRule="auto"/>
        <w:ind w:left="0" w:hanging="2"/>
        <w:jc w:val="both"/>
        <w:rPr>
          <w:rFonts w:ascii="Arial" w:eastAsia="Arial" w:hAnsi="Arial" w:cs="Arial"/>
          <w:sz w:val="20"/>
          <w:szCs w:val="20"/>
        </w:rPr>
      </w:pPr>
      <w:r w:rsidRPr="008A23F9">
        <w:rPr>
          <w:rFonts w:ascii="Arial" w:eastAsia="Arial" w:hAnsi="Arial" w:cs="Arial"/>
          <w:sz w:val="20"/>
          <w:szCs w:val="20"/>
        </w:rPr>
        <w:t>At the wave peak of 470.62 cm</w:t>
      </w:r>
      <w:r w:rsidRPr="00393335">
        <w:rPr>
          <w:rFonts w:ascii="Arial" w:eastAsia="Arial" w:hAnsi="Arial" w:cs="Arial"/>
          <w:sz w:val="20"/>
          <w:szCs w:val="20"/>
          <w:vertAlign w:val="superscript"/>
        </w:rPr>
        <w:t>-1</w:t>
      </w:r>
      <w:r w:rsidRPr="008A23F9">
        <w:rPr>
          <w:rFonts w:ascii="Arial" w:eastAsia="Arial" w:hAnsi="Arial" w:cs="Arial"/>
          <w:sz w:val="20"/>
          <w:szCs w:val="20"/>
        </w:rPr>
        <w:t>, there is a Si-O-Si bending siloxane bond, at 1654.594 cm</w:t>
      </w:r>
      <w:r w:rsidRPr="00393335">
        <w:rPr>
          <w:rFonts w:ascii="Arial" w:eastAsia="Arial" w:hAnsi="Arial" w:cs="Arial"/>
          <w:sz w:val="20"/>
          <w:szCs w:val="20"/>
          <w:vertAlign w:val="superscript"/>
        </w:rPr>
        <w:t>-1</w:t>
      </w:r>
      <w:r w:rsidRPr="008A23F9">
        <w:rPr>
          <w:rFonts w:ascii="Arial" w:eastAsia="Arial" w:hAnsi="Arial" w:cs="Arial"/>
          <w:sz w:val="20"/>
          <w:szCs w:val="20"/>
        </w:rPr>
        <w:t xml:space="preserve"> and 1510.053 cm</w:t>
      </w:r>
      <w:r w:rsidRPr="00393335">
        <w:rPr>
          <w:rFonts w:ascii="Arial" w:eastAsia="Arial" w:hAnsi="Arial" w:cs="Arial"/>
          <w:sz w:val="20"/>
          <w:szCs w:val="20"/>
          <w:vertAlign w:val="superscript"/>
        </w:rPr>
        <w:t>-1</w:t>
      </w:r>
      <w:r w:rsidRPr="008A23F9">
        <w:rPr>
          <w:rFonts w:ascii="Arial" w:eastAsia="Arial" w:hAnsi="Arial" w:cs="Arial"/>
          <w:sz w:val="20"/>
          <w:szCs w:val="20"/>
        </w:rPr>
        <w:t>, there are N-H deformation and bending bonds, at 790.7048 cm</w:t>
      </w:r>
      <w:r w:rsidRPr="00897AE9">
        <w:rPr>
          <w:rFonts w:ascii="Arial" w:eastAsia="Arial" w:hAnsi="Arial" w:cs="Arial"/>
          <w:sz w:val="20"/>
          <w:szCs w:val="20"/>
          <w:vertAlign w:val="superscript"/>
        </w:rPr>
        <w:t>-1</w:t>
      </w:r>
      <w:r w:rsidRPr="008A23F9">
        <w:rPr>
          <w:rFonts w:ascii="Arial" w:eastAsia="Arial" w:hAnsi="Arial" w:cs="Arial"/>
          <w:sz w:val="20"/>
          <w:szCs w:val="20"/>
        </w:rPr>
        <w:t>, there is a Si-O bending bond, and at 873.04 cm</w:t>
      </w:r>
      <w:r w:rsidRPr="00897AE9">
        <w:rPr>
          <w:rFonts w:ascii="Arial" w:eastAsia="Arial" w:hAnsi="Arial" w:cs="Arial"/>
          <w:sz w:val="20"/>
          <w:szCs w:val="20"/>
          <w:vertAlign w:val="superscript"/>
        </w:rPr>
        <w:t>-1</w:t>
      </w:r>
      <w:r w:rsidRPr="008A23F9">
        <w:rPr>
          <w:rFonts w:ascii="Arial" w:eastAsia="Arial" w:hAnsi="Arial" w:cs="Arial"/>
          <w:sz w:val="20"/>
          <w:szCs w:val="20"/>
        </w:rPr>
        <w:t>, there is a Si-N bond indicating that silanol forms a siloxane bond with the NH2 group located on the surface of hydroxyapatite</w:t>
      </w:r>
      <w:r w:rsidR="00897AE9">
        <w:rPr>
          <w:rFonts w:ascii="Arial" w:eastAsia="Arial" w:hAnsi="Arial" w:cs="Arial"/>
          <w:sz w:val="20"/>
          <w:szCs w:val="20"/>
        </w:rPr>
        <w:t xml:space="preserve"> </w:t>
      </w:r>
      <w:r w:rsidR="00112E22">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{"citationItems":[{"id":"ITEM-1","itemData":{"DOI":"10.1021/acs.langmuir.9b01507","ISSN":"15205827","PMID":"31192609","abstract":"Functional surfaces with superhydrophobic and superoleophobic properties are of great interest in many applications. However, such surfaces are generally difficult to obtain. Although a few superamphiphobic surfaces have been developed recently, a challenge still remains in preparing such a surface with good durability which is a critical issue in practical application. In this study, we demonstrate a facile method for preparing durable superhydrophobic and highly oleophobic surfaces using two kinds of nanoparticles. Epoxy resin is used as the adhesive material to improve the wear resistance of the surfaces. ZnO nanoparticles and SiO2 nanoparticles are used to create high surface roughness. The prepared surfaces exhibit excellent superhydrophobicity and high oleophobicity once the nanoparticles are treated with 1H,1H,2H,2H-perfluorodecyltriethoxydsilane (FAS-17). Water and ethylene glycol contact angles of the coatings can reach up to 172 ± 2° and 157 ± 2°, respectively. After undergoing strong adhesive tape peeling and mechanical abrasion, the coatings still maintain good amphiphobicity.","author":[{"dropping-particle":"","family":"Peng","given":"Junyan","non-dropping-particle":"","parse-names":false,"suffix":""},{"dropping-particle":"","family":"Zhao","given":"Xiujian","non-dropping-particle":"","parse-names":false,"suffix":""},{"dropping-particle":"","family":"Wang","given":"Wufeng","non-dropping-particle":"","parse-names":false,"suffix":""},{"dropping-particle":"","family":"Gong","given":"Xiao","non-dropping-particle":"","parse-names":false,"suffix":""}],"container-title":"Langmuir","genre":"research-article","id":"ITEM-1","issued":{"date-parts":[["2019"]]},"page":"8404-8412","publisher":"American Chemical Society","title":"Durable Self-Cleaning Surfaces with Superhydrophobic and Highly Oleophobic Properties","type":"article-journal","volume":"35"},"uris":["http://www.mendeley.com/documents/?uuid=0a077d4f-8a3b-4ee8-831d-b83d0f8142be","http://www.mendeley.com/documents/?uuid=993df05f-92d2-4d85-ac28-7c8894ac8217"]},{"id":"ITEM-2","itemData":{"DOI":"10.1016/j.sajb.2013.01.003","ISSN":"02546299","abstract":"The formation of silver nanoparticles by the reduction of aqueous silver metal ions during exposure to both fresh and dry seaweed extracts of Codium capitatum is reported. The silver nanoparticles obtained were characterized using UV-visible spectroscopy with characteristic absorption peaks at 422 and 425. nm. The color intensity at 422. nm increased for the duration of the incubation period. Using energy dispersive X-ray spectrometry (EDX) analysis, a distinct peak of silver was confirmed. Silver concentrations of 63.7% in the fresh and 56.0% in the dried seaweed were detected. The Fourier Transform Infrared (FTIR) spectra indicated the involvement of amine, peptide and sulfate groups in the C. capitatum extract for bioreduction and stabilization of AgNP. No synthetic reagents were used in this investigation, and thus it is an environmentally safe method with potential for biomedical and agriculture applications. © 2013 South African Association of Botanists.","author":[{"dropping-particle":"","family":"Kannan","given":"R. R.R.","non-dropping-particle":"","parse-names":false,"suffix":""},{"dropping-particle":"","family":"Stirk","given":"W. A.","non-dropping-particle":"","parse-names":false,"suffix":""},{"dropping-particle":"","family":"Staden","given":"J.","non-dropping-particle":"Van","parse-names":false,"suffix":""}],"container-title":"South African Journal of Botany","id":"ITEM-2","issued":{"date-parts":[["2013"]]},"page":"1-4","publisher":"South African Association of Botanists","title":"Synthesis of silver nanoparticles using the seaweed Codium capitatum P.C. Silva (Chlorophyceae)","type":"article-journal","volume":"86"},"uris":["http://www.mendeley.com/documents/?uuid=371e105f-34c6-4b43-b076-56c02c5f854c","http://www.mendeley.com/documents/?uuid=7f9bf19e-711c-494e-b8f9-b1a31541f13d"]}],"mendeley":{"formattedCitation":"[22], [23]","plainTextFormattedCitation":"[22], [23]","previouslyFormattedCitation":"[22], [23]"},"properties":{"noteIndex":0},"schema":"https://github.com/citation-style-language/schema/raw/master/csl-citation.json"}</w:instrText>
      </w:r>
      <w:r w:rsidR="00112E22">
        <w:rPr>
          <w:rFonts w:ascii="Arial" w:eastAsia="Arial" w:hAnsi="Arial" w:cs="Arial"/>
          <w:sz w:val="20"/>
          <w:szCs w:val="20"/>
        </w:rPr>
        <w:fldChar w:fldCharType="separate"/>
      </w:r>
      <w:r w:rsidR="00112E22" w:rsidRPr="00112E22">
        <w:rPr>
          <w:rFonts w:ascii="Arial" w:eastAsia="Arial" w:hAnsi="Arial" w:cs="Arial"/>
          <w:noProof/>
          <w:sz w:val="20"/>
          <w:szCs w:val="20"/>
        </w:rPr>
        <w:t>[22], [23]</w:t>
      </w:r>
      <w:r w:rsidR="00112E22">
        <w:rPr>
          <w:rFonts w:ascii="Arial" w:eastAsia="Arial" w:hAnsi="Arial" w:cs="Arial"/>
          <w:sz w:val="20"/>
          <w:szCs w:val="20"/>
        </w:rPr>
        <w:fldChar w:fldCharType="end"/>
      </w:r>
      <w:r w:rsidRPr="008A23F9">
        <w:rPr>
          <w:rFonts w:ascii="Arial" w:eastAsia="Arial" w:hAnsi="Arial" w:cs="Arial"/>
          <w:sz w:val="20"/>
          <w:szCs w:val="20"/>
        </w:rPr>
        <w:t>. Additionally, there is a possibility of overlap between the phosphate functional group and siloxane in the 1130-1000 cm</w:t>
      </w:r>
      <w:r w:rsidRPr="004D4ABF">
        <w:rPr>
          <w:rFonts w:ascii="Arial" w:eastAsia="Arial" w:hAnsi="Arial" w:cs="Arial"/>
          <w:sz w:val="20"/>
          <w:szCs w:val="20"/>
          <w:vertAlign w:val="superscript"/>
        </w:rPr>
        <w:t>-1</w:t>
      </w:r>
      <w:r w:rsidRPr="008A23F9">
        <w:rPr>
          <w:rFonts w:ascii="Arial" w:eastAsia="Arial" w:hAnsi="Arial" w:cs="Arial"/>
          <w:sz w:val="20"/>
          <w:szCs w:val="20"/>
        </w:rPr>
        <w:t xml:space="preserve"> region due to the strong intensity of the phosphate group in that region</w:t>
      </w:r>
      <w:r w:rsidR="00AF25EA">
        <w:rPr>
          <w:rFonts w:ascii="Arial" w:eastAsia="Arial" w:hAnsi="Arial" w:cs="Arial"/>
          <w:sz w:val="20"/>
          <w:szCs w:val="20"/>
        </w:rPr>
        <w:t xml:space="preserve"> </w:t>
      </w:r>
      <w:r w:rsidR="004D4ABF">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{"citationItems":[{"id":"ITEM-1","itemData":{"DOI":"10.1016/j.jmbbm.2015.09.033","ISSN":"18780180","PMID":"26479428","abstract":"To evaluate the physical and mechanical properties of an experimental bis-GMA-based resin composite incorporated with non-silanized and silanized nano-hydroxyapatite (nHAP) fillers. Experimental bis-GMA based resin composites samples which were reinforced with nHAP fillers were prepared. Filler particles were surface treated with a silane coupling agent. Five test groups were prepared: 1. Unfilled, 2. Reinforced with 10. wt% and 30. wt% non-silanized nHAP fillers, and 3. Reinforced with 10. wt% and 30. wt% silanized nHAP fillers. The samples were subjected to tests in dry condition and in deionized water, aged at 37. °C for 30 days. Prepared silanized and non-silanized nHAP were analyzed with Fourier Transform Infrared (FTIR) Spectroscopy and X-ray Photoelectron Spectroscopy (XPS). The micro-hardness and water sorption were evaluated. Data were analyzed by one-way ANOVA (. p&lt;0.05). The samples were characterized by FTIR Spectroscopy, Thermogravimetric Analysis and Differential Scanning Calorimetry. The surface morphology of sample surfaces was examined by Scanning Electron Microscope (SEM). The results showed that the water sorption for nHAP fillers reinforced resins was significantly lower than unfilled resins. Surface hardness for resins reinforced with silane treated fillers was superior to unfilled and untreated fillers resins. The resin matrix loaded with 30. wt% silanized-nHAP fillers would improve the physical and mechanical properties of a bis-GMA based resin.","author":[{"dropping-particle":"","family":"Lung","given":"Christie Ying Kei","non-dropping-particle":"","parse-names":false,"suffix":""},{"dropping-particle":"","family":"Sarfraz","given":"Zenab","non-dropping-particle":"","parse-names":false,"suffix":""},{"dropping-particle":"","family":"Habib","given":"Amir","non-dropping-particle":"","parse-names":false,"suffix":""},{"dropping-particle":"","family":"Khan","given":"Abdul Samad","non-dropping-particle":"","parse-names":false,"suffix":""},{"dropping-particle":"","family":"Matinlinna","given":"Jukka Pekka","non-dropping-particle":"","parse-names":false,"suffix":""}],"container-title":"Journal of the Mechanical Behavior of Biomedical Materials","id":"ITEM-1","issued":{"date-parts":[["2016"]]},"page":"283-294","publisher":"Elsevier","title":"Effect of silanization of hydroxyapatite fillers on physical and mechanical properties of a bis-GMA based resin composite","type":"article-journal","volume":"54"},"uris":["http://www.mendeley.com/documents/?uuid=60e8de6e-6b0a-4db6-a932-26f0dc390430","http://www.mendeley.com/documents/?uuid=01d3bf37-3f82-4be6-9101-7bb5539a1c7a"]}],"mendeley":{"formattedCitation":"[24]","plainTextFormattedCitation":"[24]","previouslyFormattedCitation":"[24]"},"properties":{"noteIndex":0},"schema":"https://github.com/citation-style-language/schema/raw/master/csl-citation.json"}</w:instrText>
      </w:r>
      <w:r w:rsidR="004D4ABF">
        <w:rPr>
          <w:rFonts w:ascii="Arial" w:eastAsia="Arial" w:hAnsi="Arial" w:cs="Arial"/>
          <w:sz w:val="20"/>
          <w:szCs w:val="20"/>
        </w:rPr>
        <w:fldChar w:fldCharType="separate"/>
      </w:r>
      <w:r w:rsidR="004D4ABF" w:rsidRPr="004D4ABF">
        <w:rPr>
          <w:rFonts w:ascii="Arial" w:eastAsia="Arial" w:hAnsi="Arial" w:cs="Arial"/>
          <w:noProof/>
          <w:sz w:val="20"/>
          <w:szCs w:val="20"/>
        </w:rPr>
        <w:t>[24]</w:t>
      </w:r>
      <w:r w:rsidR="004D4ABF">
        <w:rPr>
          <w:rFonts w:ascii="Arial" w:eastAsia="Arial" w:hAnsi="Arial" w:cs="Arial"/>
          <w:sz w:val="20"/>
          <w:szCs w:val="20"/>
        </w:rPr>
        <w:fldChar w:fldCharType="end"/>
      </w:r>
      <w:r w:rsidRPr="008A23F9">
        <w:rPr>
          <w:rFonts w:ascii="Arial" w:eastAsia="Arial" w:hAnsi="Arial" w:cs="Arial"/>
          <w:sz w:val="20"/>
          <w:szCs w:val="20"/>
        </w:rPr>
        <w:t>. The results of this test indicate that APTES successfully bonded with nano-hydroxyapatite, as evidenced by the presence of the NH</w:t>
      </w:r>
      <w:r w:rsidRPr="006F750E">
        <w:rPr>
          <w:rFonts w:ascii="Arial" w:eastAsia="Arial" w:hAnsi="Arial" w:cs="Arial"/>
          <w:sz w:val="20"/>
          <w:szCs w:val="20"/>
          <w:vertAlign w:val="subscript"/>
        </w:rPr>
        <w:t>2</w:t>
      </w:r>
      <w:r w:rsidRPr="008A23F9">
        <w:rPr>
          <w:rFonts w:ascii="Arial" w:eastAsia="Arial" w:hAnsi="Arial" w:cs="Arial"/>
          <w:sz w:val="20"/>
          <w:szCs w:val="20"/>
        </w:rPr>
        <w:t xml:space="preserve"> group that can bond with</w:t>
      </w:r>
      <w:r>
        <w:rPr>
          <w:rFonts w:ascii="Arial" w:eastAsia="Arial" w:hAnsi="Arial" w:cs="Arial"/>
          <w:sz w:val="20"/>
          <w:szCs w:val="20"/>
        </w:rPr>
        <w:t xml:space="preserve"> </w:t>
      </w:r>
      <w:r w:rsidRPr="008A23F9">
        <w:rPr>
          <w:rFonts w:ascii="Arial" w:eastAsia="Arial" w:hAnsi="Arial" w:cs="Arial"/>
          <w:sz w:val="20"/>
          <w:szCs w:val="20"/>
        </w:rPr>
        <w:t>PCL.</w:t>
      </w:r>
    </w:p>
    <w:p w14:paraId="70D12ABB" w14:textId="01210D9A" w:rsidR="008D5744" w:rsidRDefault="008D5744" w:rsidP="002D766E">
      <w:pPr>
        <w:spacing w:after="0" w:line="240" w:lineRule="auto"/>
        <w:ind w:left="0" w:hanging="2"/>
        <w:jc w:val="both"/>
        <w:rPr>
          <w:rFonts w:ascii="Arial" w:eastAsia="Arial" w:hAnsi="Arial" w:cs="Arial"/>
          <w:sz w:val="20"/>
          <w:szCs w:val="20"/>
        </w:rPr>
      </w:pPr>
      <w:r>
        <w:rPr>
          <w:noProof/>
        </w:rPr>
        <w:lastRenderedPageBreak/>
        <w:drawing>
          <wp:inline distT="0" distB="0" distL="0" distR="0" wp14:anchorId="0A1E4A4E" wp14:editId="6969CA29">
            <wp:extent cx="2651760" cy="2028873"/>
            <wp:effectExtent l="0" t="0" r="0" b="9525"/>
            <wp:docPr id="26" name="Picture 26" descr="A graph of a wav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aph of a wave numb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760" cy="2028873"/>
                    </a:xfrm>
                    <a:prstGeom prst="rect">
                      <a:avLst/>
                    </a:prstGeom>
                    <a:noFill/>
                    <a:ln>
                      <a:noFill/>
                    </a:ln>
                  </pic:spPr>
                </pic:pic>
              </a:graphicData>
            </a:graphic>
          </wp:inline>
        </w:drawing>
      </w:r>
    </w:p>
    <w:p w14:paraId="63F71108" w14:textId="42643856" w:rsidR="008D5744" w:rsidRDefault="008D5744" w:rsidP="008D5744">
      <w:pPr>
        <w:spacing w:after="0" w:line="240" w:lineRule="auto"/>
        <w:ind w:left="0" w:hanging="2"/>
        <w:jc w:val="center"/>
        <w:rPr>
          <w:rFonts w:ascii="Arial" w:eastAsia="Arial" w:hAnsi="Arial" w:cs="Arial"/>
          <w:sz w:val="20"/>
          <w:szCs w:val="20"/>
        </w:rPr>
      </w:pPr>
      <w:r w:rsidRPr="008D5744">
        <w:rPr>
          <w:rFonts w:ascii="Arial" w:eastAsia="Arial" w:hAnsi="Arial" w:cs="Arial"/>
          <w:sz w:val="20"/>
          <w:szCs w:val="20"/>
        </w:rPr>
        <w:t>Fig</w:t>
      </w:r>
      <w:r w:rsidR="0012183F">
        <w:rPr>
          <w:rFonts w:ascii="Arial" w:eastAsia="Arial" w:hAnsi="Arial" w:cs="Arial"/>
          <w:sz w:val="20"/>
          <w:szCs w:val="20"/>
        </w:rPr>
        <w:t>ure</w:t>
      </w:r>
      <w:r w:rsidRPr="008D5744">
        <w:rPr>
          <w:rFonts w:ascii="Arial" w:eastAsia="Arial" w:hAnsi="Arial" w:cs="Arial"/>
          <w:sz w:val="20"/>
          <w:szCs w:val="20"/>
        </w:rPr>
        <w:t xml:space="preserve">. </w:t>
      </w:r>
      <w:r w:rsidR="00E0441D">
        <w:rPr>
          <w:rFonts w:ascii="Arial" w:eastAsia="Arial" w:hAnsi="Arial" w:cs="Arial"/>
          <w:sz w:val="20"/>
          <w:szCs w:val="20"/>
        </w:rPr>
        <w:t>2</w:t>
      </w:r>
      <w:r w:rsidRPr="008D5744">
        <w:rPr>
          <w:rFonts w:ascii="Arial" w:eastAsia="Arial" w:hAnsi="Arial" w:cs="Arial"/>
          <w:sz w:val="20"/>
          <w:szCs w:val="20"/>
        </w:rPr>
        <w:t>. Fourier transforms infrared spectroscopy (FTIR) spectra of HA/APTES</w:t>
      </w:r>
    </w:p>
    <w:p w14:paraId="0631A313" w14:textId="77777777" w:rsidR="008A23F9" w:rsidRDefault="008A23F9" w:rsidP="008D5744">
      <w:pPr>
        <w:spacing w:after="0" w:line="240" w:lineRule="auto"/>
        <w:ind w:left="0" w:hanging="2"/>
        <w:jc w:val="center"/>
        <w:rPr>
          <w:rFonts w:ascii="Arial" w:eastAsia="Arial" w:hAnsi="Arial" w:cs="Arial"/>
          <w:sz w:val="20"/>
          <w:szCs w:val="20"/>
        </w:rPr>
      </w:pPr>
    </w:p>
    <w:p w14:paraId="119AB452" w14:textId="60210D8F" w:rsidR="0002676E" w:rsidRDefault="002D766E" w:rsidP="002D79E0">
      <w:pPr>
        <w:spacing w:after="0" w:line="240" w:lineRule="auto"/>
        <w:ind w:leftChars="0" w:left="0" w:firstLineChars="0" w:firstLine="720"/>
        <w:jc w:val="both"/>
        <w:rPr>
          <w:rFonts w:ascii="Arial" w:eastAsia="Arial" w:hAnsi="Arial" w:cs="Arial"/>
          <w:sz w:val="20"/>
          <w:szCs w:val="20"/>
        </w:rPr>
      </w:pPr>
      <w:r w:rsidRPr="007846B2">
        <w:rPr>
          <w:rFonts w:ascii="Arial" w:eastAsia="Arial" w:hAnsi="Arial" w:cs="Arial"/>
          <w:sz w:val="20"/>
          <w:szCs w:val="20"/>
        </w:rPr>
        <w:t xml:space="preserve">From Figure </w:t>
      </w:r>
      <w:r w:rsidR="0013161A">
        <w:rPr>
          <w:rFonts w:ascii="Arial" w:eastAsia="Arial" w:hAnsi="Arial" w:cs="Arial"/>
          <w:sz w:val="20"/>
          <w:szCs w:val="20"/>
        </w:rPr>
        <w:t>3</w:t>
      </w:r>
      <w:r w:rsidRPr="007846B2">
        <w:rPr>
          <w:rFonts w:ascii="Arial" w:eastAsia="Arial" w:hAnsi="Arial" w:cs="Arial"/>
          <w:sz w:val="20"/>
          <w:szCs w:val="20"/>
        </w:rPr>
        <w:t xml:space="preserve">, it can be seen that the morphology of all samples has evenly distributed pores, and the addition of the silane coupling agent (APTES) up to 5% does not cause significant differences. Figure </w:t>
      </w:r>
      <w:r w:rsidR="0013161A">
        <w:rPr>
          <w:rFonts w:ascii="Arial" w:eastAsia="Arial" w:hAnsi="Arial" w:cs="Arial"/>
          <w:sz w:val="20"/>
          <w:szCs w:val="20"/>
        </w:rPr>
        <w:t>4</w:t>
      </w:r>
      <w:r w:rsidRPr="007846B2">
        <w:rPr>
          <w:rFonts w:ascii="Arial" w:eastAsia="Arial" w:hAnsi="Arial" w:cs="Arial"/>
          <w:sz w:val="20"/>
          <w:szCs w:val="20"/>
        </w:rPr>
        <w:t xml:space="preserve"> shows the porosity analysis results using ImageJ software, indicating that the addition of APTES has relatively the same porosity values across APTES variations up to 5%. Therefore, it can be concluded that the addition of the APTES coupling agent does not have a significant effect on the porosity morphology</w:t>
      </w:r>
      <w:r w:rsidR="0044589E">
        <w:rPr>
          <w:rFonts w:ascii="Arial" w:eastAsia="Arial" w:hAnsi="Arial" w:cs="Arial"/>
          <w:sz w:val="20"/>
          <w:szCs w:val="20"/>
        </w:rPr>
        <w:t xml:space="preserve"> </w:t>
      </w:r>
      <w:r w:rsidR="0044589E">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{"citationItems":[{"id":"ITEM-1","itemData":{"DOI":"10.1049/mnl.2010.0187","ISSN":"17500443","abstract":"Nanometre-scale hydroxyapatite (nano-HA) is the key component to manufacture biomaterial. In this work, the surface of nano-HA particle was modified by KH-550 silane coupling agent and the coupling mechanism was investigated. The results showed that the coupling treatment on the surface of nano-HA particle did not change its micromorphology and microstructure. The hydrolysis reaction of KH-550 is a multistage dissociation of the chemical equilibrium process and produces lots of Si-OH group. With the hydrolysis time prolonged, polycondensation reaction of parts of Si-OH group occurs and produces Si-O-Si groups. Furthermore, coupling mechanisms of KH-550 with nano-HA is mainly predominated by three mechanisms such as chemical bond theory, hydrogen bond theory and double electronic shell theory. © 2011 The Institution of Engineering and Technology.","author":[{"dropping-particle":"","family":"Yu-Song","given":"Pan","non-dropping-particle":"","parse-names":false,"suffix":""}],"container-title":"Micro and Nano Letters","id":"ITEM-1","issue":"3","issued":{"date-parts":[["2011"]]},"page":"129-132","title":"Surface modification of nanocrystalline hydroxyapatite","type":"article-journal","volume":"6"},"uris":["http://www.mendeley.com/documents/?uuid=5003c854-6aa6-4459-a587-46b8e8fb2a6d","http://www.mendeley.com/documents/?uuid=59eba3d4-8406-443a-8a2a-daa740ae4ff7"]}],"mendeley":{"formattedCitation":"[25]","plainTextFormattedCitation":"[25]","previouslyFormattedCitation":"[25]"},"properties":{"noteIndex":0},"schema":"https://github.com/citation-style-language/schema/raw/master/csl-citation.json"}</w:instrText>
      </w:r>
      <w:r w:rsidR="0044589E">
        <w:rPr>
          <w:rFonts w:ascii="Arial" w:eastAsia="Arial" w:hAnsi="Arial" w:cs="Arial"/>
          <w:sz w:val="20"/>
          <w:szCs w:val="20"/>
        </w:rPr>
        <w:fldChar w:fldCharType="separate"/>
      </w:r>
      <w:r w:rsidR="0044589E" w:rsidRPr="0044589E">
        <w:rPr>
          <w:rFonts w:ascii="Arial" w:eastAsia="Arial" w:hAnsi="Arial" w:cs="Arial"/>
          <w:noProof/>
          <w:sz w:val="20"/>
          <w:szCs w:val="20"/>
        </w:rPr>
        <w:t>[25]</w:t>
      </w:r>
      <w:r w:rsidR="0044589E">
        <w:rPr>
          <w:rFonts w:ascii="Arial" w:eastAsia="Arial" w:hAnsi="Arial" w:cs="Arial"/>
          <w:sz w:val="20"/>
          <w:szCs w:val="20"/>
        </w:rPr>
        <w:fldChar w:fldCharType="end"/>
      </w:r>
      <w:r w:rsidRPr="007846B2">
        <w:rPr>
          <w:rFonts w:ascii="Arial" w:eastAsia="Arial" w:hAnsi="Arial" w:cs="Arial"/>
          <w:sz w:val="20"/>
          <w:szCs w:val="20"/>
        </w:rPr>
        <w:t>.</w:t>
      </w:r>
    </w:p>
    <w:p w14:paraId="12DFE352" w14:textId="77777777" w:rsidR="002D766E" w:rsidRDefault="002D766E" w:rsidP="002D79E0">
      <w:pPr>
        <w:spacing w:after="0" w:line="240" w:lineRule="auto"/>
        <w:ind w:leftChars="0" w:left="0" w:firstLineChars="0" w:firstLine="720"/>
        <w:jc w:val="both"/>
        <w:rPr>
          <w:rFonts w:ascii="Arial" w:eastAsia="Arial" w:hAnsi="Arial" w:cs="Arial"/>
          <w:sz w:val="20"/>
          <w:szCs w:val="20"/>
        </w:rPr>
      </w:pPr>
    </w:p>
    <w:p w14:paraId="006180E4" w14:textId="379A6233" w:rsidR="002D79E0" w:rsidRDefault="002D79E0" w:rsidP="007846B2">
      <w:pPr>
        <w:spacing w:after="0" w:line="240" w:lineRule="auto"/>
        <w:ind w:leftChars="0" w:left="0" w:firstLineChars="0" w:firstLine="0"/>
        <w:jc w:val="center"/>
        <w:rPr>
          <w:rFonts w:ascii="Arial" w:eastAsia="Arial" w:hAnsi="Arial" w:cs="Arial"/>
          <w:sz w:val="20"/>
          <w:szCs w:val="20"/>
        </w:rPr>
      </w:pPr>
      <w:r w:rsidRPr="00FA790D">
        <w:rPr>
          <w:noProof/>
        </w:rPr>
        <w:drawing>
          <wp:inline distT="0" distB="0" distL="0" distR="0" wp14:anchorId="38B62149" wp14:editId="40F448AA">
            <wp:extent cx="2651760" cy="2093932"/>
            <wp:effectExtent l="0" t="0" r="0" b="1905"/>
            <wp:docPr id="21150576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51760" cy="2093932"/>
                    </a:xfrm>
                    <a:prstGeom prst="rect">
                      <a:avLst/>
                    </a:prstGeom>
                    <a:noFill/>
                    <a:ln>
                      <a:noFill/>
                    </a:ln>
                  </pic:spPr>
                </pic:pic>
              </a:graphicData>
            </a:graphic>
          </wp:inline>
        </w:drawing>
      </w:r>
    </w:p>
    <w:p w14:paraId="36BE6C21" w14:textId="454000E3" w:rsidR="002D79E0" w:rsidRDefault="002D79E0" w:rsidP="002D79E0">
      <w:pPr>
        <w:spacing w:after="0" w:line="240" w:lineRule="auto"/>
        <w:ind w:leftChars="0" w:left="0" w:firstLineChars="0" w:firstLine="0"/>
        <w:jc w:val="center"/>
        <w:rPr>
          <w:rFonts w:ascii="Arial" w:eastAsia="Arial" w:hAnsi="Arial" w:cs="Arial"/>
          <w:sz w:val="20"/>
          <w:szCs w:val="20"/>
        </w:rPr>
      </w:pPr>
      <w:r w:rsidRPr="002D79E0">
        <w:rPr>
          <w:rFonts w:ascii="Arial" w:eastAsia="Arial" w:hAnsi="Arial" w:cs="Arial"/>
          <w:sz w:val="20"/>
          <w:szCs w:val="20"/>
        </w:rPr>
        <w:t>Fig</w:t>
      </w:r>
      <w:r w:rsidR="0012183F">
        <w:rPr>
          <w:rFonts w:ascii="Arial" w:eastAsia="Arial" w:hAnsi="Arial" w:cs="Arial"/>
          <w:sz w:val="20"/>
          <w:szCs w:val="20"/>
        </w:rPr>
        <w:t>ure</w:t>
      </w:r>
      <w:r w:rsidRPr="002D79E0">
        <w:rPr>
          <w:rFonts w:ascii="Arial" w:eastAsia="Arial" w:hAnsi="Arial" w:cs="Arial"/>
          <w:sz w:val="20"/>
          <w:szCs w:val="20"/>
        </w:rPr>
        <w:t xml:space="preserve"> </w:t>
      </w:r>
      <w:r w:rsidR="0013161A">
        <w:rPr>
          <w:rFonts w:ascii="Arial" w:eastAsia="Arial" w:hAnsi="Arial" w:cs="Arial"/>
          <w:sz w:val="20"/>
          <w:szCs w:val="20"/>
        </w:rPr>
        <w:t>3</w:t>
      </w:r>
      <w:r w:rsidRPr="002D79E0">
        <w:rPr>
          <w:rFonts w:ascii="Arial" w:eastAsia="Arial" w:hAnsi="Arial" w:cs="Arial"/>
          <w:sz w:val="20"/>
          <w:szCs w:val="20"/>
        </w:rPr>
        <w:t>. Pengujian digital microscope pada sampel (a) A0N4, (b) A1N4, (c) A3N4, and (d) A5N4</w:t>
      </w:r>
    </w:p>
    <w:p w14:paraId="0990575A" w14:textId="77777777" w:rsidR="00532D9D" w:rsidRDefault="00532D9D" w:rsidP="002D79E0">
      <w:pPr>
        <w:spacing w:after="0" w:line="240" w:lineRule="auto"/>
        <w:ind w:leftChars="0" w:left="0" w:firstLineChars="0" w:firstLine="0"/>
        <w:jc w:val="center"/>
        <w:rPr>
          <w:rFonts w:ascii="Arial" w:eastAsia="Arial" w:hAnsi="Arial" w:cs="Arial"/>
          <w:sz w:val="20"/>
          <w:szCs w:val="20"/>
        </w:rPr>
      </w:pPr>
    </w:p>
    <w:p w14:paraId="6CC95767" w14:textId="37FAA205" w:rsidR="00532D9D" w:rsidRDefault="00CC7BEF" w:rsidP="002D79E0">
      <w:pPr>
        <w:spacing w:after="0" w:line="240" w:lineRule="auto"/>
        <w:ind w:leftChars="0" w:left="0" w:firstLineChars="0" w:firstLine="0"/>
        <w:jc w:val="center"/>
        <w:rPr>
          <w:rFonts w:ascii="Arial" w:eastAsia="Arial" w:hAnsi="Arial" w:cs="Arial"/>
          <w:sz w:val="20"/>
          <w:szCs w:val="20"/>
        </w:rPr>
      </w:pPr>
      <w:r w:rsidRPr="00CC7BEF">
        <w:rPr>
          <w:rFonts w:ascii="Arial" w:eastAsia="Arial" w:hAnsi="Arial" w:cs="Arial"/>
          <w:noProof/>
          <w:sz w:val="20"/>
          <w:szCs w:val="20"/>
        </w:rPr>
        <w:drawing>
          <wp:inline distT="0" distB="0" distL="0" distR="0" wp14:anchorId="25267C59" wp14:editId="30DC3569">
            <wp:extent cx="2651760" cy="1195070"/>
            <wp:effectExtent l="0" t="0" r="0" b="5080"/>
            <wp:docPr id="590917030" name="Picture 1" descr="A graph of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17030" name="Picture 1" descr="A graph of numbers and a number of objects&#10;&#10;Description automatically generated with medium confidence"/>
                    <pic:cNvPicPr/>
                  </pic:nvPicPr>
                  <pic:blipFill>
                    <a:blip r:embed="rId23"/>
                    <a:stretch>
                      <a:fillRect/>
                    </a:stretch>
                  </pic:blipFill>
                  <pic:spPr>
                    <a:xfrm>
                      <a:off x="0" y="0"/>
                      <a:ext cx="2651760" cy="1195070"/>
                    </a:xfrm>
                    <a:prstGeom prst="rect">
                      <a:avLst/>
                    </a:prstGeom>
                  </pic:spPr>
                </pic:pic>
              </a:graphicData>
            </a:graphic>
          </wp:inline>
        </w:drawing>
      </w:r>
    </w:p>
    <w:p w14:paraId="495318DB" w14:textId="242518B7" w:rsidR="00532D9D" w:rsidRDefault="00532D9D" w:rsidP="002D79E0">
      <w:pPr>
        <w:spacing w:after="0" w:line="240" w:lineRule="auto"/>
        <w:ind w:leftChars="0" w:left="0" w:firstLineChars="0" w:firstLine="0"/>
        <w:jc w:val="center"/>
        <w:rPr>
          <w:rFonts w:ascii="Arial" w:eastAsia="Arial" w:hAnsi="Arial" w:cs="Arial"/>
          <w:sz w:val="20"/>
          <w:szCs w:val="20"/>
        </w:rPr>
      </w:pPr>
      <w:r w:rsidRPr="00532D9D">
        <w:rPr>
          <w:rFonts w:ascii="Arial" w:eastAsia="Arial" w:hAnsi="Arial" w:cs="Arial"/>
          <w:sz w:val="20"/>
          <w:szCs w:val="20"/>
        </w:rPr>
        <w:t>Fig</w:t>
      </w:r>
      <w:r>
        <w:rPr>
          <w:rFonts w:ascii="Arial" w:eastAsia="Arial" w:hAnsi="Arial" w:cs="Arial"/>
          <w:sz w:val="20"/>
          <w:szCs w:val="20"/>
        </w:rPr>
        <w:t>ure</w:t>
      </w:r>
      <w:r w:rsidRPr="00532D9D">
        <w:rPr>
          <w:rFonts w:ascii="Arial" w:eastAsia="Arial" w:hAnsi="Arial" w:cs="Arial"/>
          <w:sz w:val="20"/>
          <w:szCs w:val="20"/>
        </w:rPr>
        <w:t xml:space="preserve"> </w:t>
      </w:r>
      <w:r w:rsidR="00B83D27">
        <w:rPr>
          <w:rFonts w:ascii="Arial" w:eastAsia="Arial" w:hAnsi="Arial" w:cs="Arial"/>
          <w:sz w:val="20"/>
          <w:szCs w:val="20"/>
        </w:rPr>
        <w:t>4</w:t>
      </w:r>
      <w:r>
        <w:rPr>
          <w:rFonts w:ascii="Arial" w:eastAsia="Arial" w:hAnsi="Arial" w:cs="Arial"/>
          <w:sz w:val="20"/>
          <w:szCs w:val="20"/>
        </w:rPr>
        <w:t>.</w:t>
      </w:r>
      <w:r w:rsidRPr="00532D9D">
        <w:rPr>
          <w:rFonts w:ascii="Arial" w:eastAsia="Arial" w:hAnsi="Arial" w:cs="Arial"/>
          <w:sz w:val="20"/>
          <w:szCs w:val="20"/>
        </w:rPr>
        <w:t xml:space="preserve"> Effect of APTES on porosity</w:t>
      </w:r>
    </w:p>
    <w:p w14:paraId="7CE4F036" w14:textId="77777777" w:rsidR="00304036" w:rsidRDefault="00304036" w:rsidP="002D79E0">
      <w:pPr>
        <w:spacing w:after="0" w:line="240" w:lineRule="auto"/>
        <w:ind w:leftChars="0" w:left="0" w:firstLineChars="0" w:firstLine="0"/>
        <w:jc w:val="center"/>
        <w:rPr>
          <w:rFonts w:ascii="Arial" w:eastAsia="Arial" w:hAnsi="Arial" w:cs="Arial"/>
          <w:sz w:val="20"/>
          <w:szCs w:val="20"/>
        </w:rPr>
      </w:pPr>
    </w:p>
    <w:p w14:paraId="7835EE73" w14:textId="3F065930" w:rsidR="00D227E9" w:rsidRPr="00FC6A2E" w:rsidRDefault="00D227E9" w:rsidP="00D227E9">
      <w:pPr>
        <w:spacing w:after="0" w:line="240" w:lineRule="auto"/>
        <w:ind w:leftChars="0" w:left="0" w:firstLineChars="0" w:firstLine="720"/>
        <w:jc w:val="both"/>
        <w:rPr>
          <w:rFonts w:ascii="Arial" w:eastAsia="Arial" w:hAnsi="Arial" w:cs="Arial"/>
          <w:sz w:val="20"/>
          <w:szCs w:val="20"/>
        </w:rPr>
      </w:pPr>
      <w:r w:rsidRPr="00FC6A2E">
        <w:rPr>
          <w:rFonts w:ascii="Arial" w:eastAsia="Arial" w:hAnsi="Arial" w:cs="Arial"/>
          <w:sz w:val="20"/>
          <w:szCs w:val="20"/>
        </w:rPr>
        <w:t xml:space="preserve">In Figure </w:t>
      </w:r>
      <w:r w:rsidR="00A63EA5">
        <w:rPr>
          <w:rFonts w:ascii="Arial" w:eastAsia="Arial" w:hAnsi="Arial" w:cs="Arial"/>
          <w:sz w:val="20"/>
          <w:szCs w:val="20"/>
        </w:rPr>
        <w:t>5</w:t>
      </w:r>
      <w:r w:rsidRPr="00FC6A2E">
        <w:rPr>
          <w:rFonts w:ascii="Arial" w:eastAsia="Arial" w:hAnsi="Arial" w:cs="Arial"/>
          <w:sz w:val="20"/>
          <w:szCs w:val="20"/>
        </w:rPr>
        <w:t xml:space="preserve">, the morphology of all samples shows a uniform distribution of porosity, indicating that the method used has appropriate parameters to produce a homogeneous 3D scaffold. Figure </w:t>
      </w:r>
      <w:r w:rsidR="000E362D">
        <w:rPr>
          <w:rFonts w:ascii="Arial" w:eastAsia="Arial" w:hAnsi="Arial" w:cs="Arial"/>
          <w:sz w:val="20"/>
          <w:szCs w:val="20"/>
        </w:rPr>
        <w:t>6</w:t>
      </w:r>
      <w:r w:rsidRPr="00FC6A2E">
        <w:rPr>
          <w:rFonts w:ascii="Arial" w:eastAsia="Arial" w:hAnsi="Arial" w:cs="Arial"/>
          <w:sz w:val="20"/>
          <w:szCs w:val="20"/>
        </w:rPr>
        <w:t xml:space="preserve"> shows the analysis results using ImageJ, indicating that with the addition of a 4:1 ratio of NaCl to the composite (PCL/HA) up to 6:1 and 8:1, the porosity increased to 74.53% and 78.16%, respectively. From these results, it can be concluded that the higher the amount of porogen used, the greater the increase in porosity (ika 2024). This occurs because the NaCl used as a porogen dissolves and acts as a space holder, so the more NaCl used, the more the space holder, which then becomes porosity (pores), will increase.</w:t>
      </w:r>
    </w:p>
    <w:p w14:paraId="1FD98E54" w14:textId="484AC3D0" w:rsidR="00D227E9" w:rsidRDefault="00D227E9" w:rsidP="00745B28">
      <w:pPr>
        <w:spacing w:after="0" w:line="240" w:lineRule="auto"/>
        <w:ind w:leftChars="0" w:left="0" w:firstLineChars="0" w:firstLine="720"/>
        <w:jc w:val="both"/>
        <w:rPr>
          <w:rFonts w:ascii="Arial" w:eastAsia="Arial" w:hAnsi="Arial" w:cs="Arial"/>
          <w:sz w:val="20"/>
          <w:szCs w:val="20"/>
        </w:rPr>
      </w:pPr>
      <w:r w:rsidRPr="00FC6A2E">
        <w:rPr>
          <w:rFonts w:ascii="Arial" w:eastAsia="Arial" w:hAnsi="Arial" w:cs="Arial"/>
          <w:sz w:val="20"/>
          <w:szCs w:val="20"/>
        </w:rPr>
        <w:t xml:space="preserve">The standard application of 3D scaffolds for bone implants has a porosity value of 50-90%. Therefore, based on these test results, all samples have met the minimum requirements as 3D scaffold implants </w:t>
      </w:r>
      <w:r w:rsidR="00745B28">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{"citationItems":[{"id":"ITEM-1","itemData":{"DOI":"10.1016/S0142-9612(02)00223-5","ISBN":"1908740280","ISSN":"01429612","PMID":"12361612","abstract":"There is a recognized and urgent need for improved treatment of articular cartilage defects. Tissue engineering of cartilage using a cell-scaffold approach has demonstrated potential to offer an alternative and effective method for treating articular defects. We have developed a unique, heterogeneous, osteochondral scaffold using the TheriFormTM three-dimensional printing process. The material composition, porosity, macroarchitecture, and mechanical properties varied throughout the scaffold structure. The upper, cartilage region was 90% porous and composed of D,L-PLGA/L-PLA, with macroscopic staggered channels to facilitate homogenous cell seeding. The lower, cloverleaf-shaped bone portion was 55% porous and consisted of a L-PLGA/TCP composite, designed to maximize bone ingrowth while maintaining critical mechanical properties. The transition region between these two sections contained a gradient of materials and porosity to prevent delamination. Chondrocytes preferentially attached to the cartilage portion of the device, and biochemical and histological analyses showed that cartilage formed during a 6-week in vitro culture period. The tensile strength of the bone region was similar in magnitude to fresh cancellous human bone, suggesting that these scaffolds have desirable mechanical properties for in vivo applications, including full joint replacement. © 2002 Elsevier Science Ltd. All rights reserved.","author":[{"dropping-particle":"","family":"Sherwood","given":"Jill K.","non-dropping-particle":"","parse-names":false,"suffix":""},{"dropping-particle":"","family":"Riley","given":"Susan L.","non-dropping-particle":"","parse-names":false,"suffix":""},{"dropping-particle":"","family":"Palazzolo","given":"Robert","non-dropping-particle":"","parse-names":false,"suffix":""},{"dropping-particle":"","family":"Brown","given":"Scott C.","non-dropping-particle":"","parse-names":false,"suffix":""},{"dropping-particle":"","family":"Monkhouse","given":"Donald C.","non-dropping-particle":"","parse-names":false,"suffix":""},{"dropping-particle":"","family":"Coates","given":"Matt","non-dropping-particle":"","parse-names":false,"suffix":""},{"dropping-particle":"","family":"Griffith","given":"Linda G.","non-dropping-particle":"","parse-names":false,"suffix":""},{"dropping-particle":"","family":"Landeen","given":"Lee K.","non-dropping-particle":"","parse-names":false,"suffix":""},{"dropping-particle":"","family":"Ratcliffe","given":"Anthony","non-dropping-particle":"","parse-names":false,"suffix":""}],"container-title":"Biomaterials","id":"ITEM-1","issue":"24","issued":{"date-parts":[["2002"]]},"page":"4739-4751","title":"A three-dimensional osteochondral composite scaffold for articular cartilage repair","type":"article-journal","volume":"23"},"uris":["http://www.mendeley.com/documents/?uuid=93e1d169-af8e-48a8-9558-b1f3f7f57b80","http://www.mendeley.com/documents/?uuid=5d91f036-fbb1-43b2-8485-1845798a5561"]},{"id":"ITEM-2","itemData":{"DOI":"10.3390/app9091965","ISSN":"20763417","abstract":"Porous hydroxyapatite (HA) artificial bone scaffolds were prepared via the freeze-gel casting process in order to improve their mechanical strengths. As a porogen, various volumes of poly (methyl methacrylate) (PMMA) powders were added to obtain high porosity, such as in cancellous bone. After fabrication, the porous and mechanical properties of the scaffolds were examined. The HA60 scaffold, with a porosity over 80%, had proper compressive strength and modulus and satisfied the range of properties of cancellous bone. Moreover, it was found that the investigated mechanical properties were affected by the scaffolds' porosity. However, a section was found where the compressive strength was high despite the increase in the porosity. Specifically, HA30 had a porosity of 62.9% and a compressive strength of 1.73 MPa, whereas the values for HA60 were 81.9% and 3.23 MPa, respectively. The results indicate that there are factors that can preserve the mechanical properties even if the porosity of the scaffold increases. Therefore, in this study, various parameters affecting the porous and mechanical properties of the scaffolds during the manufacturing process were analyzed. It is expected that the improvement in the mechanical properties of the artificial bone scaffold having a high porosity can be applied to tissue engineering.","author":[{"dropping-particle":"","family":"Kim","given":"Tae Rim","non-dropping-particle":"","parse-names":false,"suffix":""},{"dropping-particle":"","family":"Kim","given":"Min Su","non-dropping-particle":"","parse-names":false,"suffix":""},{"dropping-particle":"","family":"Goh","given":"Tae Sik","non-dropping-particle":"","parse-names":false,"suffix":""},{"dropping-particle":"","family":"Lee","given":"Jung Sub","non-dropping-particle":"","parse-names":false,"suffix":""},{"dropping-particle":"","family":"Kim","given":"Yun Hak","non-dropping-particle":"","parse-names":false,"suffix":""},{"dropping-particle":"","family":"Yoon","given":"Seog Young","non-dropping-particle":"","parse-names":false,"suffix":""},{"dropping-particle":"","family":"Lee","given":"Chi Seung","non-dropping-particle":"","parse-names":false,"suffix":""}],"container-title":"Applied Sciences (Switzerland)","id":"ITEM-2","issue":"9","issued":{"date-parts":[["2019"]]},"page":"1-17","title":"Evaluation of structural and mechanical properties of porous artificial bone scaffolds fabricated via advanced TBA-based freeze-gel casting technique","type":"article-journal","volume":"9"},"uris":["http://www.mendeley.com/documents/?uuid=190a64c5-3e97-4360-960d-08164331703a","http://www.mendeley.com/documents/?uuid=bf5b9a50-1bd5-4e4b-a406-18dbc769cabe"]}],"mendeley":{"formattedCitation":"[6], [26]","plainTextFormattedCitation":"[6], [26]","previouslyFormattedCitation":"[6], [26]"},"properties":{"noteIndex":0},"schema":"https://github.com/citation-style-language/schema/raw/master/csl-citation.json"}</w:instrText>
      </w:r>
      <w:r w:rsidR="00745B28">
        <w:rPr>
          <w:rFonts w:ascii="Arial" w:eastAsia="Arial" w:hAnsi="Arial" w:cs="Arial"/>
          <w:sz w:val="20"/>
          <w:szCs w:val="20"/>
        </w:rPr>
        <w:fldChar w:fldCharType="separate"/>
      </w:r>
      <w:r w:rsidR="00745B28" w:rsidRPr="00745B28">
        <w:rPr>
          <w:rFonts w:ascii="Arial" w:eastAsia="Arial" w:hAnsi="Arial" w:cs="Arial"/>
          <w:noProof/>
          <w:sz w:val="20"/>
          <w:szCs w:val="20"/>
        </w:rPr>
        <w:t>[6], [26]</w:t>
      </w:r>
      <w:r w:rsidR="00745B28">
        <w:rPr>
          <w:rFonts w:ascii="Arial" w:eastAsia="Arial" w:hAnsi="Arial" w:cs="Arial"/>
          <w:sz w:val="20"/>
          <w:szCs w:val="20"/>
        </w:rPr>
        <w:fldChar w:fldCharType="end"/>
      </w:r>
      <w:r w:rsidR="00D746E4">
        <w:rPr>
          <w:rFonts w:ascii="Arial" w:eastAsia="Arial" w:hAnsi="Arial" w:cs="Arial"/>
          <w:sz w:val="20"/>
          <w:szCs w:val="20"/>
        </w:rPr>
        <w:t>.</w:t>
      </w:r>
    </w:p>
    <w:p w14:paraId="1676C1BC" w14:textId="77777777" w:rsidR="007846B2" w:rsidRDefault="007846B2" w:rsidP="007846B2">
      <w:pPr>
        <w:spacing w:after="0" w:line="240" w:lineRule="auto"/>
        <w:ind w:leftChars="0" w:left="0" w:firstLineChars="0" w:firstLine="720"/>
        <w:rPr>
          <w:rFonts w:ascii="Arial" w:eastAsia="Arial" w:hAnsi="Arial" w:cs="Arial"/>
          <w:sz w:val="20"/>
          <w:szCs w:val="20"/>
        </w:rPr>
      </w:pPr>
    </w:p>
    <w:p w14:paraId="26D01775" w14:textId="18D93918" w:rsidR="00A32D5A" w:rsidRDefault="00A32D5A" w:rsidP="007846B2">
      <w:pPr>
        <w:spacing w:after="0" w:line="240" w:lineRule="auto"/>
        <w:ind w:leftChars="0" w:left="0" w:firstLineChars="0" w:firstLine="720"/>
        <w:jc w:val="both"/>
        <w:rPr>
          <w:rFonts w:ascii="Arial" w:eastAsia="Arial" w:hAnsi="Arial" w:cs="Arial"/>
          <w:sz w:val="20"/>
          <w:szCs w:val="20"/>
        </w:rPr>
      </w:pPr>
    </w:p>
    <w:p w14:paraId="56515BC8" w14:textId="7456A142" w:rsidR="007846B2" w:rsidRDefault="007846B2" w:rsidP="007846B2">
      <w:pPr>
        <w:spacing w:after="0" w:line="240" w:lineRule="auto"/>
        <w:ind w:leftChars="0" w:left="0" w:firstLineChars="0" w:firstLine="0"/>
        <w:jc w:val="center"/>
        <w:rPr>
          <w:rFonts w:ascii="Arial" w:eastAsia="Arial" w:hAnsi="Arial" w:cs="Arial"/>
          <w:sz w:val="20"/>
          <w:szCs w:val="20"/>
        </w:rPr>
      </w:pPr>
      <w:r w:rsidRPr="00FA790D">
        <w:rPr>
          <w:noProof/>
        </w:rPr>
        <w:drawing>
          <wp:inline distT="0" distB="0" distL="0" distR="0" wp14:anchorId="3A75611B" wp14:editId="06335A20">
            <wp:extent cx="2651760" cy="2006761"/>
            <wp:effectExtent l="0" t="0" r="0" b="0"/>
            <wp:docPr id="1533908697" name="Picture 17"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08697" name="Picture 17" descr="A close-up of a microscop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1760" cy="2006761"/>
                    </a:xfrm>
                    <a:prstGeom prst="rect">
                      <a:avLst/>
                    </a:prstGeom>
                    <a:noFill/>
                    <a:ln>
                      <a:noFill/>
                    </a:ln>
                  </pic:spPr>
                </pic:pic>
              </a:graphicData>
            </a:graphic>
          </wp:inline>
        </w:drawing>
      </w:r>
    </w:p>
    <w:p w14:paraId="7942E7D1" w14:textId="7CCC5FCF" w:rsidR="007846B2" w:rsidRDefault="007846B2" w:rsidP="007846B2">
      <w:pPr>
        <w:spacing w:after="0" w:line="240" w:lineRule="auto"/>
        <w:ind w:left="0" w:hanging="2"/>
        <w:jc w:val="center"/>
        <w:rPr>
          <w:rFonts w:ascii="Arial" w:eastAsia="Arial" w:hAnsi="Arial" w:cs="Arial"/>
          <w:sz w:val="20"/>
          <w:szCs w:val="20"/>
        </w:rPr>
      </w:pPr>
      <w:r w:rsidRPr="007846B2">
        <w:rPr>
          <w:rFonts w:ascii="Arial" w:eastAsia="Arial" w:hAnsi="Arial" w:cs="Arial"/>
          <w:sz w:val="20"/>
          <w:szCs w:val="20"/>
        </w:rPr>
        <w:t>Fig</w:t>
      </w:r>
      <w:r>
        <w:rPr>
          <w:rFonts w:ascii="Arial" w:eastAsia="Arial" w:hAnsi="Arial" w:cs="Arial"/>
          <w:sz w:val="20"/>
          <w:szCs w:val="20"/>
        </w:rPr>
        <w:t>ure</w:t>
      </w:r>
      <w:r w:rsidRPr="007846B2">
        <w:rPr>
          <w:rFonts w:ascii="Arial" w:eastAsia="Arial" w:hAnsi="Arial" w:cs="Arial"/>
          <w:sz w:val="20"/>
          <w:szCs w:val="20"/>
        </w:rPr>
        <w:t xml:space="preserve"> </w:t>
      </w:r>
      <w:r w:rsidR="000E362D">
        <w:rPr>
          <w:rFonts w:ascii="Arial" w:eastAsia="Arial" w:hAnsi="Arial" w:cs="Arial"/>
          <w:sz w:val="20"/>
          <w:szCs w:val="20"/>
        </w:rPr>
        <w:t>5</w:t>
      </w:r>
      <w:r>
        <w:rPr>
          <w:rFonts w:ascii="Arial" w:eastAsia="Arial" w:hAnsi="Arial" w:cs="Arial"/>
          <w:sz w:val="20"/>
          <w:szCs w:val="20"/>
        </w:rPr>
        <w:t>.</w:t>
      </w:r>
      <w:r w:rsidRPr="007846B2">
        <w:rPr>
          <w:rFonts w:ascii="Arial" w:eastAsia="Arial" w:hAnsi="Arial" w:cs="Arial"/>
          <w:sz w:val="20"/>
          <w:szCs w:val="20"/>
        </w:rPr>
        <w:t xml:space="preserve"> Representative  Digital Microscope on  (a) A3N4, (b) A3N6, and (c) A3N8</w:t>
      </w:r>
    </w:p>
    <w:p w14:paraId="7F5064D7" w14:textId="1770B04C" w:rsidR="007846B2" w:rsidRDefault="00CC7BEF">
      <w:pPr>
        <w:spacing w:after="0" w:line="240" w:lineRule="auto"/>
        <w:ind w:left="0" w:hanging="2"/>
        <w:jc w:val="both"/>
        <w:rPr>
          <w:rFonts w:ascii="Arial" w:eastAsia="Arial" w:hAnsi="Arial" w:cs="Arial"/>
          <w:sz w:val="20"/>
          <w:szCs w:val="20"/>
        </w:rPr>
      </w:pPr>
      <w:r w:rsidRPr="00CC7BEF">
        <w:rPr>
          <w:rFonts w:ascii="Arial" w:eastAsia="Arial" w:hAnsi="Arial" w:cs="Arial"/>
          <w:noProof/>
          <w:sz w:val="20"/>
          <w:szCs w:val="20"/>
        </w:rPr>
        <w:drawing>
          <wp:inline distT="0" distB="0" distL="0" distR="0" wp14:anchorId="59280D87" wp14:editId="793076E0">
            <wp:extent cx="2651760" cy="1337945"/>
            <wp:effectExtent l="0" t="0" r="0" b="0"/>
            <wp:docPr id="1424625372" name="Picture 1" descr="A graph of a number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25372" name="Picture 1" descr="A graph of a number of blue bars&#10;&#10;Description automatically generated with medium confidence"/>
                    <pic:cNvPicPr/>
                  </pic:nvPicPr>
                  <pic:blipFill>
                    <a:blip r:embed="rId25"/>
                    <a:stretch>
                      <a:fillRect/>
                    </a:stretch>
                  </pic:blipFill>
                  <pic:spPr>
                    <a:xfrm>
                      <a:off x="0" y="0"/>
                      <a:ext cx="2651760" cy="1337945"/>
                    </a:xfrm>
                    <a:prstGeom prst="rect">
                      <a:avLst/>
                    </a:prstGeom>
                  </pic:spPr>
                </pic:pic>
              </a:graphicData>
            </a:graphic>
          </wp:inline>
        </w:drawing>
      </w:r>
    </w:p>
    <w:p w14:paraId="3852694E" w14:textId="40104495" w:rsidR="00405B4A" w:rsidRDefault="00405B4A" w:rsidP="00405B4A">
      <w:pPr>
        <w:spacing w:after="0" w:line="240" w:lineRule="auto"/>
        <w:ind w:left="0" w:hanging="2"/>
        <w:jc w:val="center"/>
        <w:rPr>
          <w:rFonts w:ascii="Arial" w:eastAsia="Arial" w:hAnsi="Arial" w:cs="Arial"/>
          <w:sz w:val="20"/>
          <w:szCs w:val="20"/>
        </w:rPr>
      </w:pPr>
      <w:r w:rsidRPr="00405B4A">
        <w:rPr>
          <w:rFonts w:ascii="Arial" w:eastAsia="Arial" w:hAnsi="Arial" w:cs="Arial"/>
          <w:sz w:val="20"/>
          <w:szCs w:val="20"/>
        </w:rPr>
        <w:t>Fig</w:t>
      </w:r>
      <w:r>
        <w:rPr>
          <w:rFonts w:ascii="Arial" w:eastAsia="Arial" w:hAnsi="Arial" w:cs="Arial"/>
          <w:sz w:val="20"/>
          <w:szCs w:val="20"/>
        </w:rPr>
        <w:t>ure</w:t>
      </w:r>
      <w:r w:rsidRPr="00405B4A">
        <w:rPr>
          <w:rFonts w:ascii="Arial" w:eastAsia="Arial" w:hAnsi="Arial" w:cs="Arial"/>
          <w:sz w:val="20"/>
          <w:szCs w:val="20"/>
        </w:rPr>
        <w:t xml:space="preserve"> </w:t>
      </w:r>
      <w:r w:rsidR="000E362D">
        <w:rPr>
          <w:rFonts w:ascii="Arial" w:eastAsia="Arial" w:hAnsi="Arial" w:cs="Arial"/>
          <w:sz w:val="20"/>
          <w:szCs w:val="20"/>
        </w:rPr>
        <w:t>6</w:t>
      </w:r>
      <w:r w:rsidRPr="00405B4A">
        <w:rPr>
          <w:rFonts w:ascii="Arial" w:eastAsia="Arial" w:hAnsi="Arial" w:cs="Arial"/>
          <w:sz w:val="20"/>
          <w:szCs w:val="20"/>
        </w:rPr>
        <w:t>. Effect ratio porogen on Porosity</w:t>
      </w:r>
    </w:p>
    <w:p w14:paraId="336F1162" w14:textId="77777777" w:rsidR="00405B4A" w:rsidRDefault="00405B4A" w:rsidP="00FC6A2E">
      <w:pPr>
        <w:spacing w:after="0" w:line="240" w:lineRule="auto"/>
        <w:ind w:left="0" w:hanging="2"/>
        <w:rPr>
          <w:rFonts w:ascii="Arial" w:eastAsia="Arial" w:hAnsi="Arial" w:cs="Arial"/>
          <w:sz w:val="20"/>
          <w:szCs w:val="20"/>
        </w:rPr>
      </w:pPr>
    </w:p>
    <w:p w14:paraId="5214EE22" w14:textId="3A4D5C84" w:rsidR="00507499" w:rsidRPr="001A4260" w:rsidRDefault="00507499" w:rsidP="00507499">
      <w:pPr>
        <w:spacing w:after="0" w:line="240" w:lineRule="auto"/>
        <w:ind w:leftChars="0" w:firstLineChars="0" w:firstLine="721"/>
        <w:jc w:val="both"/>
        <w:rPr>
          <w:rFonts w:ascii="Arial" w:eastAsia="Arial" w:hAnsi="Arial" w:cs="Arial"/>
          <w:sz w:val="20"/>
          <w:szCs w:val="20"/>
        </w:rPr>
      </w:pPr>
      <w:r w:rsidRPr="001A4260">
        <w:rPr>
          <w:rFonts w:ascii="Arial" w:eastAsia="Arial" w:hAnsi="Arial" w:cs="Arial"/>
          <w:sz w:val="20"/>
          <w:szCs w:val="20"/>
        </w:rPr>
        <w:t xml:space="preserve">Figure </w:t>
      </w:r>
      <w:r w:rsidR="000E362D">
        <w:rPr>
          <w:rFonts w:ascii="Arial" w:eastAsia="Arial" w:hAnsi="Arial" w:cs="Arial"/>
          <w:sz w:val="20"/>
          <w:szCs w:val="20"/>
        </w:rPr>
        <w:t>7</w:t>
      </w:r>
      <w:r w:rsidRPr="001A4260">
        <w:rPr>
          <w:rFonts w:ascii="Arial" w:eastAsia="Arial" w:hAnsi="Arial" w:cs="Arial"/>
          <w:sz w:val="20"/>
          <w:szCs w:val="20"/>
        </w:rPr>
        <w:t xml:space="preserve"> shows the tensile test results on APTES variations, indicating that the addition of APTES increases tensile strength with the highest values occurring in sample A1N4 using 1% APTES, showing a tensile strength increase of </w:t>
      </w:r>
      <w:r w:rsidRPr="001A4260">
        <w:rPr>
          <w:rFonts w:ascii="Arial" w:eastAsia="Arial" w:hAnsi="Arial" w:cs="Arial"/>
          <w:sz w:val="20"/>
          <w:szCs w:val="20"/>
        </w:rPr>
        <w:lastRenderedPageBreak/>
        <w:t xml:space="preserve">138%. However, adding more than 1% results in a decrease of up to 25% in the 5% APTES variation. </w:t>
      </w:r>
    </w:p>
    <w:p w14:paraId="73965428" w14:textId="19FA967B" w:rsidR="00FC6A2E" w:rsidRDefault="00507499" w:rsidP="00507499">
      <w:pPr>
        <w:spacing w:after="0" w:line="240" w:lineRule="auto"/>
        <w:ind w:leftChars="0" w:left="0" w:firstLineChars="0" w:firstLine="0"/>
        <w:jc w:val="both"/>
        <w:rPr>
          <w:rFonts w:ascii="Arial" w:eastAsia="Arial" w:hAnsi="Arial" w:cs="Arial"/>
          <w:sz w:val="20"/>
          <w:szCs w:val="20"/>
        </w:rPr>
      </w:pPr>
      <w:r w:rsidRPr="001A4260">
        <w:rPr>
          <w:rFonts w:ascii="Arial" w:eastAsia="Arial" w:hAnsi="Arial" w:cs="Arial"/>
          <w:sz w:val="20"/>
          <w:szCs w:val="20"/>
        </w:rPr>
        <w:t>Based on this, it can be concluded that APTES can enhance tensile strength by strengthening the interface bonds in the composite. However, excessive APTES addition will cause some APTES to not form good bonds due to incomplete hydrolysis reactions. A surplus of APTES will be distributed within the composite as free molecules. These free molecules cause a decrease in the mechanical properties of the 3D PCL/HA composite scaffold</w:t>
      </w:r>
      <w:r w:rsidR="00825860">
        <w:rPr>
          <w:rFonts w:ascii="Arial" w:eastAsia="Arial" w:hAnsi="Arial" w:cs="Arial"/>
          <w:sz w:val="20"/>
          <w:szCs w:val="20"/>
        </w:rPr>
        <w:t xml:space="preserve"> </w:t>
      </w:r>
      <w:r w:rsidR="00E6123A">
        <w:rPr>
          <w:rFonts w:ascii="Arial" w:eastAsia="Arial" w:hAnsi="Arial" w:cs="Arial"/>
          <w:sz w:val="20"/>
          <w:szCs w:val="20"/>
        </w:rPr>
        <w:fldChar w:fldCharType="begin" w:fldLock="1"/>
      </w:r>
      <w:r w:rsidR="00BE693D">
        <w:rPr>
          <w:rFonts w:ascii="Arial" w:eastAsia="Arial" w:hAnsi="Arial" w:cs="Arial"/>
          <w:sz w:val="20"/>
          <w:szCs w:val="20"/>
        </w:rPr>
        <w:instrText>ADDIN CSL_CITATION {"citationItems":[{"id":"ITEM-1","itemData":{"DOI":"10.32571/ijct.783998","author":[{"dropping-particle":"","family":"ALDABIB","given":"Jamal","non-dropping-particle":"","parse-names":false,"suffix":""}],"container-title":"International Journal of Chemistry and Technology","id":"ITEM-1","issue":"1","issued":{"date-parts":[["2020"]]},"page":"37-45","title":"Effect of Silane Coupling Agent Content on Mechanical Properties of Hydroxyapatite/Poly(methyl methacrylate) Denture Base Composite","type":"article-journal","volume":"5"},"uris":["http://www.mendeley.com/documents/?uuid=22562e69-bd9e-4ade-9bb9-da225aff484d","http://www.mendeley.com/documents/?uuid=58e9fa16-15a0-487b-b680-f6986c3340d9"]},{"id":"ITEM-2","itemData":{"DOI":"10.1016/j.colsurfb.2020.111083","ISSN":"18734367","PMID":"32388393","abstract":"The combination of biopolymer and bioceramic can mimic the chemical composition of the native bone extracellular matrix which is composed of inorganic minerals and organic collagenous. However, the poor interfacial compatibility between organic biopolymer and inorganic bioceramic restricts the full development of bioceramic/biopolymer composite scaffold for bone regeneration application. Coupling agents have been widely used to build a “molecular bridge” in the interface between biopolymer and bioceramic due to the two different functional groups in its structure. One is organophilic functional groups which can react with polymer molecules, and the other is special functional groups which can adsorb on bioceramic surface to form a firm bond. As a result, the stress transfer efficiency between biopolymer and bioceramic can be enhanced, and thereby improving the mechanical properties of the composite scaffold. In this study, the interfacial features between bioceramic and biopolymer and the methods to improve interface bonding were presented, and the interfacial reaction mechanisms under the action of coupling agents especially silane coupling agents were focused on discussing. In addition, the mechanical properties, in vitro and in vivo biological properties of the bioceramic/biopolymer composite scaffold after coupling agent modification were systematically summarized. Finally, suggestions for further work were put forward, including the study on controlling coupling agent content, and more in vitro and in vivo experimental evaluation.","author":[{"dropping-particle":"","family":"Shuai","given":"Cijun","non-dropping-particle":"","parse-names":false,"suffix":""},{"dropping-particle":"","family":"Yu","given":"Li","non-dropping-particle":"","parse-names":false,"suffix":""},{"dropping-particle":"","family":"Feng","given":"Pei","non-dropping-particle":"","parse-names":false,"suffix":""},{"dropping-particle":"","family":"Gao","given":"Chengde","non-dropping-particle":"","parse-names":false,"suffix":""},{"dropping-particle":"","family":"Peng","given":"Shuping","non-dropping-particle":"","parse-names":false,"suffix":""}],"container-title":"Colloids and Surfaces B: Biointerfaces","id":"ITEM-2","issue":"February","issued":{"date-parts":[["2020"]]},"title":"Interfacial reinforcement in bioceramic/biopolymer composite bone scaffold: The role of coupling agent","type":"article-journal","volume":"193"},"uris":["http://www.mendeley.com/documents/?uuid=be2a1cfd-ccea-4319-aace-bf883e90ab43","http://www.mendeley.com/documents/?uuid=5715dbab-f85a-4490-90d3-9bcb611c3870"]},{"id":"ITEM-3","itemData":{"DOI":"10.1177/0021998311401085","ISSN":"00219983","abstract":"Poly(methyl methacrylate) (PMMA)/hydroxyapatite (HA) denture base composites were prepared using heat-processing polymers powder-liquid method, according to dental laboratory practice. The HA was pre-treated by isopropyl triisostearoyl titanate coupling agent (TCA) in order to improve the interfacial bonding between HA and PMMA. The effects of different concentration of titanate coupling agent (i.e., 2-8%) on the mechanical and morphological properties of PMMA were investigated. It was found that PMMA/2% TCA-treated HA composites exhibited higher flexural modulus and strength compared to PMMA/untreated HA composites. This is attributed to the enhanced interfacial interaction between PMMA and HA by the titanate coupling agent. However, for the PMMA/HA treated with 6% and 8% of TCA, the flexural properties was slightly reduced, which may associated to the plasticizing effects caused by excessive concentration of coupling agent. In addition, the fracture toughness properties of PMMA/5HA composites were influenced by the different concentration of TCA. The thermal properties of the PMMA/HA composites were enhanced by the treatment of titanate coupling agent. © 2011 The Author(s).","author":[{"dropping-particle":"","family":"Tham","given":"W. L.","non-dropping-particle":"","parse-names":false,"suffix":""},{"dropping-particle":"","family":"Chow","given":"W. S.","non-dropping-particle":"","parse-names":false,"suffix":""},{"dropping-particle":"","family":"Mohd Ishak","given":"Z. A.","non-dropping-particle":"","parse-names":false,"suffix":""}],"container-title":"Journal of Composite Materials","id":"ITEM-3","issue":"22","issued":{"date-parts":[["2011"]]},"page":"2335-2345","title":"Effects of titanate coupling agent on the mechanical, thermal, and morphological properties of poly(methyl methacrylate)/hydroxyapatite denture base composites","type":"article-journal","volume":"45"},"uris":["http://www.mendeley.com/documents/?uuid=290b1cab-8210-4e3f-befa-bb2d24a50dcd","http://www.mendeley.com/documents/?uuid=d39886d6-13f5-4bdd-9019-3dd1620684f4"]}],"mendeley":{"formattedCitation":"[27], [28], [29]","plainTextFormattedCitation":"[27], [28], [29]","previouslyFormattedCitation":"[27], [28], [29]"},"properties":{"noteIndex":0},"schema":"https://github.com/citation-style-language/schema/raw/master/csl-citation.json"}</w:instrText>
      </w:r>
      <w:r w:rsidR="00E6123A">
        <w:rPr>
          <w:rFonts w:ascii="Arial" w:eastAsia="Arial" w:hAnsi="Arial" w:cs="Arial"/>
          <w:sz w:val="20"/>
          <w:szCs w:val="20"/>
        </w:rPr>
        <w:fldChar w:fldCharType="separate"/>
      </w:r>
      <w:r w:rsidR="00BE693D" w:rsidRPr="00BE693D">
        <w:rPr>
          <w:rFonts w:ascii="Arial" w:eastAsia="Arial" w:hAnsi="Arial" w:cs="Arial"/>
          <w:noProof/>
          <w:sz w:val="20"/>
          <w:szCs w:val="20"/>
        </w:rPr>
        <w:t>[27], [28], [29]</w:t>
      </w:r>
      <w:r w:rsidR="00E6123A">
        <w:rPr>
          <w:rFonts w:ascii="Arial" w:eastAsia="Arial" w:hAnsi="Arial" w:cs="Arial"/>
          <w:sz w:val="20"/>
          <w:szCs w:val="20"/>
        </w:rPr>
        <w:fldChar w:fldCharType="end"/>
      </w:r>
      <w:r w:rsidRPr="001A4260">
        <w:rPr>
          <w:rFonts w:ascii="Arial" w:eastAsia="Arial" w:hAnsi="Arial" w:cs="Arial"/>
          <w:sz w:val="20"/>
          <w:szCs w:val="20"/>
        </w:rPr>
        <w:t>.</w:t>
      </w:r>
    </w:p>
    <w:p w14:paraId="0873B36C" w14:textId="3B36F7BB" w:rsidR="00725C6E" w:rsidRDefault="001A4260" w:rsidP="00567F24">
      <w:pPr>
        <w:spacing w:after="0" w:line="240" w:lineRule="auto"/>
        <w:ind w:leftChars="0" w:left="0" w:firstLineChars="0" w:firstLine="0"/>
        <w:jc w:val="both"/>
        <w:rPr>
          <w:rFonts w:ascii="Arial" w:eastAsia="Arial" w:hAnsi="Arial" w:cs="Arial"/>
          <w:sz w:val="20"/>
          <w:szCs w:val="20"/>
        </w:rPr>
      </w:pPr>
      <w:r w:rsidRPr="001A4260">
        <w:rPr>
          <w:rFonts w:ascii="Arial" w:eastAsia="Arial" w:hAnsi="Arial" w:cs="Arial"/>
          <w:noProof/>
          <w:sz w:val="20"/>
          <w:szCs w:val="20"/>
        </w:rPr>
        <w:drawing>
          <wp:inline distT="0" distB="0" distL="0" distR="0" wp14:anchorId="46CA8E69" wp14:editId="0FDB2C2D">
            <wp:extent cx="2651760" cy="1861185"/>
            <wp:effectExtent l="0" t="0" r="0" b="5715"/>
            <wp:docPr id="2096411842"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11842" name="Picture 1" descr="A graph with numbers and a bar&#10;&#10;Description automatically generated"/>
                    <pic:cNvPicPr/>
                  </pic:nvPicPr>
                  <pic:blipFill>
                    <a:blip r:embed="rId26"/>
                    <a:stretch>
                      <a:fillRect/>
                    </a:stretch>
                  </pic:blipFill>
                  <pic:spPr>
                    <a:xfrm>
                      <a:off x="0" y="0"/>
                      <a:ext cx="2651760" cy="1861185"/>
                    </a:xfrm>
                    <a:prstGeom prst="rect">
                      <a:avLst/>
                    </a:prstGeom>
                  </pic:spPr>
                </pic:pic>
              </a:graphicData>
            </a:graphic>
          </wp:inline>
        </w:drawing>
      </w:r>
    </w:p>
    <w:p w14:paraId="694C5811" w14:textId="5B7FC3F4" w:rsidR="001A4260" w:rsidRDefault="001A4260" w:rsidP="001A4260">
      <w:pPr>
        <w:spacing w:after="0" w:line="240" w:lineRule="auto"/>
        <w:ind w:leftChars="0" w:left="0" w:firstLineChars="0" w:firstLine="0"/>
        <w:jc w:val="center"/>
        <w:rPr>
          <w:rFonts w:ascii="Arial" w:eastAsia="Arial" w:hAnsi="Arial" w:cs="Arial"/>
          <w:sz w:val="20"/>
          <w:szCs w:val="20"/>
        </w:rPr>
      </w:pPr>
      <w:r w:rsidRPr="001A4260">
        <w:rPr>
          <w:rFonts w:ascii="Arial" w:eastAsia="Arial" w:hAnsi="Arial" w:cs="Arial"/>
          <w:sz w:val="20"/>
          <w:szCs w:val="20"/>
        </w:rPr>
        <w:t>Fig</w:t>
      </w:r>
      <w:r>
        <w:rPr>
          <w:rFonts w:ascii="Arial" w:eastAsia="Arial" w:hAnsi="Arial" w:cs="Arial"/>
          <w:sz w:val="20"/>
          <w:szCs w:val="20"/>
        </w:rPr>
        <w:t>ure</w:t>
      </w:r>
      <w:r w:rsidRPr="001A4260">
        <w:rPr>
          <w:rFonts w:ascii="Arial" w:eastAsia="Arial" w:hAnsi="Arial" w:cs="Arial"/>
          <w:sz w:val="20"/>
          <w:szCs w:val="20"/>
        </w:rPr>
        <w:t xml:space="preserve"> </w:t>
      </w:r>
      <w:r w:rsidR="00B173B9">
        <w:rPr>
          <w:rFonts w:ascii="Arial" w:eastAsia="Arial" w:hAnsi="Arial" w:cs="Arial"/>
          <w:sz w:val="20"/>
          <w:szCs w:val="20"/>
        </w:rPr>
        <w:t>7</w:t>
      </w:r>
      <w:r w:rsidRPr="001A4260">
        <w:rPr>
          <w:rFonts w:ascii="Arial" w:eastAsia="Arial" w:hAnsi="Arial" w:cs="Arial"/>
          <w:sz w:val="20"/>
          <w:szCs w:val="20"/>
        </w:rPr>
        <w:t>. Effect APTES on Tensile Strength</w:t>
      </w:r>
    </w:p>
    <w:p w14:paraId="590B5E78" w14:textId="77777777" w:rsidR="00725C6E" w:rsidRDefault="00725C6E" w:rsidP="00567F24">
      <w:pPr>
        <w:spacing w:after="0" w:line="240" w:lineRule="auto"/>
        <w:ind w:leftChars="0" w:left="0" w:firstLineChars="0" w:firstLine="0"/>
        <w:jc w:val="both"/>
        <w:rPr>
          <w:rFonts w:ascii="Arial" w:eastAsia="Arial" w:hAnsi="Arial" w:cs="Arial"/>
          <w:sz w:val="20"/>
          <w:szCs w:val="20"/>
        </w:rPr>
      </w:pPr>
    </w:p>
    <w:p w14:paraId="4BC5BE65" w14:textId="7C016302" w:rsidR="001A4260" w:rsidRDefault="00507499" w:rsidP="00507499">
      <w:pPr>
        <w:spacing w:after="0" w:line="240" w:lineRule="auto"/>
        <w:ind w:leftChars="0" w:left="0" w:firstLineChars="0" w:firstLine="720"/>
        <w:jc w:val="both"/>
        <w:rPr>
          <w:rFonts w:ascii="Arial" w:eastAsia="Arial" w:hAnsi="Arial" w:cs="Arial"/>
          <w:sz w:val="20"/>
          <w:szCs w:val="20"/>
        </w:rPr>
      </w:pPr>
      <w:r w:rsidRPr="008274CE">
        <w:rPr>
          <w:rFonts w:ascii="Arial" w:eastAsia="Arial" w:hAnsi="Arial" w:cs="Arial"/>
          <w:sz w:val="20"/>
          <w:szCs w:val="20"/>
        </w:rPr>
        <w:t xml:space="preserve">Figure </w:t>
      </w:r>
      <w:r w:rsidR="00B173B9">
        <w:rPr>
          <w:rFonts w:ascii="Arial" w:eastAsia="Arial" w:hAnsi="Arial" w:cs="Arial"/>
          <w:sz w:val="20"/>
          <w:szCs w:val="20"/>
        </w:rPr>
        <w:t>8</w:t>
      </w:r>
      <w:r w:rsidRPr="008274CE">
        <w:rPr>
          <w:rFonts w:ascii="Arial" w:eastAsia="Arial" w:hAnsi="Arial" w:cs="Arial"/>
          <w:sz w:val="20"/>
          <w:szCs w:val="20"/>
        </w:rPr>
        <w:t xml:space="preserve"> shows the tensile test results at various porogen ratios, indicating that as the porogen ratio increases, the tensile strength values decrease. The highest decrease occurs at a ratio of 8:1 between the porogen (NaCl) and the composite (PCL/HA), which is 84%. This happens because NaCl, as the space holder agent used, dissolves during the leaching process and causes the formation of pores. Thus, with the increasing use of NaCl, the porosity of the PCL/HA 3D scaffolds will increase</w:t>
      </w:r>
      <w:r w:rsidR="00C74F1F">
        <w:rPr>
          <w:rFonts w:ascii="Arial" w:eastAsia="Arial" w:hAnsi="Arial" w:cs="Arial"/>
          <w:sz w:val="20"/>
          <w:szCs w:val="20"/>
        </w:rPr>
        <w:t xml:space="preserve"> </w:t>
      </w:r>
      <w:r w:rsidR="00EE1620">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{"citationItems":[{"id":"ITEM-1","itemData":{"DOI":"10.1016/j.msec.2014.05.061","ISSN":"09284931","PMID":"25063141","abstract":"The mechanical properties of highly porous (90% porosity) poly(l-lactide) (PLLA), poly(ε-caprolactone) (PCL) and poly(l-lactide/ε-caprolactone) (PLCL) were investigated. Young's modulus of non-porous PLLA, PCL and PLCL dropped from 2263.4, 183.7 and 5.7 MPa to 16.8, 1.0 and 1.0 MPa, respectively, for their ~ 90% porous counterparts. Elongation at break of PCL decreased noticeably with porosity fraction while PLCL maintained a highly elastomeric character and strain recovery capacity even in the presence of pores. Inorganic bioactive particles (hydroxyapatite or bioglass) were added to confer bioactivity to the aforementioned synthetic bioresorbable polymers, and their effect on the mechanical properties was also investigated. Addition of 15 vol.% of inorganic bioactive particles increased the Young's modulus of highly porous PLLA from 16.2 to ~ 30 MPa. On the contrary, the difference between Young's modulus of filled and unfilled PCL and PLCL scaffolds was not statistically significant. Finally, an in vitro study of the cytocompatibility and adhesion of adipose derived stem cells (ADSCs) was conducted. The observed viability and excellent adhesion of these cells to both porous and non-porous templates indicate that the employed materials can be good candidates for application in tissue engineering. © 2014 Elsevier B.V.","author":[{"dropping-particle":"","family":"Larrañaga","given":"A.","non-dropping-particle":"","parse-names":false,"suffix":""},{"dropping-particle":"","family":"Diamanti","given":"Eleftheria","non-dropping-particle":"","parse-names":false,"suffix":""},{"dropping-particle":"","family":"Rubio","given":"E.","non-dropping-particle":"","parse-names":false,"suffix":""},{"dropping-particle":"","family":"Palomares","given":"T.","non-dropping-particle":"","parse-names":false,"suffix":""},{"dropping-particle":"","family":"Alonso-Varona","given":"A.","non-dropping-particle":"","parse-names":false,"suffix":""},{"dropping-particle":"","family":"Aldazabal","given":"P.","non-dropping-particle":"","parse-names":false,"suffix":""},{"dropping-particle":"","family":"Martin","given":"F. J.","non-dropping-particle":"","parse-names":false,"suffix":""},{"dropping-particle":"","family":"Sarasua","given":"J. R.","non-dropping-particle":"","parse-names":false,"suffix":""}],"container-title":"Materials Science and Engineering C","id":"ITEM-1","issued":{"date-parts":[["2014"]]},"page":"451-460","publisher":"Elsevier B.V.","title":"A study of the mechanical properties and cytocompatibility of lactide and caprolactone based scaffolds filled with inorganic bioactive particles","type":"article-journal","volume":"42"},"uris":["http://www.mendeley.com/documents/?uuid=fcc31c76-468b-4b80-84b4-22e6a247674b","http://www.mendeley.com/documents/?uuid=25e41a2a-2f74-440a-93f8-f92a16b2907d"]},{"id":"ITEM-2","itemData":{"DOI":"10.1016/j.jmbbm.2021.104363","ISSN":"18780180","PMID":"33550144","abstract":"Modification of the setting process of brushite cements by varying the concentration of ions that alter calcium phosphate crystallization kinetics, is known to enable control on the monetite conversion extent and the accompanying microporosity. This is useful because monetite serves as a suitable matrix in macroporous scaffolds due to its higher phase stability and finer crystal morphology compared to its hydrous counterpart brushite. In this study the synergistic effect of NaCl and citric acid on the microstructural evolution of brushite cement was demonstrated and microporosity of macroporous monetite-rich cement blocks was minimized by a variable NaCl porogen size distribution approach. Initially, maximum packing ratio of various combinations of NaCl size groups in PEG were determined by their rheological analysis in a range between 57% and 69%. Statistical analysis revealed a positive correlation between the amounts of NaCl particles under 38μm and 212μm and the maximum packing ratio. Further broadening the size distributions of NaCl porogens with fine cement precursors was effective in increasing the solids packing ratio of cement blocks more than the maximum packing ratio for the porogens. This improvement in packing was accompanied by a reduction in microporosity despite the increase in micropore volume with ion induced monetite formation. The detrimental effect of the microporosity introduced to the structure during monetite formation was balanced for some size distributions and not so much for others, thereby resulting in a wide range of porosities and mechanical properties. Thus, the exponential dependence of mechanical properties on porosity and the mechanical properties of monetite-rich macroporous blocks at the theoretical zero-porosity were determined according to Rice's model. Zero-porosity extrapolations were much higher than those predicted for brushite cement, contrary to the common assumption that brushite is mechanically stronger than monetite.","author":[{"dropping-particle":"","family":"Şahin","given":"Erdem","non-dropping-particle":"","parse-names":false,"suffix":""},{"dropping-particle":"","family":"Çiftçioğlu","given":"Muhsin","non-dropping-particle":"","parse-names":false,"suffix":""}],"container-title":"Journal of the Mechanical Behavior of Biomedical Materials","id":"ITEM-2","issue":"October 2020","issued":{"date-parts":[["2021"]]},"title":"Compositional, microstructural and mechanical effects of NaCl porogens in brushite cement scaffolds","type":"article-journal","volume":"116"},"uris":["http://www.mendeley.com/documents/?uuid=e9d4966b-72db-4815-a44a-396dba6dbfb5","http://www.mendeley.com/documents/?uuid=5a3d7e3f-63d9-41f6-8d56-5efa90d03692"]}],"mendeley":{"formattedCitation":"[14], [30]","plainTextFormattedCitation":"[14], [30]","previouslyFormattedCitation":"[14], [30]"},"properties":{"noteIndex":0},"schema":"https://github.com/citation-style-language/schema/raw/master/csl-citation.json"}</w:instrText>
      </w:r>
      <w:r w:rsidR="00EE1620">
        <w:rPr>
          <w:rFonts w:ascii="Arial" w:eastAsia="Arial" w:hAnsi="Arial" w:cs="Arial"/>
          <w:sz w:val="20"/>
          <w:szCs w:val="20"/>
        </w:rPr>
        <w:fldChar w:fldCharType="separate"/>
      </w:r>
      <w:r w:rsidR="00EE1620" w:rsidRPr="00EE1620">
        <w:rPr>
          <w:rFonts w:ascii="Arial" w:eastAsia="Arial" w:hAnsi="Arial" w:cs="Arial"/>
          <w:noProof/>
          <w:sz w:val="20"/>
          <w:szCs w:val="20"/>
        </w:rPr>
        <w:t>[14], [30]</w:t>
      </w:r>
      <w:r w:rsidR="00EE1620">
        <w:rPr>
          <w:rFonts w:ascii="Arial" w:eastAsia="Arial" w:hAnsi="Arial" w:cs="Arial"/>
          <w:sz w:val="20"/>
          <w:szCs w:val="20"/>
        </w:rPr>
        <w:fldChar w:fldCharType="end"/>
      </w:r>
      <w:r w:rsidRPr="008274CE">
        <w:rPr>
          <w:rFonts w:ascii="Arial" w:eastAsia="Arial" w:hAnsi="Arial" w:cs="Arial"/>
          <w:sz w:val="20"/>
          <w:szCs w:val="20"/>
        </w:rPr>
        <w:t>.</w:t>
      </w:r>
    </w:p>
    <w:p w14:paraId="578700BC" w14:textId="423AA886" w:rsidR="001A4260" w:rsidRDefault="00D21F94" w:rsidP="00567F24">
      <w:pPr>
        <w:spacing w:after="0" w:line="240" w:lineRule="auto"/>
        <w:ind w:leftChars="0" w:left="0" w:firstLineChars="0" w:firstLine="0"/>
        <w:jc w:val="both"/>
        <w:rPr>
          <w:rFonts w:ascii="Arial" w:eastAsia="Arial" w:hAnsi="Arial" w:cs="Arial"/>
          <w:sz w:val="20"/>
          <w:szCs w:val="20"/>
        </w:rPr>
      </w:pPr>
      <w:r w:rsidRPr="00D21F94">
        <w:rPr>
          <w:rFonts w:ascii="Arial" w:eastAsia="Arial" w:hAnsi="Arial" w:cs="Arial"/>
          <w:noProof/>
          <w:sz w:val="20"/>
          <w:szCs w:val="20"/>
        </w:rPr>
        <w:drawing>
          <wp:inline distT="0" distB="0" distL="0" distR="0" wp14:anchorId="5F5FF671" wp14:editId="08826B15">
            <wp:extent cx="2651760" cy="1485265"/>
            <wp:effectExtent l="0" t="0" r="0" b="635"/>
            <wp:docPr id="414488458" name="Picture 1" descr="A graph of a number of blue rectangular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88458" name="Picture 1" descr="A graph of a number of blue rectangular bars&#10;&#10;Description automatically generated with medium confidence"/>
                    <pic:cNvPicPr/>
                  </pic:nvPicPr>
                  <pic:blipFill>
                    <a:blip r:embed="rId27"/>
                    <a:stretch>
                      <a:fillRect/>
                    </a:stretch>
                  </pic:blipFill>
                  <pic:spPr>
                    <a:xfrm>
                      <a:off x="0" y="0"/>
                      <a:ext cx="2651760" cy="1485265"/>
                    </a:xfrm>
                    <a:prstGeom prst="rect">
                      <a:avLst/>
                    </a:prstGeom>
                  </pic:spPr>
                </pic:pic>
              </a:graphicData>
            </a:graphic>
          </wp:inline>
        </w:drawing>
      </w:r>
    </w:p>
    <w:p w14:paraId="1A29A27B" w14:textId="5275C3CA" w:rsidR="00D21F94" w:rsidRDefault="00D21F94" w:rsidP="008274CE">
      <w:pPr>
        <w:spacing w:after="0" w:line="240" w:lineRule="auto"/>
        <w:ind w:leftChars="0" w:left="0" w:firstLineChars="0" w:firstLine="0"/>
        <w:jc w:val="center"/>
        <w:rPr>
          <w:rFonts w:ascii="Arial" w:eastAsia="Arial" w:hAnsi="Arial" w:cs="Arial"/>
          <w:sz w:val="20"/>
          <w:szCs w:val="20"/>
        </w:rPr>
      </w:pPr>
      <w:r w:rsidRPr="00D21F94">
        <w:rPr>
          <w:rFonts w:ascii="Arial" w:eastAsia="Arial" w:hAnsi="Arial" w:cs="Arial"/>
          <w:sz w:val="20"/>
          <w:szCs w:val="20"/>
        </w:rPr>
        <w:t>Fig</w:t>
      </w:r>
      <w:r>
        <w:rPr>
          <w:rFonts w:ascii="Arial" w:eastAsia="Arial" w:hAnsi="Arial" w:cs="Arial"/>
          <w:sz w:val="20"/>
          <w:szCs w:val="20"/>
        </w:rPr>
        <w:t>ure</w:t>
      </w:r>
      <w:r w:rsidRPr="00D21F94">
        <w:rPr>
          <w:rFonts w:ascii="Arial" w:eastAsia="Arial" w:hAnsi="Arial" w:cs="Arial"/>
          <w:sz w:val="20"/>
          <w:szCs w:val="20"/>
        </w:rPr>
        <w:t xml:space="preserve"> </w:t>
      </w:r>
      <w:r w:rsidR="006A7AB2">
        <w:rPr>
          <w:rFonts w:ascii="Arial" w:eastAsia="Arial" w:hAnsi="Arial" w:cs="Arial"/>
          <w:sz w:val="20"/>
          <w:szCs w:val="20"/>
        </w:rPr>
        <w:t>8</w:t>
      </w:r>
      <w:r w:rsidRPr="00D21F94">
        <w:rPr>
          <w:rFonts w:ascii="Arial" w:eastAsia="Arial" w:hAnsi="Arial" w:cs="Arial"/>
          <w:sz w:val="20"/>
          <w:szCs w:val="20"/>
        </w:rPr>
        <w:t>. Effect Ratio Porogen on Tensile Strength</w:t>
      </w:r>
    </w:p>
    <w:p w14:paraId="5F8BBB7D" w14:textId="77777777" w:rsidR="008259C2" w:rsidRDefault="008259C2" w:rsidP="008274CE">
      <w:pPr>
        <w:spacing w:after="0" w:line="240" w:lineRule="auto"/>
        <w:ind w:leftChars="0" w:left="0" w:firstLineChars="0" w:firstLine="0"/>
        <w:jc w:val="center"/>
        <w:rPr>
          <w:rFonts w:ascii="Arial" w:eastAsia="Arial" w:hAnsi="Arial" w:cs="Arial"/>
          <w:sz w:val="20"/>
          <w:szCs w:val="20"/>
        </w:rPr>
      </w:pPr>
    </w:p>
    <w:p w14:paraId="6E8D33A9" w14:textId="0B53EB11" w:rsidR="008259C2" w:rsidRPr="00290658" w:rsidRDefault="008259C2" w:rsidP="008259C2">
      <w:pPr>
        <w:spacing w:after="0" w:line="240" w:lineRule="auto"/>
        <w:ind w:leftChars="0" w:firstLineChars="0" w:firstLine="721"/>
        <w:jc w:val="both"/>
        <w:rPr>
          <w:rFonts w:ascii="Arial" w:eastAsia="Arial" w:hAnsi="Arial" w:cs="Arial"/>
          <w:sz w:val="20"/>
          <w:szCs w:val="20"/>
        </w:rPr>
      </w:pPr>
      <w:r w:rsidRPr="00290658">
        <w:rPr>
          <w:rFonts w:ascii="Arial" w:eastAsia="Arial" w:hAnsi="Arial" w:cs="Arial"/>
          <w:sz w:val="20"/>
          <w:szCs w:val="20"/>
        </w:rPr>
        <w:t xml:space="preserve">Figure </w:t>
      </w:r>
      <w:r w:rsidR="006A7AB2">
        <w:rPr>
          <w:rFonts w:ascii="Arial" w:eastAsia="Arial" w:hAnsi="Arial" w:cs="Arial"/>
          <w:sz w:val="20"/>
          <w:szCs w:val="20"/>
        </w:rPr>
        <w:t>9</w:t>
      </w:r>
      <w:r w:rsidRPr="00290658">
        <w:rPr>
          <w:rFonts w:ascii="Arial" w:eastAsia="Arial" w:hAnsi="Arial" w:cs="Arial"/>
          <w:sz w:val="20"/>
          <w:szCs w:val="20"/>
        </w:rPr>
        <w:t xml:space="preserve"> shows the results of the compressive test on the APTES variations, indicating that the highest compressive strength occurred in sample A1N4, which used 1% APTES, with a compressive strength increase of 283%. However, the addition of more than 1% resulted in </w:t>
      </w:r>
      <w:r w:rsidRPr="00290658">
        <w:rPr>
          <w:rFonts w:ascii="Arial" w:eastAsia="Arial" w:hAnsi="Arial" w:cs="Arial"/>
          <w:sz w:val="20"/>
          <w:szCs w:val="20"/>
        </w:rPr>
        <w:t xml:space="preserve">a compressive strength decrease of up to 59% in the 5% APTES variation. </w:t>
      </w:r>
    </w:p>
    <w:p w14:paraId="3B566FF2" w14:textId="6A82EA4F" w:rsidR="00D21F94" w:rsidRDefault="008259C2" w:rsidP="002D318F">
      <w:pPr>
        <w:spacing w:after="0" w:line="240" w:lineRule="auto"/>
        <w:ind w:leftChars="0" w:left="0" w:firstLineChars="0" w:firstLine="720"/>
        <w:jc w:val="both"/>
        <w:rPr>
          <w:rFonts w:ascii="Arial" w:eastAsia="Arial" w:hAnsi="Arial" w:cs="Arial"/>
          <w:sz w:val="20"/>
          <w:szCs w:val="20"/>
        </w:rPr>
      </w:pPr>
      <w:r w:rsidRPr="00290658">
        <w:rPr>
          <w:rFonts w:ascii="Arial" w:eastAsia="Arial" w:hAnsi="Arial" w:cs="Arial"/>
          <w:sz w:val="20"/>
          <w:szCs w:val="20"/>
        </w:rPr>
        <w:t>It can be concluded that APTES can increase compressive strength by strengthening the interface bond in the composite. However, excessive addition of APTES will cause some APTES to not form good bonds due to incomplete hydrolysis reactions. A surplus amount of APTES will be distributed within the composite as free molecules. These free molecules cause a reduction in the mechanical properties of the 3D PCL/HA composite scaffold</w:t>
      </w:r>
      <w:r w:rsidR="0087425F">
        <w:rPr>
          <w:rFonts w:ascii="Arial" w:eastAsia="Arial" w:hAnsi="Arial" w:cs="Arial"/>
          <w:sz w:val="20"/>
          <w:szCs w:val="20"/>
        </w:rPr>
        <w:t xml:space="preserve"> </w:t>
      </w:r>
      <w:r w:rsidR="00107E4A">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{"citationItems":[{"id":"ITEM-1","itemData":{"DOI":"10.32571/ijct.783998","author":[{"dropping-particle":"","family":"ALDABIB","given":"Jamal","non-dropping-particle":"","parse-names":false,"suffix":""}],"container-title":"International Journal of Chemistry and Technology","id":"ITEM-1","issue":"1","issued":{"date-parts":[["2020"]]},"page":"37-45","title":"Effect of Silane Coupling Agent Content on Mechanical Properties of Hydroxyapatite/Poly(methyl methacrylate) Denture Base Composite","type":"article-journal","volume":"5"},"uris":["http://www.mendeley.com/documents/?uuid=58e9fa16-15a0-487b-b680-f6986c3340d9","http://www.mendeley.com/documents/?uuid=22562e69-bd9e-4ade-9bb9-da225aff484d"]},{"id":"ITEM-2","itemData":{"DOI":"10.1177/0021998311401085","ISSN":"00219983","abstract":"Poly(methyl methacrylate) (PMMA)/hydroxyapatite (HA) denture base composites were prepared using heat-processing polymers powder-liquid method, according to dental laboratory practice. The HA was pre-treated by isopropyl triisostearoyl titanate coupling agent (TCA) in order to improve the interfacial bonding between HA and PMMA. The effects of different concentration of titanate coupling agent (i.e., 2-8%) on the mechanical and morphological properties of PMMA were investigated. It was found that PMMA/2% TCA-treated HA composites exhibited higher flexural modulus and strength compared to PMMA/untreated HA composites. This is attributed to the enhanced interfacial interaction between PMMA and HA by the titanate coupling agent. However, for the PMMA/HA treated with 6% and 8% of TCA, the flexural properties was slightly reduced, which may associated to the plasticizing effects caused by excessive concentration of coupling agent. In addition, the fracture toughness properties of PMMA/5HA composites were influenced by the different concentration of TCA. The thermal properties of the PMMA/HA composites were enhanced by the treatment of titanate coupling agent. © 2011 The Author(s).","author":[{"dropping-particle":"","family":"Tham","given":"W. L.","non-dropping-particle":"","parse-names":false,"suffix":""},{"dropping-particle":"","family":"Chow","given":"W. S.","non-dropping-particle":"","parse-names":false,"suffix":""},{"dropping-particle":"","family":"Mohd Ishak","given":"Z. A.","non-dropping-particle":"","parse-names":false,"suffix":""}],"container-title":"Journal of Composite Materials","id":"ITEM-2","issue":"22","issued":{"date-parts":[["2011"]]},"page":"2335-2345","title":"Effects of titanate coupling agent on the mechanical, thermal, and morphological properties of poly(methyl methacrylate)/hydroxyapatite denture base composites","type":"article-journal","volume":"45"},"uris":["http://www.mendeley.com/documents/?uuid=d39886d6-13f5-4bdd-9019-3dd1620684f4","http://www.mendeley.com/documents/?uuid=290b1cab-8210-4e3f-befa-bb2d24a50dcd","http://www.mendeley.com/documents/?uuid=daf45501-62e4-45ae-be43-6f7173b1791c"]}],"mendeley":{"formattedCitation":"[27], [29]","plainTextFormattedCitation":"[27], [29]","previouslyFormattedCitation":"[27], [29]"},"properties":{"noteIndex":0},"schema":"https://github.com/citation-style-language/schema/raw/master/csl-citation.json"}</w:instrText>
      </w:r>
      <w:r w:rsidR="00107E4A">
        <w:rPr>
          <w:rFonts w:ascii="Arial" w:eastAsia="Arial" w:hAnsi="Arial" w:cs="Arial"/>
          <w:sz w:val="20"/>
          <w:szCs w:val="20"/>
        </w:rPr>
        <w:fldChar w:fldCharType="separate"/>
      </w:r>
      <w:r w:rsidR="00107E4A" w:rsidRPr="00107E4A">
        <w:rPr>
          <w:rFonts w:ascii="Arial" w:eastAsia="Arial" w:hAnsi="Arial" w:cs="Arial"/>
          <w:noProof/>
          <w:sz w:val="20"/>
          <w:szCs w:val="20"/>
        </w:rPr>
        <w:t>[27], [29]</w:t>
      </w:r>
      <w:r w:rsidR="00107E4A">
        <w:rPr>
          <w:rFonts w:ascii="Arial" w:eastAsia="Arial" w:hAnsi="Arial" w:cs="Arial"/>
          <w:sz w:val="20"/>
          <w:szCs w:val="20"/>
        </w:rPr>
        <w:fldChar w:fldCharType="end"/>
      </w:r>
      <w:r w:rsidRPr="00290658">
        <w:rPr>
          <w:rFonts w:ascii="Arial" w:eastAsia="Arial" w:hAnsi="Arial" w:cs="Arial"/>
          <w:sz w:val="20"/>
          <w:szCs w:val="20"/>
        </w:rPr>
        <w:t>.</w:t>
      </w:r>
    </w:p>
    <w:p w14:paraId="0C2DDB49" w14:textId="64F7AB93" w:rsidR="008274CE" w:rsidRDefault="00A16357" w:rsidP="00567F24">
      <w:pPr>
        <w:spacing w:after="0" w:line="240" w:lineRule="auto"/>
        <w:ind w:leftChars="0" w:left="0" w:firstLineChars="0" w:firstLine="0"/>
        <w:jc w:val="both"/>
        <w:rPr>
          <w:rFonts w:ascii="Arial" w:eastAsia="Arial" w:hAnsi="Arial" w:cs="Arial"/>
          <w:sz w:val="20"/>
          <w:szCs w:val="20"/>
        </w:rPr>
      </w:pPr>
      <w:r w:rsidRPr="00A16357">
        <w:rPr>
          <w:rFonts w:ascii="Arial" w:eastAsia="Arial" w:hAnsi="Arial" w:cs="Arial"/>
          <w:noProof/>
          <w:sz w:val="20"/>
          <w:szCs w:val="20"/>
        </w:rPr>
        <w:drawing>
          <wp:inline distT="0" distB="0" distL="0" distR="0" wp14:anchorId="0C7E24E3" wp14:editId="672C79D4">
            <wp:extent cx="2651760" cy="1550035"/>
            <wp:effectExtent l="0" t="0" r="0" b="0"/>
            <wp:docPr id="873706726" name="Picture 1" descr="A graph of a number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06726" name="Picture 1" descr="A graph of a number of blue bars&#10;&#10;Description automatically generated with medium confidence"/>
                    <pic:cNvPicPr/>
                  </pic:nvPicPr>
                  <pic:blipFill>
                    <a:blip r:embed="rId28"/>
                    <a:stretch>
                      <a:fillRect/>
                    </a:stretch>
                  </pic:blipFill>
                  <pic:spPr>
                    <a:xfrm>
                      <a:off x="0" y="0"/>
                      <a:ext cx="2651760" cy="1550035"/>
                    </a:xfrm>
                    <a:prstGeom prst="rect">
                      <a:avLst/>
                    </a:prstGeom>
                  </pic:spPr>
                </pic:pic>
              </a:graphicData>
            </a:graphic>
          </wp:inline>
        </w:drawing>
      </w:r>
    </w:p>
    <w:p w14:paraId="4332A340" w14:textId="510300E2" w:rsidR="008274CE" w:rsidRDefault="00A16357" w:rsidP="00290658">
      <w:pPr>
        <w:spacing w:after="0" w:line="240" w:lineRule="auto"/>
        <w:ind w:leftChars="0" w:left="0" w:firstLineChars="0" w:firstLine="0"/>
        <w:jc w:val="center"/>
        <w:rPr>
          <w:rFonts w:ascii="Arial" w:eastAsia="Arial" w:hAnsi="Arial" w:cs="Arial"/>
          <w:sz w:val="20"/>
          <w:szCs w:val="20"/>
        </w:rPr>
      </w:pPr>
      <w:r w:rsidRPr="00A16357">
        <w:rPr>
          <w:rFonts w:ascii="Arial" w:eastAsia="Arial" w:hAnsi="Arial" w:cs="Arial"/>
          <w:sz w:val="20"/>
          <w:szCs w:val="20"/>
        </w:rPr>
        <w:t>Fig</w:t>
      </w:r>
      <w:r>
        <w:rPr>
          <w:rFonts w:ascii="Arial" w:eastAsia="Arial" w:hAnsi="Arial" w:cs="Arial"/>
          <w:sz w:val="20"/>
          <w:szCs w:val="20"/>
        </w:rPr>
        <w:t>ure</w:t>
      </w:r>
      <w:r w:rsidRPr="00A16357">
        <w:rPr>
          <w:rFonts w:ascii="Arial" w:eastAsia="Arial" w:hAnsi="Arial" w:cs="Arial"/>
          <w:sz w:val="20"/>
          <w:szCs w:val="20"/>
        </w:rPr>
        <w:t xml:space="preserve"> </w:t>
      </w:r>
      <w:r w:rsidR="00764D5D">
        <w:rPr>
          <w:rFonts w:ascii="Arial" w:eastAsia="Arial" w:hAnsi="Arial" w:cs="Arial"/>
          <w:sz w:val="20"/>
          <w:szCs w:val="20"/>
        </w:rPr>
        <w:t>9</w:t>
      </w:r>
      <w:r w:rsidRPr="00A16357">
        <w:rPr>
          <w:rFonts w:ascii="Arial" w:eastAsia="Arial" w:hAnsi="Arial" w:cs="Arial"/>
          <w:sz w:val="20"/>
          <w:szCs w:val="20"/>
        </w:rPr>
        <w:t>. Effect APTES on Compressive Strength</w:t>
      </w:r>
    </w:p>
    <w:p w14:paraId="7C2448B8" w14:textId="77777777" w:rsidR="00A16357" w:rsidRDefault="00A16357" w:rsidP="00567F24">
      <w:pPr>
        <w:spacing w:after="0" w:line="240" w:lineRule="auto"/>
        <w:ind w:leftChars="0" w:left="0" w:firstLineChars="0" w:firstLine="0"/>
        <w:jc w:val="both"/>
        <w:rPr>
          <w:rFonts w:ascii="Arial" w:eastAsia="Arial" w:hAnsi="Arial" w:cs="Arial"/>
          <w:sz w:val="20"/>
          <w:szCs w:val="20"/>
        </w:rPr>
      </w:pPr>
    </w:p>
    <w:p w14:paraId="08D1691D" w14:textId="1BC981BF" w:rsidR="003F7BA6" w:rsidRDefault="003F7BA6" w:rsidP="003F7BA6">
      <w:pPr>
        <w:spacing w:after="0" w:line="240" w:lineRule="auto"/>
        <w:ind w:leftChars="0" w:left="0" w:firstLineChars="0" w:firstLine="720"/>
        <w:jc w:val="both"/>
        <w:rPr>
          <w:rFonts w:ascii="Arial" w:eastAsia="Arial" w:hAnsi="Arial" w:cs="Arial"/>
          <w:sz w:val="20"/>
          <w:szCs w:val="20"/>
        </w:rPr>
      </w:pPr>
      <w:r w:rsidRPr="002B741C">
        <w:rPr>
          <w:rFonts w:ascii="Arial" w:eastAsia="Arial" w:hAnsi="Arial" w:cs="Arial"/>
          <w:sz w:val="20"/>
          <w:szCs w:val="20"/>
        </w:rPr>
        <w:t xml:space="preserve">Figure </w:t>
      </w:r>
      <w:r w:rsidR="00764D5D">
        <w:rPr>
          <w:rFonts w:ascii="Arial" w:eastAsia="Arial" w:hAnsi="Arial" w:cs="Arial"/>
          <w:sz w:val="20"/>
          <w:szCs w:val="20"/>
        </w:rPr>
        <w:t>10</w:t>
      </w:r>
      <w:r w:rsidRPr="002B741C">
        <w:rPr>
          <w:rFonts w:ascii="Arial" w:eastAsia="Arial" w:hAnsi="Arial" w:cs="Arial"/>
          <w:sz w:val="20"/>
          <w:szCs w:val="20"/>
        </w:rPr>
        <w:t xml:space="preserve"> shows the effect of the porogen ratio on compressive strength, indicating that as the porogen ratio increases, the compressive strength value decreases. The highest decrease occurs at a ratio of 8:1 between the porogen (NaCl) and the composite (PCL/HA), which is 78%. This happens because NaCl, as the space holder agent used, dissolves during the leaching process and causes the formation of pores. Thus, with the increasing use of NaCl, the porosity of the PCL/HA 3D scaffolds will increase</w:t>
      </w:r>
      <w:r w:rsidR="008670B2">
        <w:rPr>
          <w:rFonts w:ascii="Arial" w:eastAsia="Arial" w:hAnsi="Arial" w:cs="Arial"/>
          <w:sz w:val="20"/>
          <w:szCs w:val="20"/>
        </w:rPr>
        <w:t xml:space="preserve"> </w:t>
      </w:r>
      <w:r w:rsidR="00A51224">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{"citationItems":[{"id":"ITEM-1","itemData":{"DOI":"10.1016/j.jmbbm.2021.104363","ISSN":"18780180","PMID":"33550144","abstract":"Modification of the setting process of brushite cements by varying the concentration of ions that alter calcium phosphate crystallization kinetics, is known to enable control on the monetite conversion extent and the accompanying microporosity. This is useful because monetite serves as a suitable matrix in macroporous scaffolds due to its higher phase stability and finer crystal morphology compared to its hydrous counterpart brushite. In this study the synergistic effect of NaCl and citric acid on the microstructural evolution of brushite cement was demonstrated and microporosity of macroporous monetite-rich cement blocks was minimized by a variable NaCl porogen size distribution approach. Initially, maximum packing ratio of various combinations of NaCl size groups in PEG were determined by their rheological analysis in a range between 57% and 69%. Statistical analysis revealed a positive correlation between the amounts of NaCl particles under 38μm and 212μm and the maximum packing ratio. Further broadening the size distributions of NaCl porogens with fine cement precursors was effective in increasing the solids packing ratio of cement blocks more than the maximum packing ratio for the porogens. This improvement in packing was accompanied by a reduction in microporosity despite the increase in micropore volume with ion induced monetite formation. The detrimental effect of the microporosity introduced to the structure during monetite formation was balanced for some size distributions and not so much for others, thereby resulting in a wide range of porosities and mechanical properties. Thus, the exponential dependence of mechanical properties on porosity and the mechanical properties of monetite-rich macroporous blocks at the theoretical zero-porosity were determined according to Rice's model. Zero-porosity extrapolations were much higher than those predicted for brushite cement, contrary to the common assumption that brushite is mechanically stronger than monetite.","author":[{"dropping-particle":"","family":"Şahin","given":"Erdem","non-dropping-particle":"","parse-names":false,"suffix":""},{"dropping-particle":"","family":"Çiftçioğlu","given":"Muhsin","non-dropping-particle":"","parse-names":false,"suffix":""}],"container-title":"Journal of the Mechanical Behavior of Biomedical Materials","id":"ITEM-1","issue":"October 2020","issued":{"date-parts":[["2021"]]},"title":"Compositional, microstructural and mechanical effects of NaCl porogens in brushite cement scaffolds","type":"article-journal","volume":"116"},"uris":["http://www.mendeley.com/documents/?uuid=e9d4966b-72db-4815-a44a-396dba6dbfb5","http://www.mendeley.com/documents/?uuid=5a3d7e3f-63d9-41f6-8d56-5efa90d03692"]},{"id":"ITEM-2","itemData":{"DOI":"10.1016/j.msec.2014.05.061","ISSN":"09284931","PMID":"25063141","abstract":"The mechanical properties of highly porous (90% porosity) poly(l-lactide) (PLLA), poly(ε-caprolactone) (PCL) and poly(l-lactide/ε-caprolactone) (PLCL) were investigated. Young's modulus of non-porous PLLA, PCL and PLCL dropped from 2263.4, 183.7 and 5.7 MPa to 16.8, 1.0 and 1.0 MPa, respectively, for their ~ 90% porous counterparts. Elongation at break of PCL decreased noticeably with porosity fraction while PLCL maintained a highly elastomeric character and strain recovery capacity even in the presence of pores. Inorganic bioactive particles (hydroxyapatite or bioglass) were added to confer bioactivity to the aforementioned synthetic bioresorbable polymers, and their effect on the mechanical properties was also investigated. Addition of 15 vol.% of inorganic bioactive particles increased the Young's modulus of highly porous PLLA from 16.2 to ~ 30 MPa. On the contrary, the difference between Young's modulus of filled and unfilled PCL and PLCL scaffolds was not statistically significant. Finally, an in vitro study of the cytocompatibility and adhesion of adipose derived stem cells (ADSCs) was conducted. The observed viability and excellent adhesion of these cells to both porous and non-porous templates indicate that the employed materials can be good candidates for application in tissue engineering. © 2014 Elsevier B.V.","author":[{"dropping-particle":"","family":"Larrañaga","given":"A.","non-dropping-particle":"","parse-names":false,"suffix":""},{"dropping-particle":"","family":"Diamanti","given":"Eleftheria","non-dropping-particle":"","parse-names":false,"suffix":""},{"dropping-particle":"","family":"Rubio","given":"E.","non-dropping-particle":"","parse-names":false,"suffix":""},{"dropping-particle":"","family":"Palomares","given":"T.","non-dropping-particle":"","parse-names":false,"suffix":""},{"dropping-particle":"","family":"Alonso-Varona","given":"A.","non-dropping-particle":"","parse-names":false,"suffix":""},{"dropping-particle":"","family":"Aldazabal","given":"P.","non-dropping-particle":"","parse-names":false,"suffix":""},{"dropping-particle":"","family":"Martin","given":"F. J.","non-dropping-particle":"","parse-names":false,"suffix":""},{"dropping-particle":"","family":"Sarasua","given":"J. R.","non-dropping-particle":"","parse-names":false,"suffix":""}],"container-title":"Materials Science and Engineering C","id":"ITEM-2","issued":{"date-parts":[["2014"]]},"page":"451-460","publisher":"Elsevier B.V.","title":"A study of the mechanical properties and cytocompatibility of lactide and caprolactone based scaffolds filled with inorganic bioactive particles","type":"article-journal","volume":"42"},"uris":["http://www.mendeley.com/documents/?uuid=25e41a2a-2f74-440a-93f8-f92a16b2907d","http://www.mendeley.com/documents/?uuid=fcc31c76-468b-4b80-84b4-22e6a247674b","http://www.mendeley.com/documents/?uuid=d95227ed-8f46-4a7c-896b-9cc4c71a9b06"]}],"mendeley":{"formattedCitation":"[14], [30]","plainTextFormattedCitation":"[14], [30]","previouslyFormattedCitation":"[14], [30]"},"properties":{"noteIndex":0},"schema":"https://github.com/citation-style-language/schema/raw/master/csl-citation.json"}</w:instrText>
      </w:r>
      <w:r w:rsidR="00A51224">
        <w:rPr>
          <w:rFonts w:ascii="Arial" w:eastAsia="Arial" w:hAnsi="Arial" w:cs="Arial"/>
          <w:sz w:val="20"/>
          <w:szCs w:val="20"/>
        </w:rPr>
        <w:fldChar w:fldCharType="separate"/>
      </w:r>
      <w:r w:rsidR="00A51224" w:rsidRPr="00A51224">
        <w:rPr>
          <w:rFonts w:ascii="Arial" w:eastAsia="Arial" w:hAnsi="Arial" w:cs="Arial"/>
          <w:noProof/>
          <w:sz w:val="20"/>
          <w:szCs w:val="20"/>
        </w:rPr>
        <w:t>[14], [30]</w:t>
      </w:r>
      <w:r w:rsidR="00A51224">
        <w:rPr>
          <w:rFonts w:ascii="Arial" w:eastAsia="Arial" w:hAnsi="Arial" w:cs="Arial"/>
          <w:sz w:val="20"/>
          <w:szCs w:val="20"/>
        </w:rPr>
        <w:fldChar w:fldCharType="end"/>
      </w:r>
      <w:r w:rsidRPr="002B741C">
        <w:rPr>
          <w:rFonts w:ascii="Arial" w:eastAsia="Arial" w:hAnsi="Arial" w:cs="Arial"/>
          <w:sz w:val="20"/>
          <w:szCs w:val="20"/>
        </w:rPr>
        <w:t>.</w:t>
      </w:r>
    </w:p>
    <w:p w14:paraId="0F0B9769" w14:textId="46CE2C7B" w:rsidR="00290658" w:rsidRDefault="00290658" w:rsidP="00965D93">
      <w:pPr>
        <w:spacing w:after="0" w:line="240" w:lineRule="auto"/>
        <w:ind w:leftChars="0" w:left="0" w:firstLineChars="0" w:firstLine="720"/>
        <w:jc w:val="both"/>
        <w:rPr>
          <w:rFonts w:ascii="Arial" w:eastAsia="Arial" w:hAnsi="Arial" w:cs="Arial"/>
          <w:sz w:val="20"/>
          <w:szCs w:val="20"/>
        </w:rPr>
      </w:pPr>
    </w:p>
    <w:p w14:paraId="19F4654B" w14:textId="48C90E81" w:rsidR="00965D93" w:rsidRDefault="00965D93" w:rsidP="00567F24">
      <w:pPr>
        <w:spacing w:after="0" w:line="240" w:lineRule="auto"/>
        <w:ind w:leftChars="0" w:left="0" w:firstLineChars="0" w:firstLine="0"/>
        <w:jc w:val="both"/>
        <w:rPr>
          <w:rFonts w:ascii="Arial" w:eastAsia="Arial" w:hAnsi="Arial" w:cs="Arial"/>
          <w:sz w:val="20"/>
          <w:szCs w:val="20"/>
        </w:rPr>
      </w:pPr>
      <w:r w:rsidRPr="00965D93">
        <w:rPr>
          <w:rFonts w:ascii="Arial" w:eastAsia="Arial" w:hAnsi="Arial" w:cs="Arial"/>
          <w:noProof/>
          <w:sz w:val="20"/>
          <w:szCs w:val="20"/>
        </w:rPr>
        <w:drawing>
          <wp:inline distT="0" distB="0" distL="0" distR="0" wp14:anchorId="643E424D" wp14:editId="4E5F3508">
            <wp:extent cx="2651760" cy="1489710"/>
            <wp:effectExtent l="0" t="0" r="0" b="0"/>
            <wp:docPr id="939476606" name="Picture 1" descr="A graph of a number of blue rectangular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76606" name="Picture 1" descr="A graph of a number of blue rectangular objects&#10;&#10;Description automatically generated with medium confidence"/>
                    <pic:cNvPicPr/>
                  </pic:nvPicPr>
                  <pic:blipFill>
                    <a:blip r:embed="rId29"/>
                    <a:stretch>
                      <a:fillRect/>
                    </a:stretch>
                  </pic:blipFill>
                  <pic:spPr>
                    <a:xfrm>
                      <a:off x="0" y="0"/>
                      <a:ext cx="2651760" cy="1489710"/>
                    </a:xfrm>
                    <a:prstGeom prst="rect">
                      <a:avLst/>
                    </a:prstGeom>
                  </pic:spPr>
                </pic:pic>
              </a:graphicData>
            </a:graphic>
          </wp:inline>
        </w:drawing>
      </w:r>
    </w:p>
    <w:p w14:paraId="3D128A7E" w14:textId="5AEFB825" w:rsidR="00A4514F" w:rsidRDefault="002B741C" w:rsidP="00A4514F">
      <w:pPr>
        <w:spacing w:after="0" w:line="240" w:lineRule="auto"/>
        <w:ind w:leftChars="0" w:left="0" w:firstLineChars="0" w:firstLine="0"/>
        <w:jc w:val="center"/>
        <w:rPr>
          <w:rFonts w:ascii="Arial" w:eastAsia="Arial" w:hAnsi="Arial" w:cs="Arial"/>
          <w:sz w:val="20"/>
          <w:szCs w:val="20"/>
        </w:rPr>
      </w:pPr>
      <w:r w:rsidRPr="002B741C">
        <w:rPr>
          <w:rFonts w:ascii="Arial" w:eastAsia="Arial" w:hAnsi="Arial" w:cs="Arial"/>
          <w:sz w:val="20"/>
          <w:szCs w:val="20"/>
        </w:rPr>
        <w:t>Fig</w:t>
      </w:r>
      <w:r>
        <w:rPr>
          <w:rFonts w:ascii="Arial" w:eastAsia="Arial" w:hAnsi="Arial" w:cs="Arial"/>
          <w:sz w:val="20"/>
          <w:szCs w:val="20"/>
        </w:rPr>
        <w:t>ure</w:t>
      </w:r>
      <w:r w:rsidRPr="002B741C">
        <w:rPr>
          <w:rFonts w:ascii="Arial" w:eastAsia="Arial" w:hAnsi="Arial" w:cs="Arial"/>
          <w:sz w:val="20"/>
          <w:szCs w:val="20"/>
        </w:rPr>
        <w:t xml:space="preserve"> </w:t>
      </w:r>
      <w:r w:rsidR="00CB57E3">
        <w:rPr>
          <w:rFonts w:ascii="Arial" w:eastAsia="Arial" w:hAnsi="Arial" w:cs="Arial"/>
          <w:sz w:val="20"/>
          <w:szCs w:val="20"/>
        </w:rPr>
        <w:t>10</w:t>
      </w:r>
      <w:r w:rsidRPr="002B741C">
        <w:rPr>
          <w:rFonts w:ascii="Arial" w:eastAsia="Arial" w:hAnsi="Arial" w:cs="Arial"/>
          <w:sz w:val="20"/>
          <w:szCs w:val="20"/>
        </w:rPr>
        <w:t>. Effect Ratio Porogen on Compressive Strength</w:t>
      </w:r>
    </w:p>
    <w:p w14:paraId="1912D336" w14:textId="77777777" w:rsidR="00A4514F" w:rsidRDefault="00A4514F" w:rsidP="00A4514F">
      <w:pPr>
        <w:spacing w:after="0" w:line="240" w:lineRule="auto"/>
        <w:ind w:leftChars="0" w:left="0" w:firstLineChars="0" w:firstLine="0"/>
        <w:rPr>
          <w:rFonts w:ascii="Arial" w:eastAsia="Arial" w:hAnsi="Arial" w:cs="Arial"/>
          <w:sz w:val="20"/>
          <w:szCs w:val="20"/>
        </w:rPr>
      </w:pPr>
    </w:p>
    <w:p w14:paraId="2E4C30B8" w14:textId="54B9E5FE" w:rsidR="00962910" w:rsidRDefault="00962910" w:rsidP="00962910">
      <w:pPr>
        <w:spacing w:after="0" w:line="240" w:lineRule="auto"/>
        <w:ind w:leftChars="0" w:left="0" w:firstLineChars="0" w:firstLine="720"/>
        <w:jc w:val="both"/>
        <w:rPr>
          <w:rFonts w:ascii="Arial" w:eastAsia="Arial" w:hAnsi="Arial" w:cs="Arial"/>
          <w:sz w:val="20"/>
          <w:szCs w:val="20"/>
        </w:rPr>
      </w:pPr>
      <w:r w:rsidRPr="00962910">
        <w:rPr>
          <w:rFonts w:ascii="Arial" w:eastAsia="Arial" w:hAnsi="Arial" w:cs="Arial"/>
          <w:sz w:val="20"/>
          <w:szCs w:val="20"/>
        </w:rPr>
        <w:t>Figure 1</w:t>
      </w:r>
      <w:r w:rsidR="00CB57E3">
        <w:rPr>
          <w:rFonts w:ascii="Arial" w:eastAsia="Arial" w:hAnsi="Arial" w:cs="Arial"/>
          <w:sz w:val="20"/>
          <w:szCs w:val="20"/>
        </w:rPr>
        <w:t>1</w:t>
      </w:r>
      <w:r w:rsidRPr="00962910">
        <w:rPr>
          <w:rFonts w:ascii="Arial" w:eastAsia="Arial" w:hAnsi="Arial" w:cs="Arial"/>
          <w:sz w:val="20"/>
          <w:szCs w:val="20"/>
        </w:rPr>
        <w:t xml:space="preserve"> (a) shows the results of the weight loss test evaluated over 15 days with evaluations every 5 days. From the image, it can be seen that the addition of APTES tends to reduce weight loss. With the addition of 1% APTES, there is a 32% reduction in the degradation rate. However, after adding more </w:t>
      </w:r>
      <w:r w:rsidRPr="00962910">
        <w:rPr>
          <w:rFonts w:ascii="Arial" w:eastAsia="Arial" w:hAnsi="Arial" w:cs="Arial"/>
          <w:sz w:val="20"/>
          <w:szCs w:val="20"/>
        </w:rPr>
        <w:lastRenderedPageBreak/>
        <w:t xml:space="preserve">than 1%, there is an increase of up to 49% in the 5% APTES variation. </w:t>
      </w:r>
    </w:p>
    <w:p w14:paraId="627073A0" w14:textId="6901AAF8" w:rsidR="00962910" w:rsidRDefault="00962910" w:rsidP="00962910">
      <w:pPr>
        <w:spacing w:after="0" w:line="240" w:lineRule="auto"/>
        <w:ind w:leftChars="0" w:left="0" w:firstLineChars="0" w:firstLine="720"/>
        <w:jc w:val="both"/>
        <w:rPr>
          <w:rFonts w:ascii="Arial" w:eastAsia="Arial" w:hAnsi="Arial" w:cs="Arial"/>
          <w:sz w:val="20"/>
          <w:szCs w:val="20"/>
        </w:rPr>
      </w:pPr>
      <w:r w:rsidRPr="00962910">
        <w:rPr>
          <w:rFonts w:ascii="Arial" w:eastAsia="Arial" w:hAnsi="Arial" w:cs="Arial"/>
          <w:sz w:val="20"/>
          <w:szCs w:val="20"/>
        </w:rPr>
        <w:t>Based on the weight loss test results, APTES can reduce the degradation rate by increasing the strength of the interface bonding in the composite. With stronger bonds, the composite becomes more resistant to degradation, resulting in a decrease in weight loss</w:t>
      </w:r>
      <w:r w:rsidR="00CF2B27">
        <w:rPr>
          <w:rFonts w:ascii="Arial" w:eastAsia="Arial" w:hAnsi="Arial" w:cs="Arial"/>
          <w:sz w:val="20"/>
          <w:szCs w:val="20"/>
        </w:rPr>
        <w:t xml:space="preserve"> </w:t>
      </w:r>
      <w:r w:rsidR="00180E10">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{"citationItems":[{"id":"ITEM-1","itemData":{"DOI":"10.3390/molecules25040886","ISSN":"14203049","PMID":"32079297","abstract":"This work evaluates the effects of newly designed graphene/silica hybrid additives on the properties of cementitious grout. In the hybrid structure, graphene nanoplatelet (GNP) obtained from waste tire was used to improve the thermal conductivity and reduce the cost and environmental impacts by using recyclable sources. Additionally, functionalized silica nanoparticles were utilized to enhance the dispersion and solubility of carbon material and thus the hydrolyzable groups of silane coupling agent were attached to the silica surface. Then, the hybridization of GNP and functionalized silica was conducted to make proper bridges and develop hybrid structures by tailoring carbon/silica ratios. Afterwards, special grout formulations were studied by incorporating these hybrid additives at different loadings. As the amount of hybrid additive incorporated into grout suspension increased from 3 to 5 wt%, water uptake increased from 660 to 725 g resulting in the reduction of thermal conductivity by 20.6%. On the other hand, as the concentration of GNP in hybrid structure increased, water demand was reduced, and thus the enhancement in thermal conductivity was improved by approximately 29% at the same loading ratios of hybrids in the prepared grout mixes. Therefore, these developed hybrid additives showed noticeable potential as a thermal enhancement material in cement-based grouts.","author":[{"dropping-particle":"","family":"Berktas","given":"Ilayda","non-dropping-particle":"","parse-names":false,"suffix":""},{"dropping-particle":"","family":"Ghafar","given":"Ali Nejad","non-dropping-particle":"","parse-names":false,"suffix":""},{"dropping-particle":"","family":"Fontana","given":"Patrick","non-dropping-particle":"","parse-names":false,"suffix":""},{"dropping-particle":"","family":"Caputcu","given":"Ayten","non-dropping-particle":"","parse-names":false,"suffix":""},{"dropping-particle":"","family":"Menceloglu","given":"Yusuf","non-dropping-particle":"","parse-names":false,"suffix":""},{"dropping-particle":"","family":"Okan","given":"Burcu Saner","non-dropping-particle":"","parse-names":false,"suffix":""}],"container-title":"Molecules","id":"ITEM-1","issue":"4","issued":{"date-parts":[["2020"]]},"title":"Facile synthesis of graphene from waste tire/silica hybrid additives and optimization study for the fabrication of thermally enhanced cement grouts","type":"article-journal","volume":"25"},"uris":["http://www.mendeley.com/documents/?uuid=429596e4-fb9b-4478-8635-5abe6abb47e2","http://www.mendeley.com/documents/?uuid=7393b209-d727-4ce4-b71a-3c6c37013263"]},{"id":"ITEM-2","itemData":{"DOI":"10.1016/j.colsurfb.2020.111083","ISSN":"18734367","PMID":"32388393","abstract":"The combination of biopolymer and bioceramic can mimic the chemical composition of the native bone extracellular matrix which is composed of inorganic minerals and organic collagenous. However, the poor interfacial compatibility between organic biopolymer and inorganic bioceramic restricts the full development of bioceramic/biopolymer composite scaffold for bone regeneration application. Coupling agents have been widely used to build a “molecular bridge” in the interface between biopolymer and bioceramic due to the two different functional groups in its structure. One is organophilic functional groups which can react with polymer molecules, and the other is special functional groups which can adsorb on bioceramic surface to form a firm bond. As a result, the stress transfer efficiency between biopolymer and bioceramic can be enhanced, and thereby improving the mechanical properties of the composite scaffold. In this study, the interfacial features between bioceramic and biopolymer and the methods to improve interface bonding were presented, and the interfacial reaction mechanisms under the action of coupling agents especially silane coupling agents were focused on discussing. In addition, the mechanical properties, in vitro and in vivo biological properties of the bioceramic/biopolymer composite scaffold after coupling agent modification were systematically summarized. Finally, suggestions for further work were put forward, including the study on controlling coupling agent content, and more in vitro and in vivo experimental evaluation.","author":[{"dropping-particle":"","family":"Shuai","given":"Cijun","non-dropping-particle":"","parse-names":false,"suffix":""},{"dropping-particle":"","family":"Yu","given":"Li","non-dropping-particle":"","parse-names":false,"suffix":""},{"dropping-particle":"","family":"Feng","given":"Pei","non-dropping-particle":"","parse-names":false,"suffix":""},{"dropping-particle":"","family":"Gao","given":"Chengde","non-dropping-particle":"","parse-names":false,"suffix":""},{"dropping-particle":"","family":"Peng","given":"Shuping","non-dropping-particle":"","parse-names":false,"suffix":""}],"container-title":"Colloids and Surfaces B: Biointerfaces","id":"ITEM-2","issue":"February","issued":{"date-parts":[["2020"]]},"title":"Interfacial reinforcement in bioceramic/biopolymer composite bone scaffold: The role of coupling agent","type":"article-journal","volume":"193"},"uris":["http://www.mendeley.com/documents/?uuid=5715dbab-f85a-4490-90d3-9bcb611c3870","http://www.mendeley.com/documents/?uuid=be2a1cfd-ccea-4319-aace-bf883e90ab43"]}],"mendeley":{"formattedCitation":"[28], [31]","plainTextFormattedCitation":"[28], [31]","previouslyFormattedCitation":"[28], [31]"},"properties":{"noteIndex":0},"schema":"https://github.com/citation-style-language/schema/raw/master/csl-citation.json"}</w:instrText>
      </w:r>
      <w:r w:rsidR="00180E10">
        <w:rPr>
          <w:rFonts w:ascii="Arial" w:eastAsia="Arial" w:hAnsi="Arial" w:cs="Arial"/>
          <w:sz w:val="20"/>
          <w:szCs w:val="20"/>
        </w:rPr>
        <w:fldChar w:fldCharType="separate"/>
      </w:r>
      <w:r w:rsidR="00180E10" w:rsidRPr="00180E10">
        <w:rPr>
          <w:rFonts w:ascii="Arial" w:eastAsia="Arial" w:hAnsi="Arial" w:cs="Arial"/>
          <w:noProof/>
          <w:sz w:val="20"/>
          <w:szCs w:val="20"/>
        </w:rPr>
        <w:t>[28], [31]</w:t>
      </w:r>
      <w:r w:rsidR="00180E10">
        <w:rPr>
          <w:rFonts w:ascii="Arial" w:eastAsia="Arial" w:hAnsi="Arial" w:cs="Arial"/>
          <w:sz w:val="20"/>
          <w:szCs w:val="20"/>
        </w:rPr>
        <w:fldChar w:fldCharType="end"/>
      </w:r>
      <w:r w:rsidR="00180E10">
        <w:rPr>
          <w:rFonts w:ascii="Arial" w:eastAsia="Arial" w:hAnsi="Arial" w:cs="Arial"/>
          <w:sz w:val="20"/>
          <w:szCs w:val="20"/>
        </w:rPr>
        <w:t>.</w:t>
      </w:r>
      <w:r w:rsidRPr="00962910">
        <w:rPr>
          <w:rFonts w:ascii="Arial" w:eastAsia="Arial" w:hAnsi="Arial" w:cs="Arial"/>
          <w:sz w:val="20"/>
          <w:szCs w:val="20"/>
        </w:rPr>
        <w:t xml:space="preserve"> Meanwhile, the addition of the porogen ratio increases the weight loss rate by up to 34% in the A3N8 sample with an 8:1 ratio. </w:t>
      </w:r>
    </w:p>
    <w:p w14:paraId="6258A3F8" w14:textId="11FE5BC3" w:rsidR="00962910" w:rsidRDefault="00962910" w:rsidP="00962910">
      <w:pPr>
        <w:spacing w:after="0" w:line="240" w:lineRule="auto"/>
        <w:ind w:leftChars="0" w:left="0" w:firstLineChars="0" w:firstLine="720"/>
        <w:jc w:val="both"/>
        <w:rPr>
          <w:rFonts w:ascii="Arial" w:eastAsia="Arial" w:hAnsi="Arial" w:cs="Arial"/>
          <w:sz w:val="20"/>
          <w:szCs w:val="20"/>
        </w:rPr>
      </w:pPr>
      <w:r w:rsidRPr="00962910">
        <w:rPr>
          <w:rFonts w:ascii="Arial" w:eastAsia="Arial" w:hAnsi="Arial" w:cs="Arial"/>
          <w:sz w:val="20"/>
          <w:szCs w:val="20"/>
        </w:rPr>
        <w:t>In Figure 1</w:t>
      </w:r>
      <w:r w:rsidR="00CB57E3">
        <w:rPr>
          <w:rFonts w:ascii="Arial" w:eastAsia="Arial" w:hAnsi="Arial" w:cs="Arial"/>
          <w:sz w:val="20"/>
          <w:szCs w:val="20"/>
        </w:rPr>
        <w:t>1</w:t>
      </w:r>
      <w:r w:rsidRPr="00962910">
        <w:rPr>
          <w:rFonts w:ascii="Arial" w:eastAsia="Arial" w:hAnsi="Arial" w:cs="Arial"/>
          <w:sz w:val="20"/>
          <w:szCs w:val="20"/>
        </w:rPr>
        <w:t xml:space="preserve"> (b), the effect of the porogen ratio on weight loss is shown. From the figure, it can be seen that with the addition of the porogen ratio, the weight loss value increases. The highest increase occurs in the sample with an 8:1 ratio between the porogen and the composite, which is 34%. This happens because the higher the porogen ratio, the greater the porosity, and with increased porosity, the surface area exposed to the environment (PBS) also increases, leading to a higher weight loss value</w:t>
      </w:r>
      <w:r w:rsidR="000E01CB">
        <w:rPr>
          <w:rFonts w:ascii="Arial" w:eastAsia="Arial" w:hAnsi="Arial" w:cs="Arial"/>
          <w:sz w:val="20"/>
          <w:szCs w:val="20"/>
        </w:rPr>
        <w:t xml:space="preserve"> </w:t>
      </w:r>
      <w:r w:rsidR="00304E6E">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{"citationItems":[{"id":"ITEM-1","itemData":{"DOI":"10.1080/00914037.2022.2075869","ISSN":"1563535X","abstract":"For the treatment of bone injuries and defects, when PLA and 3D printer technology are combined with its features, it promises great hope in personalized treatment. The average pore size is one of the cornerstones of the success of bone tissue engineering studies. In this study, five different tissue scaffolds with average pore sizes ranging from 100 to 550 μm were printed using a 3D printer and characterized by DSC, FT-IR, BF, SEM, contact angle measurement, mechanical, and degradation analysis for their structural, chemical and mechanical properties. Subsequently, in vitro studies were initiated and the differentiation capacity of mesenchymal stem cells isolated from rat bone marrow and their use in bone tissue engineering applications were investigated by MTS, Live-Dead, Pico Green, ALP assays, and von Kossa staining. In conclusion, it was seen that the most ideal results were obtained in scaffolds with a pore size of 370–460 μm in terms of cell retention, proliferation, and differentiation. Based on extensive experimental data, 3D printed PLA scaffold with a 60% filling rate has been found to be a promising scaffold for BTE applications compared with the 50, 70, 80, and 90% filling rate scaffolds.","author":[{"dropping-particle":"","family":"Büyük","given":"Nisa İrem","non-dropping-particle":"","parse-names":false,"suffix":""},{"dropping-particle":"","family":"Aksu","given":"Didem","non-dropping-particle":"","parse-names":false,"suffix":""},{"dropping-particle":"","family":"Torun Köse","given":"Gamze","non-dropping-particle":"","parse-names":false,"suffix":""}],"container-title":"International Journal of Polymeric Materials and Polymeric Biomaterials","id":"ITEM-1","issue":"13","issued":{"date-parts":[["2023"]]},"page":"1021-1031","title":"Effect of different pore sizes of 3D printed PLA-based scaffold in bone tissue engineering","type":"article-journal","volume":"72"},"uris":["http://www.mendeley.com/documents/?uuid=9a0b39bc-0af2-4bde-8809-7da611f7171f","http://www.mendeley.com/documents/?uuid=fa12e972-41ef-4787-8df2-698bc55052ec"]}],"mendeley":{"formattedCitation":"[32]","plainTextFormattedCitation":"[32]","previouslyFormattedCitation":"[32]"},"properties":{"noteIndex":0},"schema":"https://github.com/citation-style-language/schema/raw/master/csl-citation.json"}</w:instrText>
      </w:r>
      <w:r w:rsidR="00304E6E">
        <w:rPr>
          <w:rFonts w:ascii="Arial" w:eastAsia="Arial" w:hAnsi="Arial" w:cs="Arial"/>
          <w:sz w:val="20"/>
          <w:szCs w:val="20"/>
        </w:rPr>
        <w:fldChar w:fldCharType="separate"/>
      </w:r>
      <w:r w:rsidR="00304E6E" w:rsidRPr="00304E6E">
        <w:rPr>
          <w:rFonts w:ascii="Arial" w:eastAsia="Arial" w:hAnsi="Arial" w:cs="Arial"/>
          <w:noProof/>
          <w:sz w:val="20"/>
          <w:szCs w:val="20"/>
        </w:rPr>
        <w:t>[32]</w:t>
      </w:r>
      <w:r w:rsidR="00304E6E">
        <w:rPr>
          <w:rFonts w:ascii="Arial" w:eastAsia="Arial" w:hAnsi="Arial" w:cs="Arial"/>
          <w:sz w:val="20"/>
          <w:szCs w:val="20"/>
        </w:rPr>
        <w:fldChar w:fldCharType="end"/>
      </w:r>
      <w:r w:rsidR="000E01CB">
        <w:rPr>
          <w:rFonts w:ascii="Arial" w:eastAsia="Arial" w:hAnsi="Arial" w:cs="Arial"/>
          <w:sz w:val="20"/>
          <w:szCs w:val="20"/>
        </w:rPr>
        <w:t>.</w:t>
      </w:r>
    </w:p>
    <w:p w14:paraId="30EEAB8D" w14:textId="441B1203" w:rsidR="008D2807" w:rsidRDefault="008D2807" w:rsidP="00D50FD1">
      <w:pPr>
        <w:spacing w:after="0" w:line="240" w:lineRule="auto"/>
        <w:ind w:leftChars="0" w:left="0" w:firstLineChars="0" w:firstLine="0"/>
        <w:jc w:val="center"/>
        <w:rPr>
          <w:rFonts w:ascii="Arial" w:eastAsia="Arial" w:hAnsi="Arial" w:cs="Arial"/>
          <w:sz w:val="20"/>
          <w:szCs w:val="20"/>
        </w:rPr>
      </w:pPr>
      <w:r w:rsidRPr="00FA790D">
        <w:rPr>
          <w:noProof/>
        </w:rPr>
        <w:drawing>
          <wp:inline distT="0" distB="0" distL="0" distR="0" wp14:anchorId="5D8ECF23" wp14:editId="54631B1F">
            <wp:extent cx="2651760" cy="1678147"/>
            <wp:effectExtent l="0" t="0" r="0" b="0"/>
            <wp:docPr id="1704824572"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2E1B0DB" w14:textId="52579CC6" w:rsidR="00CA21D0" w:rsidRDefault="00CA21D0" w:rsidP="00CA21D0">
      <w:pPr>
        <w:spacing w:after="0" w:line="240" w:lineRule="auto"/>
        <w:ind w:leftChars="0" w:left="0" w:firstLineChars="0" w:firstLine="0"/>
        <w:jc w:val="center"/>
        <w:rPr>
          <w:rFonts w:ascii="Arial" w:eastAsia="Arial" w:hAnsi="Arial" w:cs="Arial"/>
          <w:sz w:val="20"/>
          <w:szCs w:val="20"/>
        </w:rPr>
      </w:pPr>
      <w:r>
        <w:rPr>
          <w:rFonts w:ascii="Arial" w:eastAsia="Arial" w:hAnsi="Arial" w:cs="Arial"/>
          <w:sz w:val="20"/>
          <w:szCs w:val="20"/>
        </w:rPr>
        <w:t>(a)</w:t>
      </w:r>
    </w:p>
    <w:p w14:paraId="201B2CC4" w14:textId="4D9119C5" w:rsidR="008D2807" w:rsidRDefault="008D2807" w:rsidP="00D50FD1">
      <w:pPr>
        <w:spacing w:after="0" w:line="240" w:lineRule="auto"/>
        <w:ind w:leftChars="0" w:left="0" w:firstLineChars="0" w:firstLine="0"/>
        <w:jc w:val="center"/>
        <w:rPr>
          <w:rFonts w:ascii="Arial" w:eastAsia="Arial" w:hAnsi="Arial" w:cs="Arial"/>
          <w:sz w:val="20"/>
          <w:szCs w:val="20"/>
        </w:rPr>
      </w:pPr>
      <w:r w:rsidRPr="00FA790D">
        <w:rPr>
          <w:noProof/>
        </w:rPr>
        <w:drawing>
          <wp:inline distT="0" distB="0" distL="0" distR="0" wp14:anchorId="529667BE" wp14:editId="415F823B">
            <wp:extent cx="2651760" cy="1576548"/>
            <wp:effectExtent l="0" t="0" r="0" b="5080"/>
            <wp:docPr id="1389771545" name="Char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549E1F9" w14:textId="73282463" w:rsidR="00CA21D0" w:rsidRDefault="00CA21D0" w:rsidP="00CA21D0">
      <w:pPr>
        <w:spacing w:after="0" w:line="240" w:lineRule="auto"/>
        <w:ind w:leftChars="0" w:left="0" w:firstLineChars="0" w:firstLine="0"/>
        <w:jc w:val="center"/>
        <w:rPr>
          <w:rFonts w:ascii="Arial" w:eastAsia="Arial" w:hAnsi="Arial" w:cs="Arial"/>
          <w:sz w:val="20"/>
          <w:szCs w:val="20"/>
        </w:rPr>
      </w:pPr>
      <w:r>
        <w:rPr>
          <w:rFonts w:ascii="Arial" w:eastAsia="Arial" w:hAnsi="Arial" w:cs="Arial"/>
          <w:sz w:val="20"/>
          <w:szCs w:val="20"/>
        </w:rPr>
        <w:t>(b)</w:t>
      </w:r>
    </w:p>
    <w:p w14:paraId="2940B7BF" w14:textId="2D89708E" w:rsidR="00CE08CF" w:rsidRDefault="00165130" w:rsidP="00145106">
      <w:pPr>
        <w:spacing w:after="0" w:line="240" w:lineRule="auto"/>
        <w:ind w:leftChars="0" w:left="0" w:firstLineChars="0" w:firstLine="0"/>
        <w:jc w:val="center"/>
        <w:rPr>
          <w:rFonts w:ascii="Arial" w:eastAsia="Arial" w:hAnsi="Arial" w:cs="Arial"/>
          <w:sz w:val="20"/>
          <w:szCs w:val="20"/>
        </w:rPr>
      </w:pPr>
      <w:r>
        <w:rPr>
          <w:rFonts w:ascii="Arial" w:eastAsia="Arial" w:hAnsi="Arial" w:cs="Arial"/>
          <w:sz w:val="20"/>
          <w:szCs w:val="20"/>
        </w:rPr>
        <w:t xml:space="preserve">Figure 11. Effect of </w:t>
      </w:r>
      <w:r w:rsidR="00145106">
        <w:rPr>
          <w:rFonts w:ascii="Arial" w:eastAsia="Arial" w:hAnsi="Arial" w:cs="Arial"/>
          <w:sz w:val="20"/>
          <w:szCs w:val="20"/>
        </w:rPr>
        <w:t xml:space="preserve">(a) APTES and (b) Porogen Ratio on </w:t>
      </w:r>
      <w:r w:rsidR="00633BA7">
        <w:rPr>
          <w:rFonts w:ascii="Arial" w:eastAsia="Arial" w:hAnsi="Arial" w:cs="Arial"/>
          <w:sz w:val="20"/>
          <w:szCs w:val="20"/>
        </w:rPr>
        <w:t xml:space="preserve">Rate of </w:t>
      </w:r>
      <w:r w:rsidR="00145106">
        <w:rPr>
          <w:rFonts w:ascii="Arial" w:eastAsia="Arial" w:hAnsi="Arial" w:cs="Arial"/>
          <w:sz w:val="20"/>
          <w:szCs w:val="20"/>
        </w:rPr>
        <w:t>Weight Loss</w:t>
      </w:r>
    </w:p>
    <w:p w14:paraId="3438B6B3" w14:textId="77777777" w:rsidR="00145106" w:rsidRDefault="00145106" w:rsidP="00CE08CF">
      <w:pPr>
        <w:spacing w:after="0" w:line="240" w:lineRule="auto"/>
        <w:ind w:leftChars="0" w:left="0" w:firstLineChars="0" w:firstLine="720"/>
        <w:rPr>
          <w:rFonts w:ascii="Arial" w:eastAsia="Arial" w:hAnsi="Arial" w:cs="Arial"/>
          <w:sz w:val="20"/>
          <w:szCs w:val="20"/>
        </w:rPr>
      </w:pPr>
    </w:p>
    <w:p w14:paraId="7541A028" w14:textId="5E8DAD81" w:rsidR="00CE08CF" w:rsidRDefault="00CE08CF" w:rsidP="006D7FA6">
      <w:pPr>
        <w:spacing w:after="0" w:line="240" w:lineRule="auto"/>
        <w:ind w:leftChars="0" w:left="0" w:firstLineChars="0" w:firstLine="720"/>
        <w:jc w:val="both"/>
        <w:rPr>
          <w:rFonts w:ascii="Arial" w:eastAsia="Arial" w:hAnsi="Arial" w:cs="Arial"/>
          <w:sz w:val="20"/>
          <w:szCs w:val="20"/>
        </w:rPr>
      </w:pPr>
      <w:r w:rsidRPr="00CE08CF">
        <w:rPr>
          <w:rFonts w:ascii="Arial" w:eastAsia="Arial" w:hAnsi="Arial" w:cs="Arial"/>
          <w:sz w:val="20"/>
          <w:szCs w:val="20"/>
        </w:rPr>
        <w:t xml:space="preserve">The predicted lifetime of the composite can be observed from the amount of weight loss over a certain period. When the weight loss reaches 100%, it can be said that the material has been substituted with human bone tissue. The lifetime of the samples with APTES addition can be seen in Table 2. From the table, it is evident that the addition of APTES can increase the </w:t>
      </w:r>
      <w:r w:rsidRPr="00CE08CF">
        <w:rPr>
          <w:rFonts w:ascii="Arial" w:eastAsia="Arial" w:hAnsi="Arial" w:cs="Arial"/>
          <w:sz w:val="20"/>
          <w:szCs w:val="20"/>
        </w:rPr>
        <w:t>lifetime by 120% at the 1% APTES variation. However, with the addition of more than 1%, there is a decrease in lifetime by 27% at the 5% APTES variation. This occurs because the addition of APTES can enhance the bond strength at the composite interface, thereby increasing the lifetime. On the other hand, with the addition of more than 1%, there is APTES that does not bond well due to incomplete hydrolysis reactions. Causing the interface strength to be uneven, thus the lifetime will decrease</w:t>
      </w:r>
    </w:p>
    <w:p w14:paraId="60D7304B" w14:textId="77777777" w:rsidR="006B1E5E" w:rsidRDefault="006B1E5E" w:rsidP="00CE08CF">
      <w:pPr>
        <w:spacing w:after="0" w:line="240" w:lineRule="auto"/>
        <w:ind w:leftChars="0" w:left="0" w:firstLineChars="0" w:firstLine="0"/>
        <w:rPr>
          <w:rFonts w:ascii="Arial" w:eastAsia="Arial" w:hAnsi="Arial" w:cs="Arial"/>
          <w:sz w:val="20"/>
          <w:szCs w:val="20"/>
        </w:rPr>
      </w:pPr>
    </w:p>
    <w:p w14:paraId="32BC1205" w14:textId="63CC0CBB" w:rsidR="00966533" w:rsidRDefault="00966533" w:rsidP="00966533">
      <w:pPr>
        <w:spacing w:after="0" w:line="240" w:lineRule="auto"/>
        <w:ind w:leftChars="0" w:left="0" w:firstLineChars="0" w:firstLine="0"/>
        <w:jc w:val="center"/>
        <w:rPr>
          <w:rFonts w:ascii="Arial" w:eastAsia="Arial" w:hAnsi="Arial" w:cs="Arial"/>
          <w:sz w:val="20"/>
          <w:szCs w:val="20"/>
        </w:rPr>
      </w:pPr>
      <w:r>
        <w:rPr>
          <w:rFonts w:ascii="Arial" w:eastAsia="Arial" w:hAnsi="Arial" w:cs="Arial"/>
          <w:sz w:val="20"/>
          <w:szCs w:val="20"/>
        </w:rPr>
        <w:t>Table 2. The Effect of APTES on Lifetime</w:t>
      </w:r>
    </w:p>
    <w:tbl>
      <w:tblPr>
        <w:tblStyle w:val="TableGrid"/>
        <w:tblW w:w="0" w:type="auto"/>
        <w:tblLook w:val="04A0" w:firstRow="1" w:lastRow="0" w:firstColumn="1" w:lastColumn="0" w:noHBand="0" w:noVBand="1"/>
      </w:tblPr>
      <w:tblGrid>
        <w:gridCol w:w="2083"/>
        <w:gridCol w:w="2083"/>
      </w:tblGrid>
      <w:tr w:rsidR="00966533" w14:paraId="78BA002F" w14:textId="77777777" w:rsidTr="00966533">
        <w:tc>
          <w:tcPr>
            <w:tcW w:w="2083" w:type="dxa"/>
          </w:tcPr>
          <w:p w14:paraId="46E10A11" w14:textId="54CA8960" w:rsidR="00966533" w:rsidRPr="00966533" w:rsidRDefault="00966533" w:rsidP="00966533">
            <w:pPr>
              <w:ind w:leftChars="0" w:left="0" w:firstLineChars="0" w:firstLine="0"/>
              <w:jc w:val="center"/>
              <w:rPr>
                <w:rFonts w:ascii="Arial" w:eastAsia="Arial" w:hAnsi="Arial" w:cs="Arial"/>
                <w:b/>
                <w:bCs/>
                <w:sz w:val="20"/>
                <w:szCs w:val="20"/>
              </w:rPr>
            </w:pPr>
            <w:r w:rsidRPr="00966533">
              <w:rPr>
                <w:rFonts w:ascii="Arial" w:eastAsia="Arial" w:hAnsi="Arial" w:cs="Arial"/>
                <w:b/>
                <w:bCs/>
                <w:sz w:val="20"/>
                <w:szCs w:val="20"/>
              </w:rPr>
              <w:t>Sample</w:t>
            </w:r>
          </w:p>
        </w:tc>
        <w:tc>
          <w:tcPr>
            <w:tcW w:w="2083" w:type="dxa"/>
          </w:tcPr>
          <w:p w14:paraId="424C0072" w14:textId="2B333F52" w:rsidR="00966533" w:rsidRPr="00966533" w:rsidRDefault="00966533" w:rsidP="00966533">
            <w:pPr>
              <w:ind w:leftChars="0" w:left="0" w:firstLineChars="0" w:firstLine="0"/>
              <w:jc w:val="center"/>
              <w:rPr>
                <w:rFonts w:ascii="Arial" w:eastAsia="Arial" w:hAnsi="Arial" w:cs="Arial"/>
                <w:b/>
                <w:bCs/>
                <w:sz w:val="20"/>
                <w:szCs w:val="20"/>
              </w:rPr>
            </w:pPr>
            <w:r w:rsidRPr="00966533">
              <w:rPr>
                <w:rFonts w:ascii="Arial" w:eastAsia="Arial" w:hAnsi="Arial" w:cs="Arial"/>
                <w:b/>
                <w:bCs/>
                <w:sz w:val="20"/>
                <w:szCs w:val="20"/>
              </w:rPr>
              <w:t>Lifetime (</w:t>
            </w:r>
            <w:r w:rsidR="00D973FA">
              <w:rPr>
                <w:rFonts w:ascii="Arial" w:eastAsia="Arial" w:hAnsi="Arial" w:cs="Arial"/>
                <w:b/>
                <w:bCs/>
                <w:sz w:val="20"/>
                <w:szCs w:val="20"/>
              </w:rPr>
              <w:t>day</w:t>
            </w:r>
            <w:r w:rsidRPr="00966533">
              <w:rPr>
                <w:rFonts w:ascii="Arial" w:eastAsia="Arial" w:hAnsi="Arial" w:cs="Arial"/>
                <w:b/>
                <w:bCs/>
                <w:sz w:val="20"/>
                <w:szCs w:val="20"/>
              </w:rPr>
              <w:t>)</w:t>
            </w:r>
          </w:p>
        </w:tc>
      </w:tr>
      <w:tr w:rsidR="00966533" w14:paraId="1CAB7DB3" w14:textId="77777777" w:rsidTr="00966533">
        <w:tc>
          <w:tcPr>
            <w:tcW w:w="2083" w:type="dxa"/>
          </w:tcPr>
          <w:p w14:paraId="12A60510" w14:textId="4757BD15" w:rsidR="00966533" w:rsidRDefault="00966533" w:rsidP="00966533">
            <w:pPr>
              <w:ind w:leftChars="0" w:left="0" w:firstLineChars="0" w:firstLine="0"/>
              <w:jc w:val="center"/>
              <w:rPr>
                <w:rFonts w:ascii="Arial" w:eastAsia="Arial" w:hAnsi="Arial" w:cs="Arial"/>
                <w:sz w:val="20"/>
                <w:szCs w:val="20"/>
              </w:rPr>
            </w:pPr>
            <w:r>
              <w:rPr>
                <w:rFonts w:ascii="Arial" w:eastAsia="Arial" w:hAnsi="Arial" w:cs="Arial"/>
                <w:sz w:val="20"/>
                <w:szCs w:val="20"/>
              </w:rPr>
              <w:t>A0N4</w:t>
            </w:r>
          </w:p>
        </w:tc>
        <w:tc>
          <w:tcPr>
            <w:tcW w:w="2083" w:type="dxa"/>
          </w:tcPr>
          <w:p w14:paraId="061CDF34" w14:textId="7829E7DC" w:rsidR="00966533" w:rsidRDefault="00FA4DB1" w:rsidP="00966533">
            <w:pPr>
              <w:ind w:leftChars="0" w:left="0" w:firstLineChars="0" w:firstLine="0"/>
              <w:jc w:val="center"/>
              <w:rPr>
                <w:rFonts w:ascii="Arial" w:eastAsia="Arial" w:hAnsi="Arial" w:cs="Arial"/>
                <w:sz w:val="20"/>
                <w:szCs w:val="20"/>
              </w:rPr>
            </w:pPr>
            <w:r>
              <w:rPr>
                <w:rFonts w:ascii="Arial" w:eastAsia="Arial" w:hAnsi="Arial" w:cs="Arial"/>
                <w:sz w:val="20"/>
                <w:szCs w:val="20"/>
              </w:rPr>
              <w:t>170</w:t>
            </w:r>
          </w:p>
        </w:tc>
      </w:tr>
      <w:tr w:rsidR="00966533" w14:paraId="4976D880" w14:textId="77777777" w:rsidTr="00966533">
        <w:tc>
          <w:tcPr>
            <w:tcW w:w="2083" w:type="dxa"/>
          </w:tcPr>
          <w:p w14:paraId="7A01EB27" w14:textId="4718F692" w:rsidR="00966533" w:rsidRDefault="00966533" w:rsidP="00966533">
            <w:pPr>
              <w:ind w:leftChars="0" w:left="0" w:firstLineChars="0" w:firstLine="0"/>
              <w:jc w:val="center"/>
              <w:rPr>
                <w:rFonts w:ascii="Arial" w:eastAsia="Arial" w:hAnsi="Arial" w:cs="Arial"/>
                <w:sz w:val="20"/>
                <w:szCs w:val="20"/>
              </w:rPr>
            </w:pPr>
            <w:r>
              <w:rPr>
                <w:rFonts w:ascii="Arial" w:eastAsia="Arial" w:hAnsi="Arial" w:cs="Arial"/>
                <w:sz w:val="20"/>
                <w:szCs w:val="20"/>
              </w:rPr>
              <w:t>A1N4</w:t>
            </w:r>
          </w:p>
        </w:tc>
        <w:tc>
          <w:tcPr>
            <w:tcW w:w="2083" w:type="dxa"/>
          </w:tcPr>
          <w:p w14:paraId="36A74109" w14:textId="68AB52A3" w:rsidR="00966533" w:rsidRDefault="006A73F0" w:rsidP="00966533">
            <w:pPr>
              <w:ind w:leftChars="0" w:left="0" w:firstLineChars="0" w:firstLine="0"/>
              <w:jc w:val="center"/>
              <w:rPr>
                <w:rFonts w:ascii="Arial" w:eastAsia="Arial" w:hAnsi="Arial" w:cs="Arial"/>
                <w:sz w:val="20"/>
                <w:szCs w:val="20"/>
              </w:rPr>
            </w:pPr>
            <w:r>
              <w:rPr>
                <w:rFonts w:ascii="Arial" w:eastAsia="Arial" w:hAnsi="Arial" w:cs="Arial"/>
                <w:sz w:val="20"/>
                <w:szCs w:val="20"/>
              </w:rPr>
              <w:t>380</w:t>
            </w:r>
          </w:p>
        </w:tc>
      </w:tr>
      <w:tr w:rsidR="00966533" w14:paraId="608C42EE" w14:textId="77777777" w:rsidTr="00966533">
        <w:tc>
          <w:tcPr>
            <w:tcW w:w="2083" w:type="dxa"/>
          </w:tcPr>
          <w:p w14:paraId="6F5C855B" w14:textId="1BC16AF2" w:rsidR="00966533" w:rsidRDefault="00966533" w:rsidP="00966533">
            <w:pPr>
              <w:ind w:leftChars="0" w:left="0" w:firstLineChars="0" w:firstLine="0"/>
              <w:jc w:val="center"/>
              <w:rPr>
                <w:rFonts w:ascii="Arial" w:eastAsia="Arial" w:hAnsi="Arial" w:cs="Arial"/>
                <w:sz w:val="20"/>
                <w:szCs w:val="20"/>
              </w:rPr>
            </w:pPr>
            <w:r>
              <w:rPr>
                <w:rFonts w:ascii="Arial" w:eastAsia="Arial" w:hAnsi="Arial" w:cs="Arial"/>
                <w:sz w:val="20"/>
                <w:szCs w:val="20"/>
              </w:rPr>
              <w:t>A3N4</w:t>
            </w:r>
          </w:p>
        </w:tc>
        <w:tc>
          <w:tcPr>
            <w:tcW w:w="2083" w:type="dxa"/>
          </w:tcPr>
          <w:p w14:paraId="4B74F29D" w14:textId="3E368217" w:rsidR="00966533" w:rsidRDefault="006A73F0" w:rsidP="00966533">
            <w:pPr>
              <w:ind w:leftChars="0" w:left="0" w:firstLineChars="0" w:firstLine="0"/>
              <w:jc w:val="center"/>
              <w:rPr>
                <w:rFonts w:ascii="Arial" w:eastAsia="Arial" w:hAnsi="Arial" w:cs="Arial"/>
                <w:sz w:val="20"/>
                <w:szCs w:val="20"/>
              </w:rPr>
            </w:pPr>
            <w:r>
              <w:rPr>
                <w:rFonts w:ascii="Arial" w:eastAsia="Arial" w:hAnsi="Arial" w:cs="Arial"/>
                <w:sz w:val="20"/>
                <w:szCs w:val="20"/>
              </w:rPr>
              <w:t>320</w:t>
            </w:r>
          </w:p>
        </w:tc>
      </w:tr>
      <w:tr w:rsidR="00966533" w14:paraId="2C707C8F" w14:textId="77777777" w:rsidTr="00966533">
        <w:tc>
          <w:tcPr>
            <w:tcW w:w="2083" w:type="dxa"/>
          </w:tcPr>
          <w:p w14:paraId="7FF092C0" w14:textId="647CDD93" w:rsidR="00966533" w:rsidRDefault="00966533" w:rsidP="00966533">
            <w:pPr>
              <w:ind w:leftChars="0" w:left="0" w:firstLineChars="0" w:firstLine="0"/>
              <w:jc w:val="center"/>
              <w:rPr>
                <w:rFonts w:ascii="Arial" w:eastAsia="Arial" w:hAnsi="Arial" w:cs="Arial"/>
                <w:sz w:val="20"/>
                <w:szCs w:val="20"/>
              </w:rPr>
            </w:pPr>
            <w:r>
              <w:rPr>
                <w:rFonts w:ascii="Arial" w:eastAsia="Arial" w:hAnsi="Arial" w:cs="Arial"/>
                <w:sz w:val="20"/>
                <w:szCs w:val="20"/>
              </w:rPr>
              <w:t>A5N4</w:t>
            </w:r>
          </w:p>
        </w:tc>
        <w:tc>
          <w:tcPr>
            <w:tcW w:w="2083" w:type="dxa"/>
          </w:tcPr>
          <w:p w14:paraId="4B3ADE57" w14:textId="6E0CF717" w:rsidR="00966533" w:rsidRDefault="006A73F0" w:rsidP="00966533">
            <w:pPr>
              <w:ind w:leftChars="0" w:left="0" w:firstLineChars="0" w:firstLine="0"/>
              <w:jc w:val="center"/>
              <w:rPr>
                <w:rFonts w:ascii="Arial" w:eastAsia="Arial" w:hAnsi="Arial" w:cs="Arial"/>
                <w:sz w:val="20"/>
                <w:szCs w:val="20"/>
              </w:rPr>
            </w:pPr>
            <w:r>
              <w:rPr>
                <w:rFonts w:ascii="Arial" w:eastAsia="Arial" w:hAnsi="Arial" w:cs="Arial"/>
                <w:sz w:val="20"/>
                <w:szCs w:val="20"/>
              </w:rPr>
              <w:t>274</w:t>
            </w:r>
          </w:p>
        </w:tc>
      </w:tr>
    </w:tbl>
    <w:p w14:paraId="7FFDB7C7" w14:textId="77777777" w:rsidR="00966533" w:rsidRDefault="00966533" w:rsidP="00966533">
      <w:pPr>
        <w:spacing w:after="0" w:line="240" w:lineRule="auto"/>
        <w:ind w:leftChars="0" w:left="0" w:firstLineChars="0" w:firstLine="0"/>
        <w:jc w:val="center"/>
        <w:rPr>
          <w:rFonts w:ascii="Arial" w:eastAsia="Arial" w:hAnsi="Arial" w:cs="Arial"/>
          <w:sz w:val="20"/>
          <w:szCs w:val="20"/>
        </w:rPr>
      </w:pPr>
    </w:p>
    <w:p w14:paraId="2364A6E9" w14:textId="4DCC5AC5" w:rsidR="00CE08CF" w:rsidRDefault="00DF4853" w:rsidP="00DF4853">
      <w:pPr>
        <w:spacing w:after="0" w:line="240" w:lineRule="auto"/>
        <w:ind w:leftChars="0" w:left="0" w:firstLineChars="0" w:firstLine="720"/>
        <w:jc w:val="both"/>
        <w:rPr>
          <w:rFonts w:ascii="Arial" w:eastAsia="Arial" w:hAnsi="Arial" w:cs="Arial"/>
          <w:sz w:val="20"/>
          <w:szCs w:val="20"/>
        </w:rPr>
      </w:pPr>
      <w:r w:rsidRPr="00DF4853">
        <w:rPr>
          <w:rFonts w:ascii="Arial" w:eastAsia="Arial" w:hAnsi="Arial" w:cs="Arial"/>
          <w:sz w:val="20"/>
          <w:szCs w:val="20"/>
        </w:rPr>
        <w:t>Table 3 shows the estimated lifetime at various porogen ratios. It can be seen that as the porogen ratio increases, the lifetime will decrease. The highest decrease occurs at a ratio of 8:1 between the porogen and the composite, which is 58%. This happens because as the porogen ratio increases, the porosity will also increase. With the increase in porosity, the surface area exposed to the environment (PBS) will also increase, resulting in a larger weight loss value. A large weight loss value leads to a decrease in lifetime</w:t>
      </w:r>
    </w:p>
    <w:p w14:paraId="5BC2087F" w14:textId="77777777" w:rsidR="00DF4853" w:rsidRDefault="00DF4853" w:rsidP="00DF4853">
      <w:pPr>
        <w:spacing w:after="0" w:line="240" w:lineRule="auto"/>
        <w:ind w:leftChars="0" w:left="0" w:firstLineChars="0" w:firstLine="720"/>
        <w:jc w:val="both"/>
        <w:rPr>
          <w:rFonts w:ascii="Arial" w:eastAsia="Arial" w:hAnsi="Arial" w:cs="Arial"/>
          <w:sz w:val="20"/>
          <w:szCs w:val="20"/>
        </w:rPr>
      </w:pPr>
    </w:p>
    <w:p w14:paraId="4E21CC1D" w14:textId="3DAF65A3" w:rsidR="00DF4853" w:rsidRDefault="00DF4853" w:rsidP="00DF4853">
      <w:pPr>
        <w:spacing w:after="0" w:line="240" w:lineRule="auto"/>
        <w:ind w:leftChars="0" w:left="0" w:firstLineChars="0" w:firstLine="0"/>
        <w:jc w:val="center"/>
        <w:rPr>
          <w:rFonts w:ascii="Arial" w:eastAsia="Arial" w:hAnsi="Arial" w:cs="Arial"/>
          <w:sz w:val="20"/>
          <w:szCs w:val="20"/>
        </w:rPr>
      </w:pPr>
      <w:r>
        <w:rPr>
          <w:rFonts w:ascii="Arial" w:eastAsia="Arial" w:hAnsi="Arial" w:cs="Arial"/>
          <w:sz w:val="20"/>
          <w:szCs w:val="20"/>
        </w:rPr>
        <w:t xml:space="preserve">Table 3. The Effect of </w:t>
      </w:r>
      <w:r w:rsidR="00C87509">
        <w:rPr>
          <w:rFonts w:ascii="Arial" w:eastAsia="Arial" w:hAnsi="Arial" w:cs="Arial"/>
          <w:sz w:val="20"/>
          <w:szCs w:val="20"/>
        </w:rPr>
        <w:t>Porogen Ratio</w:t>
      </w:r>
      <w:r>
        <w:rPr>
          <w:rFonts w:ascii="Arial" w:eastAsia="Arial" w:hAnsi="Arial" w:cs="Arial"/>
          <w:sz w:val="20"/>
          <w:szCs w:val="20"/>
        </w:rPr>
        <w:t xml:space="preserve"> on Lifetime</w:t>
      </w:r>
    </w:p>
    <w:tbl>
      <w:tblPr>
        <w:tblStyle w:val="TableGrid"/>
        <w:tblW w:w="0" w:type="auto"/>
        <w:tblLook w:val="04A0" w:firstRow="1" w:lastRow="0" w:firstColumn="1" w:lastColumn="0" w:noHBand="0" w:noVBand="1"/>
      </w:tblPr>
      <w:tblGrid>
        <w:gridCol w:w="2083"/>
        <w:gridCol w:w="2083"/>
      </w:tblGrid>
      <w:tr w:rsidR="00DF4853" w14:paraId="233955B7" w14:textId="77777777" w:rsidTr="009A57D6">
        <w:tc>
          <w:tcPr>
            <w:tcW w:w="2083" w:type="dxa"/>
          </w:tcPr>
          <w:p w14:paraId="01A0410B" w14:textId="77777777" w:rsidR="00DF4853" w:rsidRPr="00966533" w:rsidRDefault="00DF4853" w:rsidP="009A57D6">
            <w:pPr>
              <w:ind w:leftChars="0" w:left="0" w:firstLineChars="0" w:firstLine="0"/>
              <w:jc w:val="center"/>
              <w:rPr>
                <w:rFonts w:ascii="Arial" w:eastAsia="Arial" w:hAnsi="Arial" w:cs="Arial"/>
                <w:b/>
                <w:bCs/>
                <w:sz w:val="20"/>
                <w:szCs w:val="20"/>
              </w:rPr>
            </w:pPr>
            <w:r w:rsidRPr="00966533">
              <w:rPr>
                <w:rFonts w:ascii="Arial" w:eastAsia="Arial" w:hAnsi="Arial" w:cs="Arial"/>
                <w:b/>
                <w:bCs/>
                <w:sz w:val="20"/>
                <w:szCs w:val="20"/>
              </w:rPr>
              <w:t>Sample</w:t>
            </w:r>
          </w:p>
        </w:tc>
        <w:tc>
          <w:tcPr>
            <w:tcW w:w="2083" w:type="dxa"/>
          </w:tcPr>
          <w:p w14:paraId="7BEBE190" w14:textId="26448ADF" w:rsidR="00DF4853" w:rsidRPr="00966533" w:rsidRDefault="00DF4853" w:rsidP="009A57D6">
            <w:pPr>
              <w:ind w:leftChars="0" w:left="0" w:firstLineChars="0" w:firstLine="0"/>
              <w:jc w:val="center"/>
              <w:rPr>
                <w:rFonts w:ascii="Arial" w:eastAsia="Arial" w:hAnsi="Arial" w:cs="Arial"/>
                <w:b/>
                <w:bCs/>
                <w:sz w:val="20"/>
                <w:szCs w:val="20"/>
              </w:rPr>
            </w:pPr>
            <w:r w:rsidRPr="00966533">
              <w:rPr>
                <w:rFonts w:ascii="Arial" w:eastAsia="Arial" w:hAnsi="Arial" w:cs="Arial"/>
                <w:b/>
                <w:bCs/>
                <w:sz w:val="20"/>
                <w:szCs w:val="20"/>
              </w:rPr>
              <w:t>Lifetime (</w:t>
            </w:r>
            <w:r w:rsidR="00A55901">
              <w:rPr>
                <w:rFonts w:ascii="Arial" w:eastAsia="Arial" w:hAnsi="Arial" w:cs="Arial"/>
                <w:b/>
                <w:bCs/>
                <w:sz w:val="20"/>
                <w:szCs w:val="20"/>
              </w:rPr>
              <w:t>day</w:t>
            </w:r>
            <w:r w:rsidRPr="00966533">
              <w:rPr>
                <w:rFonts w:ascii="Arial" w:eastAsia="Arial" w:hAnsi="Arial" w:cs="Arial"/>
                <w:b/>
                <w:bCs/>
                <w:sz w:val="20"/>
                <w:szCs w:val="20"/>
              </w:rPr>
              <w:t>)</w:t>
            </w:r>
          </w:p>
        </w:tc>
      </w:tr>
      <w:tr w:rsidR="00DF4853" w14:paraId="2B1A9B96" w14:textId="77777777" w:rsidTr="009A57D6">
        <w:tc>
          <w:tcPr>
            <w:tcW w:w="2083" w:type="dxa"/>
          </w:tcPr>
          <w:p w14:paraId="699A0AFF" w14:textId="69050373" w:rsidR="00DF4853" w:rsidRDefault="00DF4853" w:rsidP="009A57D6">
            <w:pPr>
              <w:ind w:leftChars="0" w:left="0" w:firstLineChars="0" w:firstLine="0"/>
              <w:jc w:val="center"/>
              <w:rPr>
                <w:rFonts w:ascii="Arial" w:eastAsia="Arial" w:hAnsi="Arial" w:cs="Arial"/>
                <w:sz w:val="20"/>
                <w:szCs w:val="20"/>
              </w:rPr>
            </w:pPr>
            <w:r>
              <w:rPr>
                <w:rFonts w:ascii="Arial" w:eastAsia="Arial" w:hAnsi="Arial" w:cs="Arial"/>
                <w:sz w:val="20"/>
                <w:szCs w:val="20"/>
              </w:rPr>
              <w:t>A</w:t>
            </w:r>
            <w:r w:rsidR="00430E15">
              <w:rPr>
                <w:rFonts w:ascii="Arial" w:eastAsia="Arial" w:hAnsi="Arial" w:cs="Arial"/>
                <w:sz w:val="20"/>
                <w:szCs w:val="20"/>
              </w:rPr>
              <w:t>3</w:t>
            </w:r>
            <w:r>
              <w:rPr>
                <w:rFonts w:ascii="Arial" w:eastAsia="Arial" w:hAnsi="Arial" w:cs="Arial"/>
                <w:sz w:val="20"/>
                <w:szCs w:val="20"/>
              </w:rPr>
              <w:t>N4</w:t>
            </w:r>
          </w:p>
        </w:tc>
        <w:tc>
          <w:tcPr>
            <w:tcW w:w="2083" w:type="dxa"/>
          </w:tcPr>
          <w:p w14:paraId="55A4B758" w14:textId="638148F4" w:rsidR="00DF4853" w:rsidRDefault="00430E15" w:rsidP="009A57D6">
            <w:pPr>
              <w:ind w:leftChars="0" w:left="0" w:firstLineChars="0" w:firstLine="0"/>
              <w:jc w:val="center"/>
              <w:rPr>
                <w:rFonts w:ascii="Arial" w:eastAsia="Arial" w:hAnsi="Arial" w:cs="Arial"/>
                <w:sz w:val="20"/>
                <w:szCs w:val="20"/>
              </w:rPr>
            </w:pPr>
            <w:r>
              <w:rPr>
                <w:rFonts w:ascii="Arial" w:eastAsia="Arial" w:hAnsi="Arial" w:cs="Arial"/>
                <w:sz w:val="20"/>
                <w:szCs w:val="20"/>
              </w:rPr>
              <w:t>320</w:t>
            </w:r>
          </w:p>
        </w:tc>
      </w:tr>
      <w:tr w:rsidR="00DF4853" w14:paraId="7AAFC948" w14:textId="77777777" w:rsidTr="009A57D6">
        <w:tc>
          <w:tcPr>
            <w:tcW w:w="2083" w:type="dxa"/>
          </w:tcPr>
          <w:p w14:paraId="36CFA38F" w14:textId="00C85A4F" w:rsidR="00DF4853" w:rsidRDefault="00DF4853" w:rsidP="009A57D6">
            <w:pPr>
              <w:ind w:leftChars="0" w:left="0" w:firstLineChars="0" w:firstLine="0"/>
              <w:jc w:val="center"/>
              <w:rPr>
                <w:rFonts w:ascii="Arial" w:eastAsia="Arial" w:hAnsi="Arial" w:cs="Arial"/>
                <w:sz w:val="20"/>
                <w:szCs w:val="20"/>
              </w:rPr>
            </w:pPr>
            <w:r>
              <w:rPr>
                <w:rFonts w:ascii="Arial" w:eastAsia="Arial" w:hAnsi="Arial" w:cs="Arial"/>
                <w:sz w:val="20"/>
                <w:szCs w:val="20"/>
              </w:rPr>
              <w:t>A</w:t>
            </w:r>
            <w:r w:rsidR="00430E15">
              <w:rPr>
                <w:rFonts w:ascii="Arial" w:eastAsia="Arial" w:hAnsi="Arial" w:cs="Arial"/>
                <w:sz w:val="20"/>
                <w:szCs w:val="20"/>
              </w:rPr>
              <w:t>3</w:t>
            </w:r>
            <w:r>
              <w:rPr>
                <w:rFonts w:ascii="Arial" w:eastAsia="Arial" w:hAnsi="Arial" w:cs="Arial"/>
                <w:sz w:val="20"/>
                <w:szCs w:val="20"/>
              </w:rPr>
              <w:t>N</w:t>
            </w:r>
            <w:r w:rsidR="00430E15">
              <w:rPr>
                <w:rFonts w:ascii="Arial" w:eastAsia="Arial" w:hAnsi="Arial" w:cs="Arial"/>
                <w:sz w:val="20"/>
                <w:szCs w:val="20"/>
              </w:rPr>
              <w:t>6</w:t>
            </w:r>
          </w:p>
        </w:tc>
        <w:tc>
          <w:tcPr>
            <w:tcW w:w="2083" w:type="dxa"/>
          </w:tcPr>
          <w:p w14:paraId="56C26529" w14:textId="733E5280" w:rsidR="00DF4853" w:rsidRDefault="00430E15" w:rsidP="009A57D6">
            <w:pPr>
              <w:ind w:leftChars="0" w:left="0" w:firstLineChars="0" w:firstLine="0"/>
              <w:jc w:val="center"/>
              <w:rPr>
                <w:rFonts w:ascii="Arial" w:eastAsia="Arial" w:hAnsi="Arial" w:cs="Arial"/>
                <w:sz w:val="20"/>
                <w:szCs w:val="20"/>
              </w:rPr>
            </w:pPr>
            <w:r>
              <w:rPr>
                <w:rFonts w:ascii="Arial" w:eastAsia="Arial" w:hAnsi="Arial" w:cs="Arial"/>
                <w:sz w:val="20"/>
                <w:szCs w:val="20"/>
              </w:rPr>
              <w:t>253</w:t>
            </w:r>
          </w:p>
        </w:tc>
      </w:tr>
      <w:tr w:rsidR="00DF4853" w14:paraId="09843F4A" w14:textId="77777777" w:rsidTr="009A57D6">
        <w:tc>
          <w:tcPr>
            <w:tcW w:w="2083" w:type="dxa"/>
          </w:tcPr>
          <w:p w14:paraId="44C9C4DE" w14:textId="36F42961" w:rsidR="00DF4853" w:rsidRDefault="00DF4853" w:rsidP="009A57D6">
            <w:pPr>
              <w:ind w:leftChars="0" w:left="0" w:firstLineChars="0" w:firstLine="0"/>
              <w:jc w:val="center"/>
              <w:rPr>
                <w:rFonts w:ascii="Arial" w:eastAsia="Arial" w:hAnsi="Arial" w:cs="Arial"/>
                <w:sz w:val="20"/>
                <w:szCs w:val="20"/>
              </w:rPr>
            </w:pPr>
            <w:r>
              <w:rPr>
                <w:rFonts w:ascii="Arial" w:eastAsia="Arial" w:hAnsi="Arial" w:cs="Arial"/>
                <w:sz w:val="20"/>
                <w:szCs w:val="20"/>
              </w:rPr>
              <w:t>A</w:t>
            </w:r>
            <w:r w:rsidR="00430E15">
              <w:rPr>
                <w:rFonts w:ascii="Arial" w:eastAsia="Arial" w:hAnsi="Arial" w:cs="Arial"/>
                <w:sz w:val="20"/>
                <w:szCs w:val="20"/>
              </w:rPr>
              <w:t>3</w:t>
            </w:r>
            <w:r>
              <w:rPr>
                <w:rFonts w:ascii="Arial" w:eastAsia="Arial" w:hAnsi="Arial" w:cs="Arial"/>
                <w:sz w:val="20"/>
                <w:szCs w:val="20"/>
              </w:rPr>
              <w:t>N</w:t>
            </w:r>
            <w:r w:rsidR="00430E15">
              <w:rPr>
                <w:rFonts w:ascii="Arial" w:eastAsia="Arial" w:hAnsi="Arial" w:cs="Arial"/>
                <w:sz w:val="20"/>
                <w:szCs w:val="20"/>
              </w:rPr>
              <w:t>8</w:t>
            </w:r>
          </w:p>
        </w:tc>
        <w:tc>
          <w:tcPr>
            <w:tcW w:w="2083" w:type="dxa"/>
          </w:tcPr>
          <w:p w14:paraId="0B926047" w14:textId="72F05E7B" w:rsidR="00DF4853" w:rsidRDefault="00430E15" w:rsidP="009A57D6">
            <w:pPr>
              <w:ind w:leftChars="0" w:left="0" w:firstLineChars="0" w:firstLine="0"/>
              <w:jc w:val="center"/>
              <w:rPr>
                <w:rFonts w:ascii="Arial" w:eastAsia="Arial" w:hAnsi="Arial" w:cs="Arial"/>
                <w:sz w:val="20"/>
                <w:szCs w:val="20"/>
              </w:rPr>
            </w:pPr>
            <w:r>
              <w:rPr>
                <w:rFonts w:ascii="Arial" w:eastAsia="Arial" w:hAnsi="Arial" w:cs="Arial"/>
                <w:sz w:val="20"/>
                <w:szCs w:val="20"/>
              </w:rPr>
              <w:t>134</w:t>
            </w:r>
          </w:p>
        </w:tc>
      </w:tr>
    </w:tbl>
    <w:p w14:paraId="5FDC3583" w14:textId="77777777" w:rsidR="00DF4853" w:rsidRDefault="00DF4853" w:rsidP="00DF4853">
      <w:pPr>
        <w:spacing w:after="0" w:line="240" w:lineRule="auto"/>
        <w:ind w:leftChars="0" w:left="0" w:firstLineChars="0" w:firstLine="0"/>
        <w:jc w:val="center"/>
        <w:rPr>
          <w:rFonts w:ascii="Arial" w:eastAsia="Arial" w:hAnsi="Arial" w:cs="Arial"/>
          <w:sz w:val="20"/>
          <w:szCs w:val="20"/>
        </w:rPr>
      </w:pPr>
    </w:p>
    <w:p w14:paraId="0BA9F430" w14:textId="42BAEEDD" w:rsidR="004D0E8E" w:rsidRDefault="00B36CBC" w:rsidP="00B36CBC">
      <w:pPr>
        <w:spacing w:after="0" w:line="240" w:lineRule="auto"/>
        <w:ind w:leftChars="0" w:left="0" w:firstLineChars="0" w:firstLine="720"/>
        <w:jc w:val="both"/>
        <w:rPr>
          <w:rFonts w:ascii="Arial" w:eastAsia="Arial" w:hAnsi="Arial" w:cs="Arial"/>
          <w:sz w:val="20"/>
          <w:szCs w:val="20"/>
        </w:rPr>
      </w:pPr>
      <w:r w:rsidRPr="00B36CBC">
        <w:rPr>
          <w:rFonts w:ascii="Arial" w:eastAsia="Arial" w:hAnsi="Arial" w:cs="Arial"/>
          <w:sz w:val="20"/>
          <w:szCs w:val="20"/>
        </w:rPr>
        <w:t>The standard application of 3D scaffolds for bone implants has a porosity value of 50-90%. Therefore, based on these test results, all samples have met the minimum requirements as 3D scaffold implants</w:t>
      </w:r>
      <w:r w:rsidR="00716BC9">
        <w:rPr>
          <w:rFonts w:ascii="Arial" w:eastAsia="Arial" w:hAnsi="Arial" w:cs="Arial"/>
          <w:sz w:val="20"/>
          <w:szCs w:val="20"/>
        </w:rPr>
        <w:t xml:space="preserve"> </w:t>
      </w:r>
      <w:r w:rsidR="00332D2F">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{"citationItems":[{"id":"ITEM-1","itemData":{"DOI":"10.3390/app9091965","ISSN":"20763417","abstract":"Porous hydroxyapatite (HA) artificial bone scaffolds were prepared via the freeze-gel casting process in order to improve their mechanical strengths. As a porogen, various volumes of poly (methyl methacrylate) (PMMA) powders were added to obtain high porosity, such as in cancellous bone. After fabrication, the porous and mechanical properties of the scaffolds were examined. The HA60 scaffold, with a porosity over 80%, had proper compressive strength and modulus and satisfied the range of properties of cancellous bone. Moreover, it was found that the investigated mechanical properties were affected by the scaffolds' porosity. However, a section was found where the compressive strength was high despite the increase in the porosity. Specifically, HA30 had a porosity of 62.9% and a compressive strength of 1.73 MPa, whereas the values for HA60 were 81.9% and 3.23 MPa, respectively. The results indicate that there are factors that can preserve the mechanical properties even if the porosity of the scaffold increases. Therefore, in this study, various parameters affecting the porous and mechanical properties of the scaffolds during the manufacturing process were analyzed. It is expected that the improvement in the mechanical properties of the artificial bone scaffold having a high porosity can be applied to tissue engineering.","author":[{"dropping-particle":"","family":"Kim","given":"Tae Rim","non-dropping-particle":"","parse-names":false,"suffix":""},{"dropping-particle":"","family":"Kim","given":"Min Su","non-dropping-particle":"","parse-names":false,"suffix":""},{"dropping-particle":"","family":"Goh","given":"Tae Sik","non-dropping-particle":"","parse-names":false,"suffix":""},{"dropping-particle":"","family":"Lee","given":"Jung Sub","non-dropping-particle":"","parse-names":false,"suffix":""},{"dropping-particle":"","family":"Kim","given":"Yun Hak","non-dropping-particle":"","parse-names":false,"suffix":""},{"dropping-particle":"","family":"Yoon","given":"Seog Young","non-dropping-particle":"","parse-names":false,"suffix":""},{"dropping-particle":"","family":"Lee","given":"Chi Seung","non-dropping-particle":"","parse-names":false,"suffix":""}],"container-title":"Applied Sciences (Switzerland)","id":"ITEM-1","issue":"9","issued":{"date-parts":[["2019"]]},"page":"1-17","title":"Evaluation of structural and mechanical properties of porous artificial bone scaffolds fabricated via advanced TBA-based freeze-gel casting technique","type":"article-journal","volume":"9"},"uris":["http://www.mendeley.com/documents/?uuid=190a64c5-3e97-4360-960d-08164331703a","http://www.mendeley.com/documents/?uuid=bf5b9a50-1bd5-4e4b-a406-18dbc769cabe"]},{"id":"ITEM-2","itemData":{"DOI":"10.1016/S0142-9612(02)00223-5","ISBN":"1908740280","ISSN":"01429612","PMID":"12361612","abstract":"There is a recognized and urgent need for improved treatment of articular cartilage defects. Tissue engineering of cartilage using a cell-scaffold approach has demonstrated potential to offer an alternative and effective method for treating articular defects. We have developed a unique, heterogeneous, osteochondral scaffold using the TheriFormTM three-dimensional printing process. The material composition, porosity, macroarchitecture, and mechanical properties varied throughout the scaffold structure. The upper, cartilage region was 90% porous and composed of D,L-PLGA/L-PLA, with macroscopic staggered channels to facilitate homogenous cell seeding. The lower, cloverleaf-shaped bone portion was 55% porous and consisted of a L-PLGA/TCP composite, designed to maximize bone ingrowth while maintaining critical mechanical properties. The transition region between these two sections contained a gradient of materials and porosity to prevent delamination. Chondrocytes preferentially attached to the cartilage portion of the device, and biochemical and histological analyses showed that cartilage formed during a 6-week in vitro culture period. The tensile strength of the bone region was similar in magnitude to fresh cancellous human bone, suggesting that these scaffolds have desirable mechanical properties for in vivo applications, including full joint replacement. © 2002 Elsevier Science Ltd. All rights reserved.","author":[{"dropping-particle":"","family":"Sherwood","given":"Jill K.","non-dropping-particle":"","parse-names":false,"suffix":""},{"dropping-particle":"","family":"Riley","given":"Susan L.","non-dropping-particle":"","parse-names":false,"suffix":""},{"dropping-particle":"","family":"Palazzolo","given":"Robert","non-dropping-particle":"","parse-names":false,"suffix":""},{"dropping-particle":"","family":"Brown","given":"Scott C.","non-dropping-particle":"","parse-names":false,"suffix":""},{"dropping-particle":"","family":"Monkhouse","given":"Donald C.","non-dropping-particle":"","parse-names":false,"suffix":""},{"dropping-particle":"","family":"Coates","given":"Matt","non-dropping-particle":"","parse-names":false,"suffix":""},{"dropping-particle":"","family":"Griffith","given":"Linda G.","non-dropping-particle":"","parse-names":false,"suffix":""},{"dropping-particle":"","family":"Landeen","given":"Lee K.","non-dropping-particle":"","parse-names":false,"suffix":""},{"dropping-particle":"","family":"Ratcliffe","given":"Anthony","non-dropping-particle":"","parse-names":false,"suffix":""}],"container-title":"Biomaterials","id":"ITEM-2","issue":"24","issued":{"date-parts":[["2002"]]},"page":"4739-4751","title":"A three-dimensional osteochondral composite scaffold for articular cartilage repair","type":"article-journal","volume":"23"},"uris":["http://www.mendeley.com/documents/?uuid=5d91f036-fbb1-43b2-8485-1845798a5561","http://www.mendeley.com/documents/?uuid=93e1d169-af8e-48a8-9558-b1f3f7f57b80","http://www.mendeley.com/documents/?uuid=fa384dc7-c5ef-45a9-948c-198cc418e4c9"]}],"mendeley":{"formattedCitation":"[6], [26]","plainTextFormattedCitation":"[6], [26]","previouslyFormattedCitation":"[6], [26]"},"properties":{"noteIndex":0},"schema":"https://github.com/citation-style-language/schema/raw/master/csl-citation.json"}</w:instrText>
      </w:r>
      <w:r w:rsidR="00332D2F">
        <w:rPr>
          <w:rFonts w:ascii="Arial" w:eastAsia="Arial" w:hAnsi="Arial" w:cs="Arial"/>
          <w:sz w:val="20"/>
          <w:szCs w:val="20"/>
        </w:rPr>
        <w:fldChar w:fldCharType="separate"/>
      </w:r>
      <w:r w:rsidR="00332D2F" w:rsidRPr="00332D2F">
        <w:rPr>
          <w:rFonts w:ascii="Arial" w:eastAsia="Arial" w:hAnsi="Arial" w:cs="Arial"/>
          <w:noProof/>
          <w:sz w:val="20"/>
          <w:szCs w:val="20"/>
        </w:rPr>
        <w:t>[6], [26]</w:t>
      </w:r>
      <w:r w:rsidR="00332D2F">
        <w:rPr>
          <w:rFonts w:ascii="Arial" w:eastAsia="Arial" w:hAnsi="Arial" w:cs="Arial"/>
          <w:sz w:val="20"/>
          <w:szCs w:val="20"/>
        </w:rPr>
        <w:fldChar w:fldCharType="end"/>
      </w:r>
      <w:r w:rsidRPr="00B36CBC">
        <w:rPr>
          <w:rFonts w:ascii="Arial" w:eastAsia="Arial" w:hAnsi="Arial" w:cs="Arial"/>
          <w:sz w:val="20"/>
          <w:szCs w:val="20"/>
        </w:rPr>
        <w:t>.</w:t>
      </w:r>
    </w:p>
    <w:p w14:paraId="65940FE9" w14:textId="15B1976E" w:rsidR="00BE5918" w:rsidRDefault="00B36CBC" w:rsidP="00B36CBC">
      <w:pPr>
        <w:spacing w:after="0" w:line="240" w:lineRule="auto"/>
        <w:ind w:leftChars="0" w:left="0" w:firstLineChars="0" w:firstLine="720"/>
        <w:jc w:val="both"/>
        <w:rPr>
          <w:rFonts w:ascii="Arial" w:eastAsia="Arial" w:hAnsi="Arial" w:cs="Arial"/>
          <w:sz w:val="20"/>
          <w:szCs w:val="20"/>
        </w:rPr>
      </w:pPr>
      <w:r w:rsidRPr="00B36CBC">
        <w:rPr>
          <w:rFonts w:ascii="Arial" w:eastAsia="Arial" w:hAnsi="Arial" w:cs="Arial"/>
          <w:sz w:val="20"/>
          <w:szCs w:val="20"/>
        </w:rPr>
        <w:t>Meanwhile, the standard tensile strength value for cancellous bone is 1.5 – 38 MPa and compressive strength is 5-10 MPa. Based on the results of the mechanical tests conducted, the sample with the highest strength value is the A1N4 variation with a tensile strength of 0.31 MPa and a compressive strength of 0.87 MPa. However, this variation still does not meet the standard, so to improve the mechanical strength of the PCL/HA composite, more advanced fabrication techniques such as freeze drying and 3D printing can be employed</w:t>
      </w:r>
      <w:r w:rsidR="00B508F4">
        <w:rPr>
          <w:rFonts w:ascii="Arial" w:eastAsia="Arial" w:hAnsi="Arial" w:cs="Arial"/>
          <w:sz w:val="20"/>
          <w:szCs w:val="20"/>
        </w:rPr>
        <w:t xml:space="preserve"> </w:t>
      </w:r>
      <w:r w:rsidR="001D2A90">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{"citationItems":[{"id":"ITEM-1","itemData":{"DOI":"10.1016/j.foodhyd.2020.106262","ISSN":"0268005X","abstract":"The extrusion-based 3D printing system was used to fabricate the bioscaffold with hybrid hydrogels of gelatin and alginate (G/A), with different total solid concentrations (3%, 5%, and 7%) and G/A ratios (1:2, 1:1, and 2:1). Rheological properties were related to the 3D printability and shape retention capacity of the hybrid hydrogels. For extrusion-based 3D printing using the current platform, the materials that were considered 3D printable showed shear-thinning flow behavior. Also, the printable materials demonstrated a storage modulus (Gʹ) higher than the loss modulus (Gʹʹ), with a loss factor (tan δ = Gʹʹ/Gʹ) in the range of 0.48–0.58 during the frequency sweep of 15–40 rad/s, which is the corresponding frequency that can be related to our 3D printing settings. Texture profile analysis indicated that among the optimal formulas for 3D printing, the bioscaffold fabricated with the hybrid gels of 7% 1:2 G/A had the highest hardness and adhesiveness. After freeze-drying, the hardness increased significantly (p &lt; 0.05). The 3D printed bioscaffold was also freeze-dried to extend the shelf life and enhance the mechanical properties of the fabricated structure, moisture content, and water activity reduced significantly after freeze-drying. The scanning electron microscopy (SEM) results demonstrated that the 3D printed scaffolds had porous structures, which has the potential to encapsulate and deliver other bioactive compounds, such as enzymes, vitamins, antioxidants, and probiotics.","author":[{"dropping-particle":"","family":"Kuo","given":"Chih Chun","non-dropping-particle":"","parse-names":false,"suffix":""},{"dropping-particle":"","family":"Qin","given":"Hantang","non-dropping-particle":"","parse-names":false,"suffix":""},{"dropping-particle":"","family":"Cheng","given":"Yiliang","non-dropping-particle":"","parse-names":false,"suffix":""},{"dropping-particle":"","family":"Jiang","given":"Xuepeng","non-dropping-particle":"","parse-names":false,"suffix":""},{"dropping-particle":"","family":"Shi","given":"Xiaolei","non-dropping-particle":"","parse-names":false,"suffix":""}],"container-title":"Food Hydrocolloids","id":"ITEM-1","issue":"August 2020","issued":{"date-parts":[["2021"]]},"publisher":"Elsevier Ltd","title":"An integrated manufacturing strategy to fabricate delivery system using gelatin/alginate hybrid hydrogels: 3D printing and freeze-drying","type":"article-journal","volume":"111"},"uris":["http://www.mendeley.com/documents/?uuid=e22a05c4-37b5-44e4-9d59-fab7e05a8599","http://www.mendeley.com/documents/?uuid=65cde298-4dfc-4c88-8f88-64c065f5db2f"]},{"id":"ITEM-2","itemData":{"DOI":"10.1016/j.msec.2020.110716","ISSN":"18730191","PMID":"32204028","abstract":"Significant advances have been made in the field of tissue engineering (TE), especially in the synthesis of three-dimensional (3D) scaffolds for replacing damaged tissues and organs in laboratory conditions. However, the gaps in knowledge in exploiting these techniques in preclinical trials and beyond and, in particular, in practical scenarios (e.g., replacing real body organs) have not been discussed well in the existing literature. Furthermore, it is observed in the literature that while new techniques for the synthesis of 3D TE scaffold have been developed, some of the earlier techniques are still being used. This implies that the advantages offered by a more recent and advanced technique as compared to the earlier ones are not obvious, and these should be discussed in detail. For example, one needs to be aware of the reason, if any, behind the superiority of traditional electrospinning technique over recent advances in 3D printing technique for the production of 3D scaffolds given the popularity of the former over the latter, indicated by the number of publications in the respective areas. Keeping these points in mind, this review aims to demonstrate the ongoing trend in TE based on the scaffold fabrication techniques, focusing mostly, on the two most widely used techniques, namely, electrospinning and 3D printing, with a special emphasis on preclinical trials and beyond. In this context, the advantages, disadvantages, flexibilities and limitations of the relevant techniques (electrospinner and 3D printer) are discussed. The paper also critically analyzes the applicability, restrictions, and future demands of these techniques in TE including their applications in generating whole body organs. It is concluded that combining these knowledge gaps with the existing body of knowledge on the preparation of laboratory scale 3D scaffolds, would deliver a much better understanding in the future for scientists who are interested in these techniques.","author":[{"dropping-particle":"","family":"Mabrouk","given":"Mostafa","non-dropping-particle":"","parse-names":false,"suffix":""},{"dropping-particle":"","family":"Beherei","given":"Hanan H.","non-dropping-particle":"","parse-names":false,"suffix":""},{"dropping-particle":"","family":"Das","given":"Diganta B.","non-dropping-particle":"","parse-names":false,"suffix":""}],"container-title":"Materials Science and Engineering C","id":"ITEM-2","issue":"February","issued":{"date-parts":[["2020"]]},"title":"Recent progress in the fabrication techniques of 3D scaffolds for tissue engineering","type":"article-journal","volume":"110"},"uris":["http://www.mendeley.com/documents/?uuid=0723869a-46b7-4bfb-b87a-1f4027ac46bc","http://www.mendeley.com/documents/?uuid=8dc7b335-b0ac-461e-83fe-7827f5219c71"]}],"mendeley":{"formattedCitation":"[33], [34]","plainTextFormattedCitation":"[33], [34]","previouslyFormattedCitation":"[33], [34]"},"properties":{"noteIndex":0},"schema":"https://github.com/citation-style-language/schema/raw/master/csl-citation.json"}</w:instrText>
      </w:r>
      <w:r w:rsidR="001D2A90">
        <w:rPr>
          <w:rFonts w:ascii="Arial" w:eastAsia="Arial" w:hAnsi="Arial" w:cs="Arial"/>
          <w:sz w:val="20"/>
          <w:szCs w:val="20"/>
        </w:rPr>
        <w:fldChar w:fldCharType="separate"/>
      </w:r>
      <w:r w:rsidR="001D2A90" w:rsidRPr="001D2A90">
        <w:rPr>
          <w:rFonts w:ascii="Arial" w:eastAsia="Arial" w:hAnsi="Arial" w:cs="Arial"/>
          <w:noProof/>
          <w:sz w:val="20"/>
          <w:szCs w:val="20"/>
        </w:rPr>
        <w:t>[33], [34]</w:t>
      </w:r>
      <w:r w:rsidR="001D2A90">
        <w:rPr>
          <w:rFonts w:ascii="Arial" w:eastAsia="Arial" w:hAnsi="Arial" w:cs="Arial"/>
          <w:sz w:val="20"/>
          <w:szCs w:val="20"/>
        </w:rPr>
        <w:fldChar w:fldCharType="end"/>
      </w:r>
      <w:r w:rsidRPr="00B36CBC">
        <w:rPr>
          <w:rFonts w:ascii="Arial" w:eastAsia="Arial" w:hAnsi="Arial" w:cs="Arial"/>
          <w:sz w:val="20"/>
          <w:szCs w:val="20"/>
        </w:rPr>
        <w:t>.</w:t>
      </w:r>
    </w:p>
    <w:p w14:paraId="7CACEF8A" w14:textId="560774FA" w:rsidR="0002676E" w:rsidRDefault="00B36CBC" w:rsidP="00C95AD9">
      <w:pPr>
        <w:spacing w:after="0" w:line="240" w:lineRule="auto"/>
        <w:ind w:leftChars="0" w:left="0" w:firstLineChars="0" w:firstLine="720"/>
        <w:jc w:val="both"/>
        <w:rPr>
          <w:rFonts w:ascii="Arial" w:eastAsia="Arial" w:hAnsi="Arial" w:cs="Arial"/>
          <w:sz w:val="20"/>
          <w:szCs w:val="20"/>
        </w:rPr>
      </w:pPr>
      <w:r w:rsidRPr="00B36CBC">
        <w:rPr>
          <w:rFonts w:ascii="Arial" w:eastAsia="Arial" w:hAnsi="Arial" w:cs="Arial"/>
          <w:sz w:val="20"/>
          <w:szCs w:val="20"/>
        </w:rPr>
        <w:t>The standard application for bone implants is to have a lifetime of 3-24 months</w:t>
      </w:r>
      <w:r w:rsidR="00F50CCE">
        <w:rPr>
          <w:rFonts w:ascii="Arial" w:eastAsia="Arial" w:hAnsi="Arial" w:cs="Arial"/>
          <w:sz w:val="20"/>
          <w:szCs w:val="20"/>
        </w:rPr>
        <w:t xml:space="preserve"> </w:t>
      </w:r>
      <w:r w:rsidR="00F50CCE">
        <w:rPr>
          <w:rFonts w:ascii="Arial" w:eastAsia="Arial" w:hAnsi="Arial" w:cs="Arial"/>
          <w:sz w:val="20"/>
          <w:szCs w:val="20"/>
        </w:rPr>
        <w:fldChar w:fldCharType="begin" w:fldLock="1"/>
      </w:r>
      <w:r w:rsidR="00295ADE">
        <w:rPr>
          <w:rFonts w:ascii="Arial" w:eastAsia="Arial" w:hAnsi="Arial" w:cs="Arial"/>
          <w:sz w:val="20"/>
          <w:szCs w:val="20"/>
        </w:rPr>
        <w:instrText>ADDIN CSL_CITATION {"citationItems":[{"id":"ITEM-1","itemData":{"DOI":"10.1016/j.bioactmat.2021.10.034","ISSN":"2452199X","abstract":"Magnesium alloys are considered the most suitable absorbable metals for bone fracture fixation implants. The main challenge in absorbable magnesium alloys is their high corrosion/degradation rate that needs to be controlled. Various coatings have been applied to magnesium alloys to slow down their corrosion rates to match their corrosion rate to the regeneration rate of the bone fracture. In this review, a bioactive coating is proposed to slow down the corrosion rate of magnesium alloys and accelerate the bone fracture healing process. The main aim of the bioactive coatings is to enhance the direct attachment of living tissues and thereby facilitate osteoconduction. Hydroxyapatite, collagen type I, recombinant human bone morphogenetic proteins 2, simvastatin, zoledronate, and strontium are six bioactive agents that show high potential for developing a bioactive coating system for high-performance absorbable magnesium bone implants. In addition to coating, the substrate itself can be made bioactive by alloying magnesium with calcium, zinc, copper, and manganese that were found to promote bone regeneration.","author":[{"dropping-particle":"","family":"Sarian","given":"Murni Nazira","non-dropping-particle":"","parse-names":false,"suffix":""},{"dropping-particle":"","family":"Iqbal","given":"Nida","non-dropping-particle":"","parse-names":false,"suffix":""},{"dropping-particle":"","family":"Sotoudehbagha","given":"Pedram","non-dropping-particle":"","parse-names":false,"suffix":""},{"dropping-particle":"","family":"Razavi","given":"Mehdi","non-dropping-particle":"","parse-names":false,"suffix":""},{"dropping-particle":"","family":"Ahmed","given":"Qamar Uddin","non-dropping-particle":"","parse-names":false,"suffix":""},{"dropping-particle":"","family":"Sukotjo","given":"Cortino","non-dropping-particle":"","parse-names":false,"suffix":""},{"dropping-particle":"","family":"Hermawan","given":"Hendra","non-dropping-particle":"","parse-names":false,"suffix":""}],"container-title":"Bioactive Materials","id":"ITEM-1","issue":"October 2021","issued":{"date-parts":[["2022"]]},"page":"42-63","publisher":"KeAi Communications Co., Ltd","title":"Potential bioactive coating system for high-performance absorbable magnesium bone implants","type":"article-journal","volume":"12"},"uris":["http://www.mendeley.com/documents/?uuid=8caf3584-ca60-4bf8-b8c5-103f2314a500","http://www.mendeley.com/documents/?uuid=cec37222-dcdb-4088-91ad-1865a2f44a41"]}],"mendeley":{"formattedCitation":"[35]","plainTextFormattedCitation":"[35]","previouslyFormattedCitation":"[35]"},"properties":{"noteIndex":0},"schema":"https://github.com/citation-style-language/schema/raw/master/csl-citation.json"}</w:instrText>
      </w:r>
      <w:r w:rsidR="00F50CCE">
        <w:rPr>
          <w:rFonts w:ascii="Arial" w:eastAsia="Arial" w:hAnsi="Arial" w:cs="Arial"/>
          <w:sz w:val="20"/>
          <w:szCs w:val="20"/>
        </w:rPr>
        <w:fldChar w:fldCharType="separate"/>
      </w:r>
      <w:r w:rsidR="00F50CCE" w:rsidRPr="00F50CCE">
        <w:rPr>
          <w:rFonts w:ascii="Arial" w:eastAsia="Arial" w:hAnsi="Arial" w:cs="Arial"/>
          <w:noProof/>
          <w:sz w:val="20"/>
          <w:szCs w:val="20"/>
        </w:rPr>
        <w:t>[35]</w:t>
      </w:r>
      <w:r w:rsidR="00F50CCE">
        <w:rPr>
          <w:rFonts w:ascii="Arial" w:eastAsia="Arial" w:hAnsi="Arial" w:cs="Arial"/>
          <w:sz w:val="20"/>
          <w:szCs w:val="20"/>
        </w:rPr>
        <w:fldChar w:fldCharType="end"/>
      </w:r>
      <w:r w:rsidR="00F50CCE">
        <w:rPr>
          <w:rFonts w:ascii="Arial" w:eastAsia="Arial" w:hAnsi="Arial" w:cs="Arial"/>
          <w:sz w:val="20"/>
          <w:szCs w:val="20"/>
        </w:rPr>
        <w:t xml:space="preserve">. </w:t>
      </w:r>
      <w:r w:rsidRPr="00B36CBC">
        <w:rPr>
          <w:rFonts w:ascii="Arial" w:eastAsia="Arial" w:hAnsi="Arial" w:cs="Arial"/>
          <w:sz w:val="20"/>
          <w:szCs w:val="20"/>
        </w:rPr>
        <w:t xml:space="preserve">Therefore, based on the results of this weight loss </w:t>
      </w:r>
      <w:r w:rsidRPr="00B36CBC">
        <w:rPr>
          <w:rFonts w:ascii="Arial" w:eastAsia="Arial" w:hAnsi="Arial" w:cs="Arial"/>
          <w:sz w:val="20"/>
          <w:szCs w:val="20"/>
        </w:rPr>
        <w:lastRenderedPageBreak/>
        <w:t xml:space="preserve">test, all samples can be candidates for bone replacement, with the longest duration being sample A1N4, which is 380 days. (12 </w:t>
      </w:r>
      <w:r w:rsidR="008D2A4F">
        <w:rPr>
          <w:rFonts w:ascii="Arial" w:eastAsia="Arial" w:hAnsi="Arial" w:cs="Arial"/>
          <w:sz w:val="20"/>
          <w:szCs w:val="20"/>
        </w:rPr>
        <w:t>Month</w:t>
      </w:r>
      <w:r w:rsidR="00487797">
        <w:rPr>
          <w:rFonts w:ascii="Arial" w:eastAsia="Arial" w:hAnsi="Arial" w:cs="Arial"/>
          <w:sz w:val="20"/>
          <w:szCs w:val="20"/>
        </w:rPr>
        <w:t>s</w:t>
      </w:r>
      <w:r w:rsidRPr="00B36CBC">
        <w:rPr>
          <w:rFonts w:ascii="Arial" w:eastAsia="Arial" w:hAnsi="Arial" w:cs="Arial"/>
          <w:sz w:val="20"/>
          <w:szCs w:val="20"/>
        </w:rPr>
        <w:t>).</w:t>
      </w:r>
      <w:r>
        <w:rPr>
          <w:rFonts w:ascii="Arial" w:eastAsia="Arial" w:hAnsi="Arial" w:cs="Arial"/>
          <w:sz w:val="20"/>
          <w:szCs w:val="20"/>
        </w:rPr>
        <w:t xml:space="preserve"> </w:t>
      </w:r>
    </w:p>
    <w:p w14:paraId="5D9A2395" w14:textId="77777777" w:rsidR="00FC66B2" w:rsidRDefault="00FC66B2">
      <w:pPr>
        <w:spacing w:after="0" w:line="240" w:lineRule="auto"/>
        <w:ind w:left="0" w:hanging="2"/>
        <w:rPr>
          <w:rFonts w:ascii="Arial" w:eastAsia="Arial" w:hAnsi="Arial" w:cs="Arial"/>
          <w:b/>
          <w:color w:val="1F4E79"/>
          <w:sz w:val="20"/>
          <w:szCs w:val="20"/>
        </w:rPr>
      </w:pPr>
    </w:p>
    <w:p w14:paraId="474DCCD9" w14:textId="3834D347" w:rsidR="0002676E" w:rsidRDefault="00000000">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0EB87953" w14:textId="1B96E218" w:rsidR="0002676E" w:rsidRDefault="00CE633E" w:rsidP="00E33D3C">
      <w:pPr>
        <w:spacing w:after="0" w:line="240" w:lineRule="auto"/>
        <w:ind w:leftChars="0" w:left="0" w:firstLineChars="0" w:firstLine="720"/>
        <w:jc w:val="both"/>
        <w:rPr>
          <w:rFonts w:ascii="Arial" w:eastAsia="Arial" w:hAnsi="Arial" w:cs="Arial"/>
          <w:sz w:val="20"/>
          <w:szCs w:val="20"/>
        </w:rPr>
      </w:pPr>
      <w:r w:rsidRPr="00CE633E">
        <w:rPr>
          <w:rFonts w:ascii="Arial" w:eastAsia="Arial" w:hAnsi="Arial" w:cs="Arial"/>
          <w:sz w:val="20"/>
          <w:szCs w:val="20"/>
        </w:rPr>
        <w:t xml:space="preserve">This study shows that the addition of 1% APTES significantly increases tensile strength up to 138% and compressive strength </w:t>
      </w:r>
      <w:r w:rsidR="005D234B">
        <w:rPr>
          <w:rFonts w:ascii="Arial" w:eastAsia="Arial" w:hAnsi="Arial" w:cs="Arial"/>
          <w:sz w:val="20"/>
          <w:szCs w:val="20"/>
        </w:rPr>
        <w:t xml:space="preserve">up </w:t>
      </w:r>
      <w:r w:rsidRPr="00CE633E">
        <w:rPr>
          <w:rFonts w:ascii="Arial" w:eastAsia="Arial" w:hAnsi="Arial" w:cs="Arial"/>
          <w:sz w:val="20"/>
          <w:szCs w:val="20"/>
        </w:rPr>
        <w:t xml:space="preserve">to 283% in PCL/HA composites, </w:t>
      </w:r>
      <w:r w:rsidR="008E0C9A">
        <w:rPr>
          <w:rFonts w:ascii="Arial" w:eastAsia="Arial" w:hAnsi="Arial" w:cs="Arial"/>
          <w:sz w:val="20"/>
          <w:szCs w:val="20"/>
        </w:rPr>
        <w:t>due</w:t>
      </w:r>
      <w:r w:rsidRPr="00CE633E">
        <w:rPr>
          <w:rFonts w:ascii="Arial" w:eastAsia="Arial" w:hAnsi="Arial" w:cs="Arial"/>
          <w:sz w:val="20"/>
          <w:szCs w:val="20"/>
        </w:rPr>
        <w:t xml:space="preserve"> to the reinforcement of the matrix and HA particle interface. However, APTES concentrations above 1% reduce mechanical strength due to incomplete hydrolysis reactions. A higher porogen ratio (4:1 to 8:1) increases porosity up to 78.16%, but decreases tensile strength by 84% and compressive strength by 78% due to the dominance of the porous structure. In terms of biodegradation, 1% APTES extends the scaffold's lifetime to 380 days (12 months), while a higher porogen ratio accelerates degradation. The best sample, A1N4 (APTES 1%, porogen ratio 4:1), shows an optimal balance between mechanical properties, porosity, and biodegradation, although it has not yet met the clinical standards for cancellous bone. The development of advanced fabrication techniques is recommended to enhance the performance of this scaffold as a potential candidate for bone regeneration</w:t>
      </w:r>
      <w:r>
        <w:rPr>
          <w:rFonts w:ascii="Arial" w:eastAsia="Arial" w:hAnsi="Arial" w:cs="Arial"/>
          <w:sz w:val="20"/>
          <w:szCs w:val="20"/>
        </w:rPr>
        <w:t xml:space="preserve">. </w:t>
      </w:r>
    </w:p>
    <w:p w14:paraId="56132C7C" w14:textId="77777777" w:rsidR="0002676E" w:rsidRDefault="0002676E">
      <w:pPr>
        <w:spacing w:after="0" w:line="240" w:lineRule="auto"/>
        <w:ind w:left="0" w:hanging="2"/>
        <w:jc w:val="both"/>
        <w:rPr>
          <w:rFonts w:ascii="Arial" w:eastAsia="Arial" w:hAnsi="Arial" w:cs="Arial"/>
          <w:sz w:val="20"/>
          <w:szCs w:val="20"/>
        </w:rPr>
      </w:pPr>
    </w:p>
    <w:p w14:paraId="389E67E4" w14:textId="77777777" w:rsidR="0002676E"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30045D50" w14:textId="1789368E" w:rsidR="0002676E" w:rsidRDefault="00292367">
      <w:pPr>
        <w:spacing w:after="0" w:line="240" w:lineRule="auto"/>
        <w:ind w:left="0" w:hanging="2"/>
        <w:jc w:val="both"/>
        <w:rPr>
          <w:rFonts w:ascii="Arial" w:eastAsia="Arial" w:hAnsi="Arial" w:cs="Arial"/>
          <w:sz w:val="20"/>
          <w:szCs w:val="20"/>
        </w:rPr>
      </w:pPr>
      <w:r w:rsidRPr="00292367">
        <w:rPr>
          <w:rFonts w:ascii="Arial" w:eastAsia="Arial" w:hAnsi="Arial" w:cs="Arial"/>
          <w:sz w:val="20"/>
          <w:szCs w:val="20"/>
        </w:rPr>
        <w:t>This research is funded by the Deputy for Strengthening Research and Development, Ministry of Research and Technology/National Research and Innovation Agency with the research title "Development of Composite Materials as Bioabsorbable Implants in Supporting National Medical Device Independence" for the year 2021 and contract number 1018/PKS/ITS/2021</w:t>
      </w:r>
      <w:r>
        <w:rPr>
          <w:rFonts w:ascii="Arial" w:eastAsia="Arial" w:hAnsi="Arial" w:cs="Arial"/>
          <w:sz w:val="20"/>
          <w:szCs w:val="20"/>
        </w:rPr>
        <w:t>.</w:t>
      </w:r>
    </w:p>
    <w:p w14:paraId="327C847B" w14:textId="77777777" w:rsidR="0002676E" w:rsidRDefault="0002676E">
      <w:pPr>
        <w:spacing w:after="0" w:line="240" w:lineRule="auto"/>
        <w:ind w:left="0" w:hanging="2"/>
        <w:jc w:val="both"/>
        <w:rPr>
          <w:rFonts w:ascii="Arial" w:eastAsia="Arial" w:hAnsi="Arial" w:cs="Arial"/>
          <w:sz w:val="20"/>
          <w:szCs w:val="20"/>
        </w:rPr>
      </w:pPr>
    </w:p>
    <w:p w14:paraId="6DF321EC" w14:textId="77777777" w:rsidR="0002676E" w:rsidRDefault="00000000">
      <w:pPr>
        <w:spacing w:after="0" w:line="240" w:lineRule="auto"/>
        <w:ind w:left="0" w:hanging="2"/>
        <w:rPr>
          <w:rFonts w:ascii="Arial" w:eastAsia="Arial" w:hAnsi="Arial" w:cs="Arial"/>
          <w:b/>
          <w:color w:val="1F4E79"/>
          <w:sz w:val="20"/>
          <w:szCs w:val="20"/>
        </w:rPr>
      </w:pPr>
      <w:r w:rsidRPr="00186CD0">
        <w:rPr>
          <w:rFonts w:ascii="Arial" w:eastAsia="Arial" w:hAnsi="Arial" w:cs="Arial"/>
          <w:b/>
          <w:color w:val="1F4E79"/>
          <w:sz w:val="20"/>
          <w:szCs w:val="20"/>
        </w:rPr>
        <w:t>REFERENCES</w:t>
      </w:r>
    </w:p>
    <w:p w14:paraId="0A9C14AB" w14:textId="5E5857E1" w:rsidR="00BE693D" w:rsidRPr="00BE693D" w:rsidRDefault="00F3260F" w:rsidP="006151C1">
      <w:pPr>
        <w:widowControl w:val="0"/>
        <w:autoSpaceDE w:val="0"/>
        <w:autoSpaceDN w:val="0"/>
        <w:adjustRightInd w:val="0"/>
        <w:spacing w:after="0" w:line="240" w:lineRule="auto"/>
        <w:ind w:left="0" w:hanging="2"/>
        <w:jc w:val="both"/>
        <w:rPr>
          <w:rFonts w:ascii="Arial" w:hAnsi="Arial" w:cs="Arial"/>
          <w:noProof/>
          <w:sz w:val="20"/>
        </w:rPr>
      </w:pPr>
      <w:r>
        <w:rPr>
          <w:rFonts w:ascii="Arial" w:eastAsia="Arial" w:hAnsi="Arial" w:cs="Arial"/>
          <w:color w:val="000000"/>
          <w:sz w:val="20"/>
          <w:szCs w:val="20"/>
        </w:rPr>
        <w:fldChar w:fldCharType="begin" w:fldLock="1"/>
      </w:r>
      <w:r>
        <w:rPr>
          <w:rFonts w:ascii="Arial" w:eastAsia="Arial" w:hAnsi="Arial" w:cs="Arial"/>
          <w:color w:val="000000"/>
          <w:sz w:val="20"/>
          <w:szCs w:val="20"/>
        </w:rPr>
        <w:instrText xml:space="preserve">ADDIN Mendeley Bibliography CSL_BIBLIOGRAPHY </w:instrText>
      </w:r>
      <w:r>
        <w:rPr>
          <w:rFonts w:ascii="Arial" w:eastAsia="Arial" w:hAnsi="Arial" w:cs="Arial"/>
          <w:color w:val="000000"/>
          <w:sz w:val="20"/>
          <w:szCs w:val="20"/>
        </w:rPr>
        <w:fldChar w:fldCharType="separate"/>
      </w:r>
      <w:r w:rsidR="00BE693D" w:rsidRPr="00BE693D">
        <w:rPr>
          <w:rFonts w:ascii="Arial" w:hAnsi="Arial" w:cs="Arial"/>
          <w:noProof/>
          <w:sz w:val="20"/>
        </w:rPr>
        <w:t>[1]</w:t>
      </w:r>
      <w:r w:rsidR="00BE693D">
        <w:rPr>
          <w:rFonts w:ascii="Arial" w:hAnsi="Arial" w:cs="Arial"/>
          <w:noProof/>
          <w:sz w:val="20"/>
        </w:rPr>
        <w:t xml:space="preserve"> </w:t>
      </w:r>
      <w:r w:rsidR="00BE693D" w:rsidRPr="00BE693D">
        <w:rPr>
          <w:rFonts w:ascii="Arial" w:hAnsi="Arial" w:cs="Arial"/>
          <w:noProof/>
          <w:sz w:val="20"/>
        </w:rPr>
        <w:t xml:space="preserve">N. Xue </w:t>
      </w:r>
      <w:r w:rsidR="00BE693D" w:rsidRPr="00BE693D">
        <w:rPr>
          <w:rFonts w:ascii="Arial" w:hAnsi="Arial" w:cs="Arial"/>
          <w:i/>
          <w:iCs/>
          <w:noProof/>
          <w:sz w:val="20"/>
        </w:rPr>
        <w:t>et al.</w:t>
      </w:r>
      <w:r w:rsidR="00BE693D" w:rsidRPr="00BE693D">
        <w:rPr>
          <w:rFonts w:ascii="Arial" w:hAnsi="Arial" w:cs="Arial"/>
          <w:noProof/>
          <w:sz w:val="20"/>
        </w:rPr>
        <w:t xml:space="preserve">, “Bone Tissue Engineering in the Treatment of Bone Defects,” </w:t>
      </w:r>
      <w:r w:rsidR="00BE693D" w:rsidRPr="00BE693D">
        <w:rPr>
          <w:rFonts w:ascii="Arial" w:hAnsi="Arial" w:cs="Arial"/>
          <w:i/>
          <w:iCs/>
          <w:noProof/>
          <w:sz w:val="20"/>
        </w:rPr>
        <w:t>Pharmaceuticals</w:t>
      </w:r>
      <w:r w:rsidR="00BE693D" w:rsidRPr="00BE693D">
        <w:rPr>
          <w:rFonts w:ascii="Arial" w:hAnsi="Arial" w:cs="Arial"/>
          <w:noProof/>
          <w:sz w:val="20"/>
        </w:rPr>
        <w:t>, vol. 15, no. 7, pp. 1–24, 2022, doi: 10.3390/ph15070879.</w:t>
      </w:r>
    </w:p>
    <w:p w14:paraId="20D18C5C" w14:textId="4585AB1E"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w:t>
      </w:r>
      <w:r w:rsidR="007C4CF1">
        <w:rPr>
          <w:rFonts w:ascii="Arial" w:hAnsi="Arial" w:cs="Arial"/>
          <w:noProof/>
          <w:sz w:val="20"/>
        </w:rPr>
        <w:t xml:space="preserve"> </w:t>
      </w:r>
      <w:r w:rsidRPr="00BE693D">
        <w:rPr>
          <w:rFonts w:ascii="Arial" w:hAnsi="Arial" w:cs="Arial"/>
          <w:noProof/>
          <w:sz w:val="20"/>
        </w:rPr>
        <w:t xml:space="preserve">N. Fazeli, E. Arefian, S. Irani, A. Ardeshirylajimi, and E. Seyedjafari, “3D-Printed PCL Scaffolds Coated with Nanobioceramics Enhance Osteogenic Differentiation of Stem Cells,” </w:t>
      </w:r>
      <w:r w:rsidRPr="00BE693D">
        <w:rPr>
          <w:rFonts w:ascii="Arial" w:hAnsi="Arial" w:cs="Arial"/>
          <w:i/>
          <w:iCs/>
          <w:noProof/>
          <w:sz w:val="20"/>
        </w:rPr>
        <w:t>ACS Omega</w:t>
      </w:r>
      <w:r w:rsidRPr="00BE693D">
        <w:rPr>
          <w:rFonts w:ascii="Arial" w:hAnsi="Arial" w:cs="Arial"/>
          <w:noProof/>
          <w:sz w:val="20"/>
        </w:rPr>
        <w:t>, vol. 6, no. 51, pp. 35284–35296, 2021, doi: 10.1021/acsomega.1c04015.</w:t>
      </w:r>
    </w:p>
    <w:p w14:paraId="22026DA8" w14:textId="069274FE"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[3]</w:t>
      </w:r>
      <w:r w:rsidR="0017369F">
        <w:rPr>
          <w:rFonts w:ascii="Arial" w:hAnsi="Arial" w:cs="Arial"/>
          <w:noProof/>
          <w:sz w:val="20"/>
        </w:rPr>
        <w:t xml:space="preserve"> </w:t>
      </w:r>
      <w:r w:rsidRPr="00BE693D">
        <w:rPr>
          <w:rFonts w:ascii="Arial" w:hAnsi="Arial" w:cs="Arial"/>
          <w:noProof/>
          <w:sz w:val="20"/>
        </w:rPr>
        <w:t xml:space="preserve">J. Khotib, C. S. Lasandara, S. Samirah, and A. S. Budiatin, “Acceleration of Bone Fracture Healing through the Use of Natural Bovine Hydroxyapatite Implant on Bone Defect Animal Model,” </w:t>
      </w:r>
      <w:r w:rsidRPr="00BE693D">
        <w:rPr>
          <w:rFonts w:ascii="Arial" w:hAnsi="Arial" w:cs="Arial"/>
          <w:i/>
          <w:iCs/>
          <w:noProof/>
          <w:sz w:val="20"/>
        </w:rPr>
        <w:t>Folia Medica Indones.</w:t>
      </w:r>
      <w:r w:rsidRPr="00BE693D">
        <w:rPr>
          <w:rFonts w:ascii="Arial" w:hAnsi="Arial" w:cs="Arial"/>
          <w:noProof/>
          <w:sz w:val="20"/>
        </w:rPr>
        <w:t xml:space="preserve">, vol. 55, no. 3, p. </w:t>
      </w:r>
      <w:r w:rsidRPr="00BE693D">
        <w:rPr>
          <w:rFonts w:ascii="Arial" w:hAnsi="Arial" w:cs="Arial"/>
          <w:noProof/>
          <w:sz w:val="20"/>
        </w:rPr>
        <w:t>176, 2019, doi: 10.20473/fmi.v55i3.15495.</w:t>
      </w:r>
    </w:p>
    <w:p w14:paraId="52357D67" w14:textId="242CC4C3"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[4]</w:t>
      </w:r>
      <w:r w:rsidR="00D14C28">
        <w:rPr>
          <w:rFonts w:ascii="Arial" w:hAnsi="Arial" w:cs="Arial"/>
          <w:noProof/>
          <w:sz w:val="20"/>
        </w:rPr>
        <w:t xml:space="preserve"> </w:t>
      </w:r>
      <w:r w:rsidRPr="00BE693D">
        <w:rPr>
          <w:rFonts w:ascii="Arial" w:hAnsi="Arial" w:cs="Arial"/>
          <w:noProof/>
          <w:sz w:val="20"/>
        </w:rPr>
        <w:t xml:space="preserve">Z. Ebrahimi, S. Irani, A. Ardeshirylajimi, and E. Seyedjafari, “Enhanced osteogenic differentiation of stem cells by 3D printed PCL scaffolds coated with collagen and hydroxyapatite,” </w:t>
      </w:r>
      <w:r w:rsidRPr="00BE693D">
        <w:rPr>
          <w:rFonts w:ascii="Arial" w:hAnsi="Arial" w:cs="Arial"/>
          <w:i/>
          <w:iCs/>
          <w:noProof/>
          <w:sz w:val="20"/>
        </w:rPr>
        <w:t>Sci. Rep.</w:t>
      </w:r>
      <w:r w:rsidRPr="00BE693D">
        <w:rPr>
          <w:rFonts w:ascii="Arial" w:hAnsi="Arial" w:cs="Arial"/>
          <w:noProof/>
          <w:sz w:val="20"/>
        </w:rPr>
        <w:t>, vol. 12, no. 1, pp. 1–15, 2022, doi: 10.1038/s41598-022-15602-y.</w:t>
      </w:r>
    </w:p>
    <w:p w14:paraId="6918BB2C" w14:textId="79BB4F73"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[5]</w:t>
      </w:r>
      <w:r w:rsidR="00EB284E">
        <w:rPr>
          <w:rFonts w:ascii="Arial" w:hAnsi="Arial" w:cs="Arial"/>
          <w:noProof/>
          <w:sz w:val="20"/>
        </w:rPr>
        <w:t xml:space="preserve"> </w:t>
      </w:r>
      <w:r w:rsidRPr="00BE693D">
        <w:rPr>
          <w:rFonts w:ascii="Arial" w:hAnsi="Arial" w:cs="Arial"/>
          <w:noProof/>
          <w:sz w:val="20"/>
        </w:rPr>
        <w:t xml:space="preserve">J. W. Kim, K. H. Shin, Y. H. Koh, M. J. Hah, J. Moon, and H. E. Kim, “Production of poly(ε-caprolactone)/hydroxyapatite composite scaffolds with a tailored macro/micro-porous structure, high mechanical properties, and excellent bioactivity,” </w:t>
      </w:r>
      <w:r w:rsidRPr="00BE693D">
        <w:rPr>
          <w:rFonts w:ascii="Arial" w:hAnsi="Arial" w:cs="Arial"/>
          <w:i/>
          <w:iCs/>
          <w:noProof/>
          <w:sz w:val="20"/>
        </w:rPr>
        <w:t>Materials (Basel).</w:t>
      </w:r>
      <w:r w:rsidRPr="00BE693D">
        <w:rPr>
          <w:rFonts w:ascii="Arial" w:hAnsi="Arial" w:cs="Arial"/>
          <w:noProof/>
          <w:sz w:val="20"/>
        </w:rPr>
        <w:t>, vol. 10, no. 10, 2017, doi: 10.3390/ma10101123.</w:t>
      </w:r>
    </w:p>
    <w:p w14:paraId="74D17041" w14:textId="405F646A"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[6]</w:t>
      </w:r>
      <w:r w:rsidR="00EB284E">
        <w:rPr>
          <w:rFonts w:ascii="Arial" w:hAnsi="Arial" w:cs="Arial"/>
          <w:noProof/>
          <w:sz w:val="20"/>
        </w:rPr>
        <w:t xml:space="preserve"> </w:t>
      </w:r>
      <w:r w:rsidRPr="00BE693D">
        <w:rPr>
          <w:rFonts w:ascii="Arial" w:hAnsi="Arial" w:cs="Arial"/>
          <w:noProof/>
          <w:sz w:val="20"/>
        </w:rPr>
        <w:t xml:space="preserve">T. R. Kim </w:t>
      </w:r>
      <w:r w:rsidRPr="00BE693D">
        <w:rPr>
          <w:rFonts w:ascii="Arial" w:hAnsi="Arial" w:cs="Arial"/>
          <w:i/>
          <w:iCs/>
          <w:noProof/>
          <w:sz w:val="20"/>
        </w:rPr>
        <w:t>et al.</w:t>
      </w:r>
      <w:r w:rsidRPr="00BE693D">
        <w:rPr>
          <w:rFonts w:ascii="Arial" w:hAnsi="Arial" w:cs="Arial"/>
          <w:noProof/>
          <w:sz w:val="20"/>
        </w:rPr>
        <w:t xml:space="preserve">, “Evaluation of structural and mechanical properties of porous artificial bone scaffolds fabricated via advanced TBA-based freeze-gel casting technique,” </w:t>
      </w:r>
      <w:r w:rsidRPr="00BE693D">
        <w:rPr>
          <w:rFonts w:ascii="Arial" w:hAnsi="Arial" w:cs="Arial"/>
          <w:i/>
          <w:iCs/>
          <w:noProof/>
          <w:sz w:val="20"/>
        </w:rPr>
        <w:t>Appl. Sci.</w:t>
      </w:r>
      <w:r w:rsidRPr="00BE693D">
        <w:rPr>
          <w:rFonts w:ascii="Arial" w:hAnsi="Arial" w:cs="Arial"/>
          <w:noProof/>
          <w:sz w:val="20"/>
        </w:rPr>
        <w:t>, vol. 9, no. 9, pp. 1–17, 2019, doi: 10.3390/app9091965.</w:t>
      </w:r>
    </w:p>
    <w:p w14:paraId="21CC75AF" w14:textId="4AADA934"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[7]</w:t>
      </w:r>
      <w:r w:rsidR="00EB284E">
        <w:rPr>
          <w:rFonts w:ascii="Arial" w:hAnsi="Arial" w:cs="Arial"/>
          <w:noProof/>
          <w:sz w:val="20"/>
        </w:rPr>
        <w:t xml:space="preserve"> </w:t>
      </w:r>
      <w:r w:rsidRPr="00BE693D">
        <w:rPr>
          <w:rFonts w:ascii="Arial" w:hAnsi="Arial" w:cs="Arial"/>
          <w:noProof/>
          <w:sz w:val="20"/>
        </w:rPr>
        <w:t xml:space="preserve">S. Park </w:t>
      </w:r>
      <w:r w:rsidRPr="00BE693D">
        <w:rPr>
          <w:rFonts w:ascii="Arial" w:hAnsi="Arial" w:cs="Arial"/>
          <w:i/>
          <w:iCs/>
          <w:noProof/>
          <w:sz w:val="20"/>
        </w:rPr>
        <w:t>et al.</w:t>
      </w:r>
      <w:r w:rsidRPr="00BE693D">
        <w:rPr>
          <w:rFonts w:ascii="Arial" w:hAnsi="Arial" w:cs="Arial"/>
          <w:noProof/>
          <w:sz w:val="20"/>
        </w:rPr>
        <w:t xml:space="preserve">, “3D-Printed Poly(Ε-Caprolactone)/Hydroxyapatite Scaffolds Modified With Alkaline Hydrolysis Enhance Osteogenesis in Vitro,” </w:t>
      </w:r>
      <w:r w:rsidRPr="00BE693D">
        <w:rPr>
          <w:rFonts w:ascii="Arial" w:hAnsi="Arial" w:cs="Arial"/>
          <w:i/>
          <w:iCs/>
          <w:noProof/>
          <w:sz w:val="20"/>
        </w:rPr>
        <w:t>Polymers (Basel).</w:t>
      </w:r>
      <w:r w:rsidRPr="00BE693D">
        <w:rPr>
          <w:rFonts w:ascii="Arial" w:hAnsi="Arial" w:cs="Arial"/>
          <w:noProof/>
          <w:sz w:val="20"/>
        </w:rPr>
        <w:t>, vol. 13, no. 2, pp. 1–11, 2021, doi: 10.3390/polym13020257.</w:t>
      </w:r>
    </w:p>
    <w:p w14:paraId="3BCB8F05" w14:textId="72B46A5E"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[8]</w:t>
      </w:r>
      <w:r w:rsidR="00EB284E">
        <w:rPr>
          <w:rFonts w:ascii="Arial" w:hAnsi="Arial" w:cs="Arial"/>
          <w:noProof/>
          <w:sz w:val="20"/>
        </w:rPr>
        <w:t xml:space="preserve"> </w:t>
      </w:r>
      <w:r w:rsidRPr="00BE693D">
        <w:rPr>
          <w:rFonts w:ascii="Arial" w:hAnsi="Arial" w:cs="Arial"/>
          <w:noProof/>
          <w:sz w:val="20"/>
        </w:rPr>
        <w:t xml:space="preserve">H. Y. Jang, J. Y. Shin, S. H. Oh, J. H. Byun, and J. H. Lee, “PCL/HA Hybrid Microspheres for Effective Osteogenic Differentiation and Bone Regeneration,” </w:t>
      </w:r>
      <w:r w:rsidRPr="00BE693D">
        <w:rPr>
          <w:rFonts w:ascii="Arial" w:hAnsi="Arial" w:cs="Arial"/>
          <w:i/>
          <w:iCs/>
          <w:noProof/>
          <w:sz w:val="20"/>
        </w:rPr>
        <w:t>ACS Biomater. Sci. Eng.</w:t>
      </w:r>
      <w:r w:rsidRPr="00BE693D">
        <w:rPr>
          <w:rFonts w:ascii="Arial" w:hAnsi="Arial" w:cs="Arial"/>
          <w:noProof/>
          <w:sz w:val="20"/>
        </w:rPr>
        <w:t>, vol. 6, no. 9, pp. 5172–5180, 2020, doi: 10.1021/acsbiomaterials.0c00550.</w:t>
      </w:r>
    </w:p>
    <w:p w14:paraId="0B3A817F" w14:textId="5035C7EB"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[9]</w:t>
      </w:r>
      <w:r w:rsidR="00EB284E">
        <w:rPr>
          <w:rFonts w:ascii="Arial" w:hAnsi="Arial" w:cs="Arial"/>
          <w:noProof/>
          <w:sz w:val="20"/>
        </w:rPr>
        <w:t xml:space="preserve"> </w:t>
      </w:r>
      <w:r w:rsidRPr="00BE693D">
        <w:rPr>
          <w:rFonts w:ascii="Arial" w:hAnsi="Arial" w:cs="Arial"/>
          <w:noProof/>
          <w:sz w:val="20"/>
        </w:rPr>
        <w:t xml:space="preserve">H. Shi, Z. Zhou, W. Li, Y. Fan, Z. Li, and J. Wei, “Hydroxyapatite based materials for bone tissue engineering: A brief and comprehensive introduction,” </w:t>
      </w:r>
      <w:r w:rsidRPr="00BE693D">
        <w:rPr>
          <w:rFonts w:ascii="Arial" w:hAnsi="Arial" w:cs="Arial"/>
          <w:i/>
          <w:iCs/>
          <w:noProof/>
          <w:sz w:val="20"/>
        </w:rPr>
        <w:t>Crystals</w:t>
      </w:r>
      <w:r w:rsidRPr="00BE693D">
        <w:rPr>
          <w:rFonts w:ascii="Arial" w:hAnsi="Arial" w:cs="Arial"/>
          <w:noProof/>
          <w:sz w:val="20"/>
        </w:rPr>
        <w:t>, vol. 11, no. 2, pp. 1–18, 2021, doi: 10.3390/cryst11020149.</w:t>
      </w:r>
    </w:p>
    <w:p w14:paraId="5E868DF9" w14:textId="48DB8B42"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[10]</w:t>
      </w:r>
      <w:r w:rsidR="00EB284E">
        <w:rPr>
          <w:rFonts w:ascii="Arial" w:hAnsi="Arial" w:cs="Arial"/>
          <w:noProof/>
          <w:sz w:val="20"/>
        </w:rPr>
        <w:t xml:space="preserve"> </w:t>
      </w:r>
      <w:r w:rsidRPr="00BE693D">
        <w:rPr>
          <w:rFonts w:ascii="Arial" w:hAnsi="Arial" w:cs="Arial"/>
          <w:noProof/>
          <w:sz w:val="20"/>
        </w:rPr>
        <w:t xml:space="preserve">G. M. Raghavendra, K. Varaprasad, and T. Jayaramudu, </w:t>
      </w:r>
      <w:r w:rsidRPr="00BE693D">
        <w:rPr>
          <w:rFonts w:ascii="Arial" w:hAnsi="Arial" w:cs="Arial"/>
          <w:i/>
          <w:iCs/>
          <w:noProof/>
          <w:sz w:val="20"/>
        </w:rPr>
        <w:t>Biomaterials: Design, Development and Biomedical Applications</w:t>
      </w:r>
      <w:r w:rsidRPr="00BE693D">
        <w:rPr>
          <w:rFonts w:ascii="Arial" w:hAnsi="Arial" w:cs="Arial"/>
          <w:noProof/>
          <w:sz w:val="20"/>
        </w:rPr>
        <w:t>. Elsevier Inc., 2015. doi: 10.1016/B978-0-323-32889-0.00002-9.</w:t>
      </w:r>
    </w:p>
    <w:p w14:paraId="6B016312" w14:textId="10BBB690"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[11]</w:t>
      </w:r>
      <w:r w:rsidR="00845282">
        <w:rPr>
          <w:rFonts w:ascii="Arial" w:hAnsi="Arial" w:cs="Arial"/>
          <w:noProof/>
          <w:sz w:val="20"/>
        </w:rPr>
        <w:t xml:space="preserve"> </w:t>
      </w:r>
      <w:r w:rsidRPr="00BE693D">
        <w:rPr>
          <w:rFonts w:ascii="Arial" w:hAnsi="Arial" w:cs="Arial"/>
          <w:noProof/>
          <w:sz w:val="20"/>
        </w:rPr>
        <w:t xml:space="preserve">S. Tajvar, A. Hadjizadeh, and S. S. Samandari, “Scaffold degradation in bone tissue engineering: An overview,” </w:t>
      </w:r>
      <w:r w:rsidRPr="00BE693D">
        <w:rPr>
          <w:rFonts w:ascii="Arial" w:hAnsi="Arial" w:cs="Arial"/>
          <w:i/>
          <w:iCs/>
          <w:noProof/>
          <w:sz w:val="20"/>
        </w:rPr>
        <w:t>Int. Biodeterior. Biodegrad.</w:t>
      </w:r>
      <w:r w:rsidRPr="00BE693D">
        <w:rPr>
          <w:rFonts w:ascii="Arial" w:hAnsi="Arial" w:cs="Arial"/>
          <w:noProof/>
          <w:sz w:val="20"/>
        </w:rPr>
        <w:t>, vol. 180, no. February, p. 105599, 2023, doi: 10.1016/j.ibiod.2023.105599.</w:t>
      </w:r>
    </w:p>
    <w:p w14:paraId="2F428CAC" w14:textId="135E373A"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[12]</w:t>
      </w:r>
      <w:r w:rsidR="00845282">
        <w:rPr>
          <w:rFonts w:ascii="Arial" w:hAnsi="Arial" w:cs="Arial"/>
          <w:noProof/>
          <w:sz w:val="20"/>
        </w:rPr>
        <w:t xml:space="preserve"> </w:t>
      </w:r>
      <w:r w:rsidRPr="00BE693D">
        <w:rPr>
          <w:rFonts w:ascii="Arial" w:hAnsi="Arial" w:cs="Arial"/>
          <w:noProof/>
          <w:sz w:val="20"/>
        </w:rPr>
        <w:t xml:space="preserve">C. Ruiz-Aguilar, U. Olivares-Pinto, R. A. L. Drew, E. A. Aguilar-Reyes, and I. Alfonso, “Porogen Effect on Structural and Physical Properties of β-TCP Scaffolds for Bone Tissue Regeneration,” </w:t>
      </w:r>
      <w:r w:rsidRPr="00BE693D">
        <w:rPr>
          <w:rFonts w:ascii="Arial" w:hAnsi="Arial" w:cs="Arial"/>
          <w:i/>
          <w:iCs/>
          <w:noProof/>
          <w:sz w:val="20"/>
        </w:rPr>
        <w:t>Irbm</w:t>
      </w:r>
      <w:r w:rsidRPr="00BE693D">
        <w:rPr>
          <w:rFonts w:ascii="Arial" w:hAnsi="Arial" w:cs="Arial"/>
          <w:noProof/>
          <w:sz w:val="20"/>
        </w:rPr>
        <w:t>, vol. 42, no. 5, pp. 302–312, 2021, doi: 10.1016/j.irbm.2020.05.007.</w:t>
      </w:r>
    </w:p>
    <w:p w14:paraId="271B61F3" w14:textId="6CEF9BF7"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[13]</w:t>
      </w:r>
      <w:r w:rsidR="00AC135D">
        <w:rPr>
          <w:rFonts w:ascii="Arial" w:hAnsi="Arial" w:cs="Arial"/>
          <w:noProof/>
          <w:sz w:val="20"/>
        </w:rPr>
        <w:t xml:space="preserve"> </w:t>
      </w:r>
      <w:r w:rsidRPr="00BE693D">
        <w:rPr>
          <w:rFonts w:ascii="Arial" w:hAnsi="Arial" w:cs="Arial"/>
          <w:noProof/>
          <w:sz w:val="20"/>
        </w:rPr>
        <w:t xml:space="preserve">R. Dwivedi </w:t>
      </w:r>
      <w:r w:rsidRPr="00BE693D">
        <w:rPr>
          <w:rFonts w:ascii="Arial" w:hAnsi="Arial" w:cs="Arial"/>
          <w:i/>
          <w:iCs/>
          <w:noProof/>
          <w:sz w:val="20"/>
        </w:rPr>
        <w:t>et al.</w:t>
      </w:r>
      <w:r w:rsidRPr="00BE693D">
        <w:rPr>
          <w:rFonts w:ascii="Arial" w:hAnsi="Arial" w:cs="Arial"/>
          <w:noProof/>
          <w:sz w:val="20"/>
        </w:rPr>
        <w:t xml:space="preserve">, </w:t>
      </w:r>
      <w:r w:rsidRPr="00BE693D">
        <w:rPr>
          <w:rFonts w:ascii="Arial" w:hAnsi="Arial" w:cs="Arial"/>
          <w:i/>
          <w:iCs/>
          <w:noProof/>
          <w:sz w:val="20"/>
        </w:rPr>
        <w:t>Polycaprolactone as biomaterial for bone scaffolds: Review of literature</w:t>
      </w:r>
      <w:r w:rsidRPr="00BE693D">
        <w:rPr>
          <w:rFonts w:ascii="Arial" w:hAnsi="Arial" w:cs="Arial"/>
          <w:noProof/>
          <w:sz w:val="20"/>
        </w:rPr>
        <w:t>, vol. 10, no. 1. Craniofacial Research Foundation, 2020. doi: 10.1016/j.jobcr.2019.10.003.</w:t>
      </w:r>
    </w:p>
    <w:p w14:paraId="60897B58" w14:textId="248ACB92"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[14]</w:t>
      </w:r>
      <w:r w:rsidR="00644C0C">
        <w:rPr>
          <w:rFonts w:ascii="Arial" w:hAnsi="Arial" w:cs="Arial"/>
          <w:noProof/>
          <w:sz w:val="20"/>
        </w:rPr>
        <w:t xml:space="preserve"> </w:t>
      </w:r>
      <w:r w:rsidRPr="00BE693D">
        <w:rPr>
          <w:rFonts w:ascii="Arial" w:hAnsi="Arial" w:cs="Arial"/>
          <w:noProof/>
          <w:sz w:val="20"/>
        </w:rPr>
        <w:t xml:space="preserve">E. Şahin and M. Çiftçioğlu, “Compositional, </w:t>
      </w:r>
      <w:r w:rsidRPr="00BE693D">
        <w:rPr>
          <w:rFonts w:ascii="Arial" w:hAnsi="Arial" w:cs="Arial"/>
          <w:noProof/>
          <w:sz w:val="20"/>
        </w:rPr>
        <w:lastRenderedPageBreak/>
        <w:t xml:space="preserve">microstructural and mechanical effects of NaCl porogens in brushite cement scaffolds,” </w:t>
      </w:r>
      <w:r w:rsidRPr="00BE693D">
        <w:rPr>
          <w:rFonts w:ascii="Arial" w:hAnsi="Arial" w:cs="Arial"/>
          <w:i/>
          <w:iCs/>
          <w:noProof/>
          <w:sz w:val="20"/>
        </w:rPr>
        <w:t>J. Mech. Behav. Biomed. Mater.</w:t>
      </w:r>
      <w:r w:rsidRPr="00BE693D">
        <w:rPr>
          <w:rFonts w:ascii="Arial" w:hAnsi="Arial" w:cs="Arial"/>
          <w:noProof/>
          <w:sz w:val="20"/>
        </w:rPr>
        <w:t>, vol. 116, no. October 2020, 2021, doi: 10.1016/j.jmbbm.2021.104363.</w:t>
      </w:r>
    </w:p>
    <w:p w14:paraId="154DD788" w14:textId="39EA9950"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[15]</w:t>
      </w:r>
      <w:r w:rsidR="00644C0C">
        <w:rPr>
          <w:rFonts w:ascii="Arial" w:hAnsi="Arial" w:cs="Arial"/>
          <w:noProof/>
          <w:sz w:val="20"/>
        </w:rPr>
        <w:t xml:space="preserve"> </w:t>
      </w:r>
      <w:r w:rsidRPr="00BE693D">
        <w:rPr>
          <w:rFonts w:ascii="Arial" w:hAnsi="Arial" w:cs="Arial"/>
          <w:noProof/>
          <w:sz w:val="20"/>
        </w:rPr>
        <w:t xml:space="preserve">H. Kim, H. Hwangbo, Y. W. Koo, and G. Kim, “Fabrication of mechanically reinforced gelatin/hydroxyapatite bio-composite scaffolds by core/shell nozzle printing for bone tissue engineering,” </w:t>
      </w:r>
      <w:r w:rsidRPr="00BE693D">
        <w:rPr>
          <w:rFonts w:ascii="Arial" w:hAnsi="Arial" w:cs="Arial"/>
          <w:i/>
          <w:iCs/>
          <w:noProof/>
          <w:sz w:val="20"/>
        </w:rPr>
        <w:t>Int. J. Mol. Sci.</w:t>
      </w:r>
      <w:r w:rsidRPr="00BE693D">
        <w:rPr>
          <w:rFonts w:ascii="Arial" w:hAnsi="Arial" w:cs="Arial"/>
          <w:noProof/>
          <w:sz w:val="20"/>
        </w:rPr>
        <w:t>, vol. 21, no. 9, pp. 1–15, 2020, doi: 10.3390/ijms21093401.</w:t>
      </w:r>
    </w:p>
    <w:p w14:paraId="665239D8" w14:textId="724EFA8F"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[16]</w:t>
      </w:r>
      <w:r w:rsidR="00644C0C">
        <w:rPr>
          <w:rFonts w:ascii="Arial" w:hAnsi="Arial" w:cs="Arial"/>
          <w:noProof/>
          <w:sz w:val="20"/>
        </w:rPr>
        <w:t xml:space="preserve"> </w:t>
      </w:r>
      <w:r w:rsidRPr="00BE693D">
        <w:rPr>
          <w:rFonts w:ascii="Arial" w:hAnsi="Arial" w:cs="Arial"/>
          <w:noProof/>
          <w:sz w:val="20"/>
        </w:rPr>
        <w:t xml:space="preserve">F. R. Mansour, S. Waheed, B. Paull, and F. Maya, “Porogens and porogen selection in the preparation of porous polymer monoliths,” </w:t>
      </w:r>
      <w:r w:rsidRPr="00BE693D">
        <w:rPr>
          <w:rFonts w:ascii="Arial" w:hAnsi="Arial" w:cs="Arial"/>
          <w:i/>
          <w:iCs/>
          <w:noProof/>
          <w:sz w:val="20"/>
        </w:rPr>
        <w:t>J. Sep. Sci.</w:t>
      </w:r>
      <w:r w:rsidRPr="00BE693D">
        <w:rPr>
          <w:rFonts w:ascii="Arial" w:hAnsi="Arial" w:cs="Arial"/>
          <w:noProof/>
          <w:sz w:val="20"/>
        </w:rPr>
        <w:t>, vol. 43, no. 1, pp. 56–69, 2020, doi: 10.1002/jssc.201900876.</w:t>
      </w:r>
    </w:p>
    <w:p w14:paraId="7B821192" w14:textId="24B409FD"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[17]</w:t>
      </w:r>
      <w:r w:rsidR="00644C0C">
        <w:rPr>
          <w:rFonts w:ascii="Arial" w:hAnsi="Arial" w:cs="Arial"/>
          <w:noProof/>
          <w:sz w:val="20"/>
        </w:rPr>
        <w:t xml:space="preserve"> </w:t>
      </w:r>
      <w:r w:rsidRPr="00BE693D">
        <w:rPr>
          <w:rFonts w:ascii="Arial" w:hAnsi="Arial" w:cs="Arial"/>
          <w:noProof/>
          <w:sz w:val="20"/>
        </w:rPr>
        <w:t xml:space="preserve">N. Rezania, M. Asadi-Eydivand, N. Abolfathi, S. Bonakdar, M. Mehrjoo, and M. Solati-Hashjin, “Three-dimensional printing of polycaprolactone/hydroxyapatite bone tissue engineering scaffolds mechanical properties and biological behavior,” </w:t>
      </w:r>
      <w:r w:rsidRPr="00BE693D">
        <w:rPr>
          <w:rFonts w:ascii="Arial" w:hAnsi="Arial" w:cs="Arial"/>
          <w:i/>
          <w:iCs/>
          <w:noProof/>
          <w:sz w:val="20"/>
        </w:rPr>
        <w:t>J. Mater. Sci. Mater. Med.</w:t>
      </w:r>
      <w:r w:rsidRPr="00BE693D">
        <w:rPr>
          <w:rFonts w:ascii="Arial" w:hAnsi="Arial" w:cs="Arial"/>
          <w:noProof/>
          <w:sz w:val="20"/>
        </w:rPr>
        <w:t>, vol. 33, no. 3, 2022, doi: 10.1007/s10856-022-06653-8.</w:t>
      </w:r>
    </w:p>
    <w:p w14:paraId="47E902C7" w14:textId="7775ABF7"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[18]</w:t>
      </w:r>
      <w:r w:rsidR="00644C0C">
        <w:rPr>
          <w:rFonts w:ascii="Arial" w:hAnsi="Arial" w:cs="Arial"/>
          <w:noProof/>
          <w:sz w:val="20"/>
        </w:rPr>
        <w:t xml:space="preserve"> </w:t>
      </w:r>
      <w:r w:rsidRPr="00BE693D">
        <w:rPr>
          <w:rFonts w:ascii="Arial" w:hAnsi="Arial" w:cs="Arial"/>
          <w:noProof/>
          <w:sz w:val="20"/>
        </w:rPr>
        <w:t xml:space="preserve">E. Malikmammadov, T. E. Tanir, A. Kiziltay, V. Hasirci, and N. Hasirci, </w:t>
      </w:r>
      <w:r w:rsidRPr="00BE693D">
        <w:rPr>
          <w:rFonts w:ascii="Arial" w:hAnsi="Arial" w:cs="Arial"/>
          <w:i/>
          <w:iCs/>
          <w:noProof/>
          <w:sz w:val="20"/>
        </w:rPr>
        <w:t>PCL and PCL-based materials in biomedical applications</w:t>
      </w:r>
      <w:r w:rsidRPr="00BE693D">
        <w:rPr>
          <w:rFonts w:ascii="Arial" w:hAnsi="Arial" w:cs="Arial"/>
          <w:noProof/>
          <w:sz w:val="20"/>
        </w:rPr>
        <w:t>, vol. 29, no. 7–9. Taylor &amp; Francis, 2018. doi: 10.1080/09205063.2017.1394711.</w:t>
      </w:r>
    </w:p>
    <w:p w14:paraId="511C6622" w14:textId="250903AF"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[19]</w:t>
      </w:r>
      <w:r w:rsidR="00644C0C">
        <w:rPr>
          <w:rFonts w:ascii="Arial" w:hAnsi="Arial" w:cs="Arial"/>
          <w:noProof/>
          <w:sz w:val="20"/>
        </w:rPr>
        <w:t xml:space="preserve"> </w:t>
      </w:r>
      <w:r w:rsidRPr="00BE693D">
        <w:rPr>
          <w:rFonts w:ascii="Arial" w:hAnsi="Arial" w:cs="Arial"/>
          <w:noProof/>
          <w:sz w:val="20"/>
        </w:rPr>
        <w:t xml:space="preserve">A. Y. Al-Maharma, S. P. Patil, and B. Markert, “Effects of porosity on the mechanical properties of additively manufactured components: a critical review,” </w:t>
      </w:r>
      <w:r w:rsidRPr="00BE693D">
        <w:rPr>
          <w:rFonts w:ascii="Arial" w:hAnsi="Arial" w:cs="Arial"/>
          <w:i/>
          <w:iCs/>
          <w:noProof/>
          <w:sz w:val="20"/>
        </w:rPr>
        <w:t>Mater. Res. Express</w:t>
      </w:r>
      <w:r w:rsidRPr="00BE693D">
        <w:rPr>
          <w:rFonts w:ascii="Arial" w:hAnsi="Arial" w:cs="Arial"/>
          <w:noProof/>
          <w:sz w:val="20"/>
        </w:rPr>
        <w:t>, vol. 7, no. 12, 2020, doi: 10.1088/2053-1591/abcc5d.</w:t>
      </w:r>
    </w:p>
    <w:p w14:paraId="4986F806" w14:textId="3AC494B4"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[20]</w:t>
      </w:r>
      <w:r w:rsidR="00644C0C">
        <w:rPr>
          <w:rFonts w:ascii="Arial" w:hAnsi="Arial" w:cs="Arial"/>
          <w:noProof/>
          <w:sz w:val="20"/>
        </w:rPr>
        <w:t xml:space="preserve"> </w:t>
      </w:r>
      <w:r w:rsidRPr="00BE693D">
        <w:rPr>
          <w:rFonts w:ascii="Arial" w:hAnsi="Arial" w:cs="Arial"/>
          <w:noProof/>
          <w:sz w:val="20"/>
        </w:rPr>
        <w:t xml:space="preserve">P. Yos and M. Todo, “Improvement of compressive properties of porous HA scaffold by introducing PCL secondary phase,” </w:t>
      </w:r>
      <w:r w:rsidRPr="00BE693D">
        <w:rPr>
          <w:rFonts w:ascii="Arial" w:hAnsi="Arial" w:cs="Arial"/>
          <w:i/>
          <w:iCs/>
          <w:noProof/>
          <w:sz w:val="20"/>
        </w:rPr>
        <w:t>Adv. Mater. Res.</w:t>
      </w:r>
      <w:r w:rsidRPr="00BE693D">
        <w:rPr>
          <w:rFonts w:ascii="Arial" w:hAnsi="Arial" w:cs="Arial"/>
          <w:noProof/>
          <w:sz w:val="20"/>
        </w:rPr>
        <w:t>, vol. 858, pp. 96–102, 2014, doi: 10.4028/www.scientific.net/AMR.858.96.</w:t>
      </w:r>
    </w:p>
    <w:p w14:paraId="59E5D791" w14:textId="0FAFEFD2"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[21]</w:t>
      </w:r>
      <w:r w:rsidR="00644C0C">
        <w:rPr>
          <w:rFonts w:ascii="Arial" w:hAnsi="Arial" w:cs="Arial"/>
          <w:noProof/>
          <w:sz w:val="20"/>
        </w:rPr>
        <w:t xml:space="preserve"> </w:t>
      </w:r>
      <w:r w:rsidRPr="00BE693D">
        <w:rPr>
          <w:rFonts w:ascii="Arial" w:hAnsi="Arial" w:cs="Arial"/>
          <w:noProof/>
          <w:sz w:val="20"/>
        </w:rPr>
        <w:t xml:space="preserve">B. H. Atak </w:t>
      </w:r>
      <w:r w:rsidRPr="00BE693D">
        <w:rPr>
          <w:rFonts w:ascii="Arial" w:hAnsi="Arial" w:cs="Arial"/>
          <w:i/>
          <w:iCs/>
          <w:noProof/>
          <w:sz w:val="20"/>
        </w:rPr>
        <w:t>et al.</w:t>
      </w:r>
      <w:r w:rsidRPr="00BE693D">
        <w:rPr>
          <w:rFonts w:ascii="Arial" w:hAnsi="Arial" w:cs="Arial"/>
          <w:noProof/>
          <w:sz w:val="20"/>
        </w:rPr>
        <w:t xml:space="preserve">, “Preparation and characterization of amine functional nano-hydroxyapatite/chitosan bionanocomposite for bone tissue engineering applications,” </w:t>
      </w:r>
      <w:r w:rsidRPr="00BE693D">
        <w:rPr>
          <w:rFonts w:ascii="Arial" w:hAnsi="Arial" w:cs="Arial"/>
          <w:i/>
          <w:iCs/>
          <w:noProof/>
          <w:sz w:val="20"/>
        </w:rPr>
        <w:t>Carbohydr. Polym.</w:t>
      </w:r>
      <w:r w:rsidRPr="00BE693D">
        <w:rPr>
          <w:rFonts w:ascii="Arial" w:hAnsi="Arial" w:cs="Arial"/>
          <w:noProof/>
          <w:sz w:val="20"/>
        </w:rPr>
        <w:t>, vol. 164, pp. 200–213, 2017, doi: 10.1016/j.carbpol.2017.01.100.</w:t>
      </w:r>
    </w:p>
    <w:p w14:paraId="618BCA43" w14:textId="0FE26339"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[22]</w:t>
      </w:r>
      <w:r w:rsidR="00644C0C">
        <w:rPr>
          <w:rFonts w:ascii="Arial" w:hAnsi="Arial" w:cs="Arial"/>
          <w:noProof/>
          <w:sz w:val="20"/>
        </w:rPr>
        <w:t xml:space="preserve"> </w:t>
      </w:r>
      <w:r w:rsidRPr="00BE693D">
        <w:rPr>
          <w:rFonts w:ascii="Arial" w:hAnsi="Arial" w:cs="Arial"/>
          <w:noProof/>
          <w:sz w:val="20"/>
        </w:rPr>
        <w:t xml:space="preserve">J. Peng, X. Zhao, W. Wang, and X. Gong, “Durable Self-Cleaning Surfaces with Superhydrophobic and Highly Oleophobic Properties,” </w:t>
      </w:r>
      <w:r w:rsidRPr="00BE693D">
        <w:rPr>
          <w:rFonts w:ascii="Arial" w:hAnsi="Arial" w:cs="Arial"/>
          <w:i/>
          <w:iCs/>
          <w:noProof/>
          <w:sz w:val="20"/>
        </w:rPr>
        <w:t>Langmuir</w:t>
      </w:r>
      <w:r w:rsidRPr="00BE693D">
        <w:rPr>
          <w:rFonts w:ascii="Arial" w:hAnsi="Arial" w:cs="Arial"/>
          <w:noProof/>
          <w:sz w:val="20"/>
        </w:rPr>
        <w:t>, vol. 35, pp. 8404–8412, 2019, doi: 10.1021/acs.langmuir.9b01507.</w:t>
      </w:r>
    </w:p>
    <w:p w14:paraId="4ADB5E75" w14:textId="0FE7B3FE"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[23]</w:t>
      </w:r>
      <w:r w:rsidR="00644C0C">
        <w:rPr>
          <w:rFonts w:ascii="Arial" w:hAnsi="Arial" w:cs="Arial"/>
          <w:noProof/>
          <w:sz w:val="20"/>
        </w:rPr>
        <w:t xml:space="preserve"> </w:t>
      </w:r>
      <w:r w:rsidRPr="00BE693D">
        <w:rPr>
          <w:rFonts w:ascii="Arial" w:hAnsi="Arial" w:cs="Arial"/>
          <w:noProof/>
          <w:sz w:val="20"/>
        </w:rPr>
        <w:t xml:space="preserve">R. R. R. Kannan, W. A. Stirk, and J. Van Staden, “Synthesis of silver nanoparticles using the seaweed Codium capitatum P.C. Silva (Chlorophyceae),” </w:t>
      </w:r>
      <w:r w:rsidRPr="00BE693D">
        <w:rPr>
          <w:rFonts w:ascii="Arial" w:hAnsi="Arial" w:cs="Arial"/>
          <w:i/>
          <w:iCs/>
          <w:noProof/>
          <w:sz w:val="20"/>
        </w:rPr>
        <w:t>South African J. Bot.</w:t>
      </w:r>
      <w:r w:rsidRPr="00BE693D">
        <w:rPr>
          <w:rFonts w:ascii="Arial" w:hAnsi="Arial" w:cs="Arial"/>
          <w:noProof/>
          <w:sz w:val="20"/>
        </w:rPr>
        <w:t>, vol. 86, pp. 1–4, 2013, doi: 10.1016/j.sajb.2013.01.003.</w:t>
      </w:r>
    </w:p>
    <w:p w14:paraId="5CC37A7B" w14:textId="2150DA63"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[24]</w:t>
      </w:r>
      <w:r w:rsidR="00644C0C">
        <w:rPr>
          <w:rFonts w:ascii="Arial" w:hAnsi="Arial" w:cs="Arial"/>
          <w:noProof/>
          <w:sz w:val="20"/>
        </w:rPr>
        <w:t xml:space="preserve"> </w:t>
      </w:r>
      <w:r w:rsidRPr="00BE693D">
        <w:rPr>
          <w:rFonts w:ascii="Arial" w:hAnsi="Arial" w:cs="Arial"/>
          <w:noProof/>
          <w:sz w:val="20"/>
        </w:rPr>
        <w:t xml:space="preserve">C. Y. K. Lung, Z. Sarfraz, A. Habib, A. S. Khan, and J. P. Matinlinna, “Effect of silanization of hydroxyapatite fillers on physical and </w:t>
      </w:r>
      <w:r w:rsidRPr="00BE693D">
        <w:rPr>
          <w:rFonts w:ascii="Arial" w:hAnsi="Arial" w:cs="Arial"/>
          <w:noProof/>
          <w:sz w:val="20"/>
        </w:rPr>
        <w:t xml:space="preserve">mechanical properties of a bis-GMA based resin composite,” </w:t>
      </w:r>
      <w:r w:rsidRPr="00BE693D">
        <w:rPr>
          <w:rFonts w:ascii="Arial" w:hAnsi="Arial" w:cs="Arial"/>
          <w:i/>
          <w:iCs/>
          <w:noProof/>
          <w:sz w:val="20"/>
        </w:rPr>
        <w:t>J. Mech. Behav. Biomed. Mater.</w:t>
      </w:r>
      <w:r w:rsidRPr="00BE693D">
        <w:rPr>
          <w:rFonts w:ascii="Arial" w:hAnsi="Arial" w:cs="Arial"/>
          <w:noProof/>
          <w:sz w:val="20"/>
        </w:rPr>
        <w:t>, vol. 54, pp. 283–294, 2016, doi: 10.1016/j.jmbbm.2015.09.033.</w:t>
      </w:r>
    </w:p>
    <w:p w14:paraId="523EA191" w14:textId="0B126205"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[25]</w:t>
      </w:r>
      <w:r w:rsidR="00644C0C">
        <w:rPr>
          <w:rFonts w:ascii="Arial" w:hAnsi="Arial" w:cs="Arial"/>
          <w:noProof/>
          <w:sz w:val="20"/>
        </w:rPr>
        <w:t xml:space="preserve"> </w:t>
      </w:r>
      <w:r w:rsidRPr="00BE693D">
        <w:rPr>
          <w:rFonts w:ascii="Arial" w:hAnsi="Arial" w:cs="Arial"/>
          <w:noProof/>
          <w:sz w:val="20"/>
        </w:rPr>
        <w:t xml:space="preserve">P. Yu-Song, “Surface modification of nanocrystalline hydroxyapatite,” </w:t>
      </w:r>
      <w:r w:rsidRPr="00BE693D">
        <w:rPr>
          <w:rFonts w:ascii="Arial" w:hAnsi="Arial" w:cs="Arial"/>
          <w:i/>
          <w:iCs/>
          <w:noProof/>
          <w:sz w:val="20"/>
        </w:rPr>
        <w:t>Micro Nano Lett.</w:t>
      </w:r>
      <w:r w:rsidRPr="00BE693D">
        <w:rPr>
          <w:rFonts w:ascii="Arial" w:hAnsi="Arial" w:cs="Arial"/>
          <w:noProof/>
          <w:sz w:val="20"/>
        </w:rPr>
        <w:t>, vol. 6, no. 3, pp. 129–132, 2011, doi: 10.1049/mnl.2010.0187.</w:t>
      </w:r>
    </w:p>
    <w:p w14:paraId="47C90C32" w14:textId="4D8B624D"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[26]</w:t>
      </w:r>
      <w:r w:rsidR="00644C0C">
        <w:rPr>
          <w:rFonts w:ascii="Arial" w:hAnsi="Arial" w:cs="Arial"/>
          <w:noProof/>
          <w:sz w:val="20"/>
        </w:rPr>
        <w:t xml:space="preserve"> </w:t>
      </w:r>
      <w:r w:rsidRPr="00BE693D">
        <w:rPr>
          <w:rFonts w:ascii="Arial" w:hAnsi="Arial" w:cs="Arial"/>
          <w:noProof/>
          <w:sz w:val="20"/>
        </w:rPr>
        <w:t xml:space="preserve">J. K. Sherwood </w:t>
      </w:r>
      <w:r w:rsidRPr="00BE693D">
        <w:rPr>
          <w:rFonts w:ascii="Arial" w:hAnsi="Arial" w:cs="Arial"/>
          <w:i/>
          <w:iCs/>
          <w:noProof/>
          <w:sz w:val="20"/>
        </w:rPr>
        <w:t>et al.</w:t>
      </w:r>
      <w:r w:rsidRPr="00BE693D">
        <w:rPr>
          <w:rFonts w:ascii="Arial" w:hAnsi="Arial" w:cs="Arial"/>
          <w:noProof/>
          <w:sz w:val="20"/>
        </w:rPr>
        <w:t xml:space="preserve">, “A three-dimensional osteochondral composite scaffold for articular cartilage repair,” </w:t>
      </w:r>
      <w:r w:rsidRPr="00BE693D">
        <w:rPr>
          <w:rFonts w:ascii="Arial" w:hAnsi="Arial" w:cs="Arial"/>
          <w:i/>
          <w:iCs/>
          <w:noProof/>
          <w:sz w:val="20"/>
        </w:rPr>
        <w:t>Biomaterials</w:t>
      </w:r>
      <w:r w:rsidRPr="00BE693D">
        <w:rPr>
          <w:rFonts w:ascii="Arial" w:hAnsi="Arial" w:cs="Arial"/>
          <w:noProof/>
          <w:sz w:val="20"/>
        </w:rPr>
        <w:t>, vol. 23, no. 24, pp. 4739–4751, 2002, doi: 10.1016/S0142-9612(02)00223-5.</w:t>
      </w:r>
    </w:p>
    <w:p w14:paraId="06E5AFD0" w14:textId="78F42CB3"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[27]</w:t>
      </w:r>
      <w:r w:rsidR="00644C0C">
        <w:rPr>
          <w:rFonts w:ascii="Arial" w:hAnsi="Arial" w:cs="Arial"/>
          <w:noProof/>
          <w:sz w:val="20"/>
        </w:rPr>
        <w:t xml:space="preserve"> </w:t>
      </w:r>
      <w:r w:rsidRPr="00BE693D">
        <w:rPr>
          <w:rFonts w:ascii="Arial" w:hAnsi="Arial" w:cs="Arial"/>
          <w:noProof/>
          <w:sz w:val="20"/>
        </w:rPr>
        <w:t xml:space="preserve">J. ALDABIB, “Effect of Silane Coupling Agent Content on Mechanical Properties of Hydroxyapatite/Poly(methyl methacrylate) Denture Base Composite,” </w:t>
      </w:r>
      <w:r w:rsidRPr="00BE693D">
        <w:rPr>
          <w:rFonts w:ascii="Arial" w:hAnsi="Arial" w:cs="Arial"/>
          <w:i/>
          <w:iCs/>
          <w:noProof/>
          <w:sz w:val="20"/>
        </w:rPr>
        <w:t>Int. J. Chem. Technol.</w:t>
      </w:r>
      <w:r w:rsidRPr="00BE693D">
        <w:rPr>
          <w:rFonts w:ascii="Arial" w:hAnsi="Arial" w:cs="Arial"/>
          <w:noProof/>
          <w:sz w:val="20"/>
        </w:rPr>
        <w:t>, vol. 5, no. 1, pp. 37–45, 2020, doi: 10.32571/ijct.783998.</w:t>
      </w:r>
    </w:p>
    <w:p w14:paraId="34966347" w14:textId="6E630699"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[28]</w:t>
      </w:r>
      <w:r w:rsidR="00644C0C">
        <w:rPr>
          <w:rFonts w:ascii="Arial" w:hAnsi="Arial" w:cs="Arial"/>
          <w:noProof/>
          <w:sz w:val="20"/>
        </w:rPr>
        <w:t xml:space="preserve"> </w:t>
      </w:r>
      <w:r w:rsidRPr="00BE693D">
        <w:rPr>
          <w:rFonts w:ascii="Arial" w:hAnsi="Arial" w:cs="Arial"/>
          <w:noProof/>
          <w:sz w:val="20"/>
        </w:rPr>
        <w:t xml:space="preserve">C. Shuai, L. Yu, P. Feng, C. Gao, and S. Peng, “Interfacial reinforcement in bioceramic/biopolymer composite bone scaffold: The role of coupling agent,” </w:t>
      </w:r>
      <w:r w:rsidRPr="00BE693D">
        <w:rPr>
          <w:rFonts w:ascii="Arial" w:hAnsi="Arial" w:cs="Arial"/>
          <w:i/>
          <w:iCs/>
          <w:noProof/>
          <w:sz w:val="20"/>
        </w:rPr>
        <w:t>Colloids Surfaces B Biointerfaces</w:t>
      </w:r>
      <w:r w:rsidRPr="00BE693D">
        <w:rPr>
          <w:rFonts w:ascii="Arial" w:hAnsi="Arial" w:cs="Arial"/>
          <w:noProof/>
          <w:sz w:val="20"/>
        </w:rPr>
        <w:t>, vol. 193, no. February, 2020, doi: 10.1016/j.colsurfb.2020.111083.</w:t>
      </w:r>
    </w:p>
    <w:p w14:paraId="086B74C9" w14:textId="0A27074A"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[29]</w:t>
      </w:r>
      <w:r w:rsidR="00644C0C">
        <w:rPr>
          <w:rFonts w:ascii="Arial" w:hAnsi="Arial" w:cs="Arial"/>
          <w:noProof/>
          <w:sz w:val="20"/>
        </w:rPr>
        <w:t xml:space="preserve"> </w:t>
      </w:r>
      <w:r w:rsidRPr="00BE693D">
        <w:rPr>
          <w:rFonts w:ascii="Arial" w:hAnsi="Arial" w:cs="Arial"/>
          <w:noProof/>
          <w:sz w:val="20"/>
        </w:rPr>
        <w:t xml:space="preserve">W. L. Tham, W. S. Chow, and Z. A. Mohd Ishak, “Effects of titanate coupling agent on the mechanical, thermal, and morphological properties of poly(methyl methacrylate)/hydroxyapatite denture base composites,” </w:t>
      </w:r>
      <w:r w:rsidRPr="00BE693D">
        <w:rPr>
          <w:rFonts w:ascii="Arial" w:hAnsi="Arial" w:cs="Arial"/>
          <w:i/>
          <w:iCs/>
          <w:noProof/>
          <w:sz w:val="20"/>
        </w:rPr>
        <w:t>J. Compos. Mater.</w:t>
      </w:r>
      <w:r w:rsidRPr="00BE693D">
        <w:rPr>
          <w:rFonts w:ascii="Arial" w:hAnsi="Arial" w:cs="Arial"/>
          <w:noProof/>
          <w:sz w:val="20"/>
        </w:rPr>
        <w:t>, vol. 45, no. 22, pp. 2335–2345, 2011, doi: 10.1177/0021998311401085.</w:t>
      </w:r>
    </w:p>
    <w:p w14:paraId="1D6BFC44" w14:textId="7D341476"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[30]</w:t>
      </w:r>
      <w:r w:rsidR="00644C0C">
        <w:rPr>
          <w:rFonts w:ascii="Arial" w:hAnsi="Arial" w:cs="Arial"/>
          <w:noProof/>
          <w:sz w:val="20"/>
        </w:rPr>
        <w:t xml:space="preserve"> </w:t>
      </w:r>
      <w:r w:rsidRPr="00BE693D">
        <w:rPr>
          <w:rFonts w:ascii="Arial" w:hAnsi="Arial" w:cs="Arial"/>
          <w:noProof/>
          <w:sz w:val="20"/>
        </w:rPr>
        <w:t xml:space="preserve">A. Larrañaga </w:t>
      </w:r>
      <w:r w:rsidRPr="00BE693D">
        <w:rPr>
          <w:rFonts w:ascii="Arial" w:hAnsi="Arial" w:cs="Arial"/>
          <w:i/>
          <w:iCs/>
          <w:noProof/>
          <w:sz w:val="20"/>
        </w:rPr>
        <w:t>et al.</w:t>
      </w:r>
      <w:r w:rsidRPr="00BE693D">
        <w:rPr>
          <w:rFonts w:ascii="Arial" w:hAnsi="Arial" w:cs="Arial"/>
          <w:noProof/>
          <w:sz w:val="20"/>
        </w:rPr>
        <w:t xml:space="preserve">, “A study of the mechanical properties and cytocompatibility of lactide and caprolactone based scaffolds filled with inorganic bioactive particles,” </w:t>
      </w:r>
      <w:r w:rsidRPr="00BE693D">
        <w:rPr>
          <w:rFonts w:ascii="Arial" w:hAnsi="Arial" w:cs="Arial"/>
          <w:i/>
          <w:iCs/>
          <w:noProof/>
          <w:sz w:val="20"/>
        </w:rPr>
        <w:t>Mater. Sci. Eng. C</w:t>
      </w:r>
      <w:r w:rsidRPr="00BE693D">
        <w:rPr>
          <w:rFonts w:ascii="Arial" w:hAnsi="Arial" w:cs="Arial"/>
          <w:noProof/>
          <w:sz w:val="20"/>
        </w:rPr>
        <w:t>, vol. 42, pp. 451–460, 2014, doi: 10.1016/j.msec.2014.05.061.</w:t>
      </w:r>
    </w:p>
    <w:p w14:paraId="52B98DDA" w14:textId="2DD4425D"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[31]</w:t>
      </w:r>
      <w:r w:rsidR="00644C0C">
        <w:rPr>
          <w:rFonts w:ascii="Arial" w:hAnsi="Arial" w:cs="Arial"/>
          <w:noProof/>
          <w:sz w:val="20"/>
        </w:rPr>
        <w:t xml:space="preserve"> </w:t>
      </w:r>
      <w:r w:rsidRPr="00BE693D">
        <w:rPr>
          <w:rFonts w:ascii="Arial" w:hAnsi="Arial" w:cs="Arial"/>
          <w:noProof/>
          <w:sz w:val="20"/>
        </w:rPr>
        <w:t xml:space="preserve">I. Berktas, A. N. Ghafar, P. Fontana, A. Caputcu, Y. Menceloglu, and B. S. Okan, “Facile synthesis of graphene from waste tire/silica hybrid additives and optimization study for the fabrication of thermally enhanced cement grouts,” </w:t>
      </w:r>
      <w:r w:rsidRPr="00BE693D">
        <w:rPr>
          <w:rFonts w:ascii="Arial" w:hAnsi="Arial" w:cs="Arial"/>
          <w:i/>
          <w:iCs/>
          <w:noProof/>
          <w:sz w:val="20"/>
        </w:rPr>
        <w:t>Molecules</w:t>
      </w:r>
      <w:r w:rsidRPr="00BE693D">
        <w:rPr>
          <w:rFonts w:ascii="Arial" w:hAnsi="Arial" w:cs="Arial"/>
          <w:noProof/>
          <w:sz w:val="20"/>
        </w:rPr>
        <w:t>, vol. 25, no. 4, 2020, doi: 10.3390/molecules25040886.</w:t>
      </w:r>
    </w:p>
    <w:p w14:paraId="3383B32C" w14:textId="5796F6A8"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[32]</w:t>
      </w:r>
      <w:r w:rsidR="00644C0C">
        <w:rPr>
          <w:rFonts w:ascii="Arial" w:hAnsi="Arial" w:cs="Arial"/>
          <w:noProof/>
          <w:sz w:val="20"/>
        </w:rPr>
        <w:t xml:space="preserve"> </w:t>
      </w:r>
      <w:r w:rsidRPr="00BE693D">
        <w:rPr>
          <w:rFonts w:ascii="Arial" w:hAnsi="Arial" w:cs="Arial"/>
          <w:noProof/>
          <w:sz w:val="20"/>
        </w:rPr>
        <w:t xml:space="preserve">N. İ. Büyük, D. Aksu, and G. Torun Köse, “Effect of different pore sizes of 3D printed PLA-based scaffold in bone tissue engineering,” </w:t>
      </w:r>
      <w:r w:rsidRPr="00BE693D">
        <w:rPr>
          <w:rFonts w:ascii="Arial" w:hAnsi="Arial" w:cs="Arial"/>
          <w:i/>
          <w:iCs/>
          <w:noProof/>
          <w:sz w:val="20"/>
        </w:rPr>
        <w:t>Int. J. Polym. Mater. Polym. Biomater.</w:t>
      </w:r>
      <w:r w:rsidRPr="00BE693D">
        <w:rPr>
          <w:rFonts w:ascii="Arial" w:hAnsi="Arial" w:cs="Arial"/>
          <w:noProof/>
          <w:sz w:val="20"/>
        </w:rPr>
        <w:t>, vol. 72, no. 13, pp. 1021–1031, 2023, doi: 10.1080/00914037.2022.2075869.</w:t>
      </w:r>
    </w:p>
    <w:p w14:paraId="5E7D63B1" w14:textId="60666C6A"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[33]</w:t>
      </w:r>
      <w:r w:rsidR="00644C0C">
        <w:rPr>
          <w:rFonts w:ascii="Arial" w:hAnsi="Arial" w:cs="Arial"/>
          <w:noProof/>
          <w:sz w:val="20"/>
        </w:rPr>
        <w:t xml:space="preserve"> </w:t>
      </w:r>
      <w:r w:rsidRPr="00BE693D">
        <w:rPr>
          <w:rFonts w:ascii="Arial" w:hAnsi="Arial" w:cs="Arial"/>
          <w:noProof/>
          <w:sz w:val="20"/>
        </w:rPr>
        <w:t xml:space="preserve">C. C. Kuo, H. Qin, Y. Cheng, X. Jiang, and X. Shi, “An integrated manufacturing strategy to fabricate delivery system using gelatin/alginate hybrid hydrogels: 3D printing and freeze-drying,” </w:t>
      </w:r>
      <w:r w:rsidRPr="00BE693D">
        <w:rPr>
          <w:rFonts w:ascii="Arial" w:hAnsi="Arial" w:cs="Arial"/>
          <w:i/>
          <w:iCs/>
          <w:noProof/>
          <w:sz w:val="20"/>
        </w:rPr>
        <w:t>Food Hydrocoll.</w:t>
      </w:r>
      <w:r w:rsidRPr="00BE693D">
        <w:rPr>
          <w:rFonts w:ascii="Arial" w:hAnsi="Arial" w:cs="Arial"/>
          <w:noProof/>
          <w:sz w:val="20"/>
        </w:rPr>
        <w:t>, vol. 111, no. August 2020, 2021, doi: 10.1016/j.foodhyd.2020.106262.</w:t>
      </w:r>
    </w:p>
    <w:p w14:paraId="0B666CCC" w14:textId="1D25C2A6"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lastRenderedPageBreak/>
        <w:t>[34]</w:t>
      </w:r>
      <w:r w:rsidR="00644C0C">
        <w:rPr>
          <w:rFonts w:ascii="Arial" w:hAnsi="Arial" w:cs="Arial"/>
          <w:noProof/>
          <w:sz w:val="20"/>
        </w:rPr>
        <w:t xml:space="preserve"> </w:t>
      </w:r>
      <w:r w:rsidRPr="00BE693D">
        <w:rPr>
          <w:rFonts w:ascii="Arial" w:hAnsi="Arial" w:cs="Arial"/>
          <w:noProof/>
          <w:sz w:val="20"/>
        </w:rPr>
        <w:t xml:space="preserve">M. Mabrouk, H. H. Beherei, and D. B. Das, “Recent progress in the fabrication techniques of 3D scaffolds for tissue engineering,” </w:t>
      </w:r>
      <w:r w:rsidRPr="00BE693D">
        <w:rPr>
          <w:rFonts w:ascii="Arial" w:hAnsi="Arial" w:cs="Arial"/>
          <w:i/>
          <w:iCs/>
          <w:noProof/>
          <w:sz w:val="20"/>
        </w:rPr>
        <w:t>Mater. Sci. Eng. C</w:t>
      </w:r>
      <w:r w:rsidRPr="00BE693D">
        <w:rPr>
          <w:rFonts w:ascii="Arial" w:hAnsi="Arial" w:cs="Arial"/>
          <w:noProof/>
          <w:sz w:val="20"/>
        </w:rPr>
        <w:t>, vol. 110, no. February, 2020, doi: 10.1016/j.msec.2020.110716.</w:t>
      </w:r>
    </w:p>
    <w:p w14:paraId="73688C5F" w14:textId="0FFABB5F" w:rsidR="00BE693D" w:rsidRPr="00BE693D" w:rsidRDefault="00BE693D" w:rsidP="006151C1">
      <w:pPr>
        <w:widowControl w:val="0"/>
        <w:autoSpaceDE w:val="0"/>
        <w:autoSpaceDN w:val="0"/>
        <w:adjustRightInd w:val="0"/>
        <w:spacing w:after="0" w:line="240" w:lineRule="auto"/>
        <w:ind w:left="0" w:hanging="2"/>
        <w:jc w:val="both"/>
        <w:rPr>
          <w:rFonts w:ascii="Arial" w:hAnsi="Arial" w:cs="Arial"/>
          <w:noProof/>
          <w:sz w:val="20"/>
        </w:rPr>
      </w:pPr>
      <w:r w:rsidRPr="00BE693D">
        <w:rPr>
          <w:rFonts w:ascii="Arial" w:hAnsi="Arial" w:cs="Arial"/>
          <w:noProof/>
          <w:sz w:val="20"/>
        </w:rPr>
        <w:t>[35]</w:t>
      </w:r>
      <w:r w:rsidR="00644C0C">
        <w:rPr>
          <w:rFonts w:ascii="Arial" w:hAnsi="Arial" w:cs="Arial"/>
          <w:noProof/>
          <w:sz w:val="20"/>
        </w:rPr>
        <w:t xml:space="preserve"> </w:t>
      </w:r>
      <w:r w:rsidRPr="00BE693D">
        <w:rPr>
          <w:rFonts w:ascii="Arial" w:hAnsi="Arial" w:cs="Arial"/>
          <w:noProof/>
          <w:sz w:val="20"/>
        </w:rPr>
        <w:t xml:space="preserve">M. N. Sarian </w:t>
      </w:r>
      <w:r w:rsidRPr="00BE693D">
        <w:rPr>
          <w:rFonts w:ascii="Arial" w:hAnsi="Arial" w:cs="Arial"/>
          <w:i/>
          <w:iCs/>
          <w:noProof/>
          <w:sz w:val="20"/>
        </w:rPr>
        <w:t>et al.</w:t>
      </w:r>
      <w:r w:rsidRPr="00BE693D">
        <w:rPr>
          <w:rFonts w:ascii="Arial" w:hAnsi="Arial" w:cs="Arial"/>
          <w:noProof/>
          <w:sz w:val="20"/>
        </w:rPr>
        <w:t xml:space="preserve">, “Potential bioactive coating system for high-performance absorbable magnesium bone implants,” </w:t>
      </w:r>
      <w:r w:rsidRPr="00BE693D">
        <w:rPr>
          <w:rFonts w:ascii="Arial" w:hAnsi="Arial" w:cs="Arial"/>
          <w:i/>
          <w:iCs/>
          <w:noProof/>
          <w:sz w:val="20"/>
        </w:rPr>
        <w:t>Bioact. Mater.</w:t>
      </w:r>
      <w:r w:rsidRPr="00BE693D">
        <w:rPr>
          <w:rFonts w:ascii="Arial" w:hAnsi="Arial" w:cs="Arial"/>
          <w:noProof/>
          <w:sz w:val="20"/>
        </w:rPr>
        <w:t>, vol. 12, no. October 2021, pp. 42–63, 2022, doi: 10.1016/j.bioactmat.2021.10.034.</w:t>
      </w:r>
    </w:p>
    <w:p w14:paraId="7B88313C" w14:textId="41ABEFA0" w:rsidR="0002676E" w:rsidRDefault="00F3260F" w:rsidP="006151C1">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color w:val="000000"/>
          <w:sz w:val="20"/>
          <w:szCs w:val="20"/>
        </w:rPr>
        <w:fldChar w:fldCharType="end"/>
      </w:r>
    </w:p>
    <w:sectPr w:rsidR="0002676E">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FCF7B" w14:textId="77777777" w:rsidR="007D39B7" w:rsidRDefault="007D39B7">
      <w:pPr>
        <w:spacing w:after="0" w:line="240" w:lineRule="auto"/>
        <w:ind w:left="0" w:hanging="2"/>
      </w:pPr>
      <w:r>
        <w:separator/>
      </w:r>
    </w:p>
  </w:endnote>
  <w:endnote w:type="continuationSeparator" w:id="0">
    <w:p w14:paraId="71AA33ED" w14:textId="77777777" w:rsidR="007D39B7" w:rsidRDefault="007D39B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DF2FF" w14:textId="77777777" w:rsidR="0002676E" w:rsidRDefault="0002676E">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02676E" w14:paraId="0A0DACA6" w14:textId="77777777">
      <w:tc>
        <w:tcPr>
          <w:tcW w:w="1242" w:type="dxa"/>
        </w:tcPr>
        <w:p w14:paraId="37A015E6" w14:textId="6C49C67F" w:rsidR="0002676E"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F3A94">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1374FCA9" w14:textId="77777777" w:rsidR="0002676E"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49A51A32" w14:textId="77777777" w:rsidR="0002676E" w:rsidRDefault="0002676E">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817B6" w14:textId="77777777" w:rsidR="0002676E" w:rsidRDefault="0002676E">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02676E" w14:paraId="1438C529" w14:textId="77777777">
      <w:tc>
        <w:tcPr>
          <w:tcW w:w="8453" w:type="dxa"/>
        </w:tcPr>
        <w:p w14:paraId="670256B0" w14:textId="77777777" w:rsidR="0002676E"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5FC49945" w14:textId="6550D7EB" w:rsidR="0002676E"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F3A94">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0F0683F" w14:textId="77777777" w:rsidR="0002676E" w:rsidRDefault="0002676E">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EC800" w14:textId="77777777" w:rsidR="0002676E" w:rsidRDefault="0002676E">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02676E" w14:paraId="1FEF16D5" w14:textId="77777777">
      <w:tc>
        <w:tcPr>
          <w:tcW w:w="8453" w:type="dxa"/>
        </w:tcPr>
        <w:p w14:paraId="729B709A" w14:textId="77777777" w:rsidR="0002676E"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503BC486" w14:textId="77777777" w:rsidR="0002676E"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F3A94">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324BAE2A" w14:textId="77777777" w:rsidR="0002676E" w:rsidRDefault="0002676E">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0127A" w14:textId="77777777" w:rsidR="007D39B7" w:rsidRDefault="007D39B7">
      <w:pPr>
        <w:spacing w:after="0" w:line="240" w:lineRule="auto"/>
        <w:ind w:left="0" w:hanging="2"/>
      </w:pPr>
      <w:r>
        <w:separator/>
      </w:r>
    </w:p>
  </w:footnote>
  <w:footnote w:type="continuationSeparator" w:id="0">
    <w:p w14:paraId="79AB28FE" w14:textId="77777777" w:rsidR="007D39B7" w:rsidRDefault="007D39B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5D362" w14:textId="77777777" w:rsidR="0002676E" w:rsidRDefault="0002676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02676E" w14:paraId="2AD0E0D5" w14:textId="77777777">
      <w:tc>
        <w:tcPr>
          <w:tcW w:w="9288" w:type="dxa"/>
        </w:tcPr>
        <w:p w14:paraId="367B1491" w14:textId="77777777" w:rsidR="0002676E"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2A4E2345" w14:textId="77777777" w:rsidR="0002676E" w:rsidRDefault="0002676E">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B5CAF" w14:textId="77777777" w:rsidR="0002676E" w:rsidRDefault="0002676E">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02676E" w14:paraId="71C459D2" w14:textId="77777777">
      <w:tc>
        <w:tcPr>
          <w:tcW w:w="9288" w:type="dxa"/>
        </w:tcPr>
        <w:p w14:paraId="2E2F906C" w14:textId="77777777" w:rsidR="0002676E"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14B6BE49" w14:textId="77777777" w:rsidR="0002676E" w:rsidRDefault="0002676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3371A" w14:textId="77777777" w:rsidR="0002676E" w:rsidRDefault="0002676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02676E" w14:paraId="737F3CA3" w14:textId="77777777">
      <w:tc>
        <w:tcPr>
          <w:tcW w:w="1701" w:type="dxa"/>
        </w:tcPr>
        <w:p w14:paraId="2905CF6B" w14:textId="77777777" w:rsidR="0002676E"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6A8FC2B7" wp14:editId="282DD0CE">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5EF306B9" w14:textId="77777777" w:rsidR="0002676E"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2C55D2A8" w14:textId="77777777" w:rsidR="0002676E"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00B03F03" wp14:editId="046E1735">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73462F99" w14:textId="77777777" w:rsidR="0002676E" w:rsidRDefault="0002676E">
    <w:pPr>
      <w:pBdr>
        <w:top w:val="nil"/>
        <w:left w:val="nil"/>
        <w:bottom w:val="nil"/>
        <w:right w:val="nil"/>
        <w:between w:val="nil"/>
      </w:pBdr>
      <w:spacing w:after="0" w:line="240" w:lineRule="auto"/>
      <w:ind w:left="0" w:hanging="2"/>
      <w:rPr>
        <w:color w:val="000000"/>
      </w:rPr>
    </w:pPr>
  </w:p>
  <w:p w14:paraId="669D007C" w14:textId="77777777" w:rsidR="0002676E" w:rsidRDefault="0002676E">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04D2A"/>
    <w:multiLevelType w:val="multilevel"/>
    <w:tmpl w:val="1A0236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95419DB"/>
    <w:multiLevelType w:val="multilevel"/>
    <w:tmpl w:val="25B614F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CF608BD"/>
    <w:multiLevelType w:val="hybridMultilevel"/>
    <w:tmpl w:val="E18C54D2"/>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682F18E8"/>
    <w:multiLevelType w:val="hybridMultilevel"/>
    <w:tmpl w:val="5FBE649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1681392723">
    <w:abstractNumId w:val="0"/>
  </w:num>
  <w:num w:numId="2" w16cid:durableId="1208224328">
    <w:abstractNumId w:val="1"/>
  </w:num>
  <w:num w:numId="3" w16cid:durableId="413354184">
    <w:abstractNumId w:val="2"/>
  </w:num>
  <w:num w:numId="4" w16cid:durableId="15232066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76E"/>
    <w:rsid w:val="0002676E"/>
    <w:rsid w:val="000277C2"/>
    <w:rsid w:val="00031DDF"/>
    <w:rsid w:val="00051DE6"/>
    <w:rsid w:val="000964A1"/>
    <w:rsid w:val="000C0008"/>
    <w:rsid w:val="000C068E"/>
    <w:rsid w:val="000C682F"/>
    <w:rsid w:val="000E01CB"/>
    <w:rsid w:val="000E362D"/>
    <w:rsid w:val="00107E4A"/>
    <w:rsid w:val="00112E22"/>
    <w:rsid w:val="00121764"/>
    <w:rsid w:val="001217B8"/>
    <w:rsid w:val="0012183F"/>
    <w:rsid w:val="0013161A"/>
    <w:rsid w:val="00131877"/>
    <w:rsid w:val="00145106"/>
    <w:rsid w:val="00165130"/>
    <w:rsid w:val="0017369F"/>
    <w:rsid w:val="00180E10"/>
    <w:rsid w:val="00186CD0"/>
    <w:rsid w:val="001A4260"/>
    <w:rsid w:val="001B73D8"/>
    <w:rsid w:val="001D2A90"/>
    <w:rsid w:val="00226180"/>
    <w:rsid w:val="002463F7"/>
    <w:rsid w:val="00263F5F"/>
    <w:rsid w:val="00267A82"/>
    <w:rsid w:val="002761FA"/>
    <w:rsid w:val="00290658"/>
    <w:rsid w:val="00292367"/>
    <w:rsid w:val="00295ADE"/>
    <w:rsid w:val="00296FE2"/>
    <w:rsid w:val="0029722A"/>
    <w:rsid w:val="002A1170"/>
    <w:rsid w:val="002B140A"/>
    <w:rsid w:val="002B741C"/>
    <w:rsid w:val="002D318F"/>
    <w:rsid w:val="002D6F6E"/>
    <w:rsid w:val="002D766E"/>
    <w:rsid w:val="002D77B4"/>
    <w:rsid w:val="002D79E0"/>
    <w:rsid w:val="002E7B63"/>
    <w:rsid w:val="00304036"/>
    <w:rsid w:val="00304E6E"/>
    <w:rsid w:val="00305150"/>
    <w:rsid w:val="003146A0"/>
    <w:rsid w:val="00332D2F"/>
    <w:rsid w:val="0036476B"/>
    <w:rsid w:val="00367729"/>
    <w:rsid w:val="00374B57"/>
    <w:rsid w:val="00393335"/>
    <w:rsid w:val="003A7C7C"/>
    <w:rsid w:val="003B56AF"/>
    <w:rsid w:val="003F7BA6"/>
    <w:rsid w:val="00405B4A"/>
    <w:rsid w:val="00426CF7"/>
    <w:rsid w:val="00430E15"/>
    <w:rsid w:val="0044589E"/>
    <w:rsid w:val="00446F6F"/>
    <w:rsid w:val="00454AD9"/>
    <w:rsid w:val="00487797"/>
    <w:rsid w:val="004D0E8E"/>
    <w:rsid w:val="004D4ABF"/>
    <w:rsid w:val="004F05C6"/>
    <w:rsid w:val="00500A2A"/>
    <w:rsid w:val="00502A36"/>
    <w:rsid w:val="00504724"/>
    <w:rsid w:val="00507499"/>
    <w:rsid w:val="00532D9D"/>
    <w:rsid w:val="00542A18"/>
    <w:rsid w:val="00567F24"/>
    <w:rsid w:val="005A6BF4"/>
    <w:rsid w:val="005B21D3"/>
    <w:rsid w:val="005B5674"/>
    <w:rsid w:val="005D234B"/>
    <w:rsid w:val="005E2470"/>
    <w:rsid w:val="006151C1"/>
    <w:rsid w:val="00632882"/>
    <w:rsid w:val="00633BA7"/>
    <w:rsid w:val="00644582"/>
    <w:rsid w:val="00644C0C"/>
    <w:rsid w:val="006465BC"/>
    <w:rsid w:val="006572E2"/>
    <w:rsid w:val="00672EA2"/>
    <w:rsid w:val="006743FC"/>
    <w:rsid w:val="00675AC0"/>
    <w:rsid w:val="0068207F"/>
    <w:rsid w:val="00683156"/>
    <w:rsid w:val="006A73F0"/>
    <w:rsid w:val="006A7AB2"/>
    <w:rsid w:val="006B1E5E"/>
    <w:rsid w:val="006B7AF6"/>
    <w:rsid w:val="006D7FA6"/>
    <w:rsid w:val="006F0D40"/>
    <w:rsid w:val="006F750E"/>
    <w:rsid w:val="00716BC9"/>
    <w:rsid w:val="00716D0A"/>
    <w:rsid w:val="00720295"/>
    <w:rsid w:val="00721A82"/>
    <w:rsid w:val="00725C6E"/>
    <w:rsid w:val="007265D6"/>
    <w:rsid w:val="00745B28"/>
    <w:rsid w:val="00764D5D"/>
    <w:rsid w:val="007846B2"/>
    <w:rsid w:val="007A266A"/>
    <w:rsid w:val="007A7C1A"/>
    <w:rsid w:val="007C272B"/>
    <w:rsid w:val="007C4CF1"/>
    <w:rsid w:val="007C5F24"/>
    <w:rsid w:val="007D39B7"/>
    <w:rsid w:val="007E6BAD"/>
    <w:rsid w:val="007F1008"/>
    <w:rsid w:val="007F3B2C"/>
    <w:rsid w:val="007F5EC5"/>
    <w:rsid w:val="008124A0"/>
    <w:rsid w:val="00825860"/>
    <w:rsid w:val="008259C2"/>
    <w:rsid w:val="008274CE"/>
    <w:rsid w:val="00845282"/>
    <w:rsid w:val="00847019"/>
    <w:rsid w:val="00856266"/>
    <w:rsid w:val="008670B2"/>
    <w:rsid w:val="0087425F"/>
    <w:rsid w:val="008747CB"/>
    <w:rsid w:val="00890E63"/>
    <w:rsid w:val="00897AE9"/>
    <w:rsid w:val="008A23F9"/>
    <w:rsid w:val="008A2700"/>
    <w:rsid w:val="008A7DCB"/>
    <w:rsid w:val="008D2807"/>
    <w:rsid w:val="008D2A4F"/>
    <w:rsid w:val="008D5744"/>
    <w:rsid w:val="008E068A"/>
    <w:rsid w:val="008E0C9A"/>
    <w:rsid w:val="008F3A94"/>
    <w:rsid w:val="008F5190"/>
    <w:rsid w:val="00915004"/>
    <w:rsid w:val="00917436"/>
    <w:rsid w:val="0096043B"/>
    <w:rsid w:val="00962910"/>
    <w:rsid w:val="009641D6"/>
    <w:rsid w:val="00965D93"/>
    <w:rsid w:val="00966533"/>
    <w:rsid w:val="009676B1"/>
    <w:rsid w:val="00971DBC"/>
    <w:rsid w:val="00975504"/>
    <w:rsid w:val="00A01966"/>
    <w:rsid w:val="00A13974"/>
    <w:rsid w:val="00A16357"/>
    <w:rsid w:val="00A17413"/>
    <w:rsid w:val="00A25C30"/>
    <w:rsid w:val="00A32D5A"/>
    <w:rsid w:val="00A411A1"/>
    <w:rsid w:val="00A4514F"/>
    <w:rsid w:val="00A47385"/>
    <w:rsid w:val="00A51224"/>
    <w:rsid w:val="00A523B2"/>
    <w:rsid w:val="00A55901"/>
    <w:rsid w:val="00A63EA5"/>
    <w:rsid w:val="00A87681"/>
    <w:rsid w:val="00AB166B"/>
    <w:rsid w:val="00AC135D"/>
    <w:rsid w:val="00AF25EA"/>
    <w:rsid w:val="00B14691"/>
    <w:rsid w:val="00B14B41"/>
    <w:rsid w:val="00B173B9"/>
    <w:rsid w:val="00B23419"/>
    <w:rsid w:val="00B34DCA"/>
    <w:rsid w:val="00B36CBC"/>
    <w:rsid w:val="00B508F4"/>
    <w:rsid w:val="00B526C9"/>
    <w:rsid w:val="00B5625D"/>
    <w:rsid w:val="00B64E08"/>
    <w:rsid w:val="00B83D27"/>
    <w:rsid w:val="00B85D7E"/>
    <w:rsid w:val="00BA1E34"/>
    <w:rsid w:val="00BA7CC2"/>
    <w:rsid w:val="00BB00C8"/>
    <w:rsid w:val="00BE5918"/>
    <w:rsid w:val="00BE693D"/>
    <w:rsid w:val="00BE72E9"/>
    <w:rsid w:val="00C00F3F"/>
    <w:rsid w:val="00C2052E"/>
    <w:rsid w:val="00C43054"/>
    <w:rsid w:val="00C573B9"/>
    <w:rsid w:val="00C74F1F"/>
    <w:rsid w:val="00C87509"/>
    <w:rsid w:val="00C95AD9"/>
    <w:rsid w:val="00CA21D0"/>
    <w:rsid w:val="00CB57E3"/>
    <w:rsid w:val="00CB699B"/>
    <w:rsid w:val="00CC7BEF"/>
    <w:rsid w:val="00CD7601"/>
    <w:rsid w:val="00CE08CF"/>
    <w:rsid w:val="00CE633E"/>
    <w:rsid w:val="00CF2B27"/>
    <w:rsid w:val="00D14C28"/>
    <w:rsid w:val="00D2117E"/>
    <w:rsid w:val="00D21F94"/>
    <w:rsid w:val="00D227E9"/>
    <w:rsid w:val="00D46839"/>
    <w:rsid w:val="00D50FD1"/>
    <w:rsid w:val="00D54C61"/>
    <w:rsid w:val="00D746E4"/>
    <w:rsid w:val="00D973FA"/>
    <w:rsid w:val="00DA2489"/>
    <w:rsid w:val="00DA4EA4"/>
    <w:rsid w:val="00DA541D"/>
    <w:rsid w:val="00DB055A"/>
    <w:rsid w:val="00DC1FBB"/>
    <w:rsid w:val="00DE75B0"/>
    <w:rsid w:val="00DF4853"/>
    <w:rsid w:val="00E006CB"/>
    <w:rsid w:val="00E0441D"/>
    <w:rsid w:val="00E33D3C"/>
    <w:rsid w:val="00E6123A"/>
    <w:rsid w:val="00E85D28"/>
    <w:rsid w:val="00E87863"/>
    <w:rsid w:val="00E96B4D"/>
    <w:rsid w:val="00EA768F"/>
    <w:rsid w:val="00EB284E"/>
    <w:rsid w:val="00EC2C51"/>
    <w:rsid w:val="00ED1DA0"/>
    <w:rsid w:val="00EE0966"/>
    <w:rsid w:val="00EE1620"/>
    <w:rsid w:val="00EF37BE"/>
    <w:rsid w:val="00F3260F"/>
    <w:rsid w:val="00F50CCE"/>
    <w:rsid w:val="00F56693"/>
    <w:rsid w:val="00FA4DB1"/>
    <w:rsid w:val="00FC08A2"/>
    <w:rsid w:val="00FC66B2"/>
    <w:rsid w:val="00FC6A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B887051"/>
  <w15:docId w15:val="{1D06A866-2242-4AEB-BC12-E64D5D4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700"/>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purniawan@its.ac.id" TargetMode="External"/><Relationship Id="rId18" Type="http://schemas.openxmlformats.org/officeDocument/2006/relationships/header" Target="header3.xml"/><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mailto:6011231005@student.its.ac.id" TargetMode="Externa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creativecommons.org/licenses/by-sa/4.0/" TargetMode="External"/><Relationship Id="rId19" Type="http://schemas.openxmlformats.org/officeDocument/2006/relationships/footer" Target="footer3.xml"/><Relationship Id="rId31" Type="http://schemas.openxmlformats.org/officeDocument/2006/relationships/chart" Target="charts/chart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chart" Target="charts/chart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Mu'adz\TA\Bismillah%20Sidang\Sidang\Data\Weight%20Loss\PCL%20Weight%20Loss%20fix.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Mu'adz\TA\Bismillah%20Sidang\Sidang\Data\Weight%20Loss\PCL%20Weight%20Loss%20fix.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Grafik!$A$61</c:f>
              <c:strCache>
                <c:ptCount val="1"/>
                <c:pt idx="0">
                  <c:v>0% APTES</c:v>
                </c:pt>
              </c:strCache>
            </c:strRef>
          </c:tx>
          <c:spPr>
            <a:ln w="19050" cap="rnd">
              <a:solidFill>
                <a:schemeClr val="accent1"/>
              </a:solidFill>
              <a:round/>
            </a:ln>
            <a:effectLst/>
          </c:spPr>
          <c:marker>
            <c:symbol val="none"/>
          </c:marker>
          <c:xVal>
            <c:numRef>
              <c:f>Grafik!$B$60:$E$60</c:f>
              <c:numCache>
                <c:formatCode>General</c:formatCode>
                <c:ptCount val="4"/>
                <c:pt idx="0">
                  <c:v>0</c:v>
                </c:pt>
                <c:pt idx="1">
                  <c:v>5</c:v>
                </c:pt>
                <c:pt idx="2">
                  <c:v>10</c:v>
                </c:pt>
                <c:pt idx="3">
                  <c:v>15</c:v>
                </c:pt>
              </c:numCache>
            </c:numRef>
          </c:xVal>
          <c:yVal>
            <c:numRef>
              <c:f>Grafik!$B$61:$E$61</c:f>
              <c:numCache>
                <c:formatCode>General</c:formatCode>
                <c:ptCount val="4"/>
                <c:pt idx="0">
                  <c:v>0</c:v>
                </c:pt>
                <c:pt idx="1">
                  <c:v>5.9382422802850279</c:v>
                </c:pt>
                <c:pt idx="2">
                  <c:v>8.0760095011876416</c:v>
                </c:pt>
                <c:pt idx="3">
                  <c:v>11.638954869358667</c:v>
                </c:pt>
              </c:numCache>
            </c:numRef>
          </c:yVal>
          <c:smooth val="0"/>
          <c:extLst>
            <c:ext xmlns:c16="http://schemas.microsoft.com/office/drawing/2014/chart" uri="{C3380CC4-5D6E-409C-BE32-E72D297353CC}">
              <c16:uniqueId val="{00000000-65B8-438A-86ED-EDDB728C9BEC}"/>
            </c:ext>
          </c:extLst>
        </c:ser>
        <c:ser>
          <c:idx val="1"/>
          <c:order val="1"/>
          <c:tx>
            <c:strRef>
              <c:f>Grafik!$A$62</c:f>
              <c:strCache>
                <c:ptCount val="1"/>
                <c:pt idx="0">
                  <c:v>1% APTES</c:v>
                </c:pt>
              </c:strCache>
            </c:strRef>
          </c:tx>
          <c:spPr>
            <a:ln w="19050" cap="rnd">
              <a:solidFill>
                <a:schemeClr val="accent2"/>
              </a:solidFill>
              <a:round/>
            </a:ln>
            <a:effectLst/>
          </c:spPr>
          <c:marker>
            <c:symbol val="none"/>
          </c:marker>
          <c:xVal>
            <c:numRef>
              <c:f>Grafik!$B$60:$E$60</c:f>
              <c:numCache>
                <c:formatCode>General</c:formatCode>
                <c:ptCount val="4"/>
                <c:pt idx="0">
                  <c:v>0</c:v>
                </c:pt>
                <c:pt idx="1">
                  <c:v>5</c:v>
                </c:pt>
                <c:pt idx="2">
                  <c:v>10</c:v>
                </c:pt>
                <c:pt idx="3">
                  <c:v>15</c:v>
                </c:pt>
              </c:numCache>
            </c:numRef>
          </c:xVal>
          <c:yVal>
            <c:numRef>
              <c:f>Grafik!$B$62:$E$62</c:f>
              <c:numCache>
                <c:formatCode>General</c:formatCode>
                <c:ptCount val="4"/>
                <c:pt idx="0">
                  <c:v>0</c:v>
                </c:pt>
                <c:pt idx="1">
                  <c:v>4.6189376443418055</c:v>
                </c:pt>
                <c:pt idx="2">
                  <c:v>5.542725173210167</c:v>
                </c:pt>
                <c:pt idx="3">
                  <c:v>7.1593533487297858</c:v>
                </c:pt>
              </c:numCache>
            </c:numRef>
          </c:yVal>
          <c:smooth val="0"/>
          <c:extLst>
            <c:ext xmlns:c16="http://schemas.microsoft.com/office/drawing/2014/chart" uri="{C3380CC4-5D6E-409C-BE32-E72D297353CC}">
              <c16:uniqueId val="{00000001-65B8-438A-86ED-EDDB728C9BEC}"/>
            </c:ext>
          </c:extLst>
        </c:ser>
        <c:ser>
          <c:idx val="2"/>
          <c:order val="2"/>
          <c:tx>
            <c:strRef>
              <c:f>Grafik!$A$63</c:f>
              <c:strCache>
                <c:ptCount val="1"/>
                <c:pt idx="0">
                  <c:v>3% APTES</c:v>
                </c:pt>
              </c:strCache>
            </c:strRef>
          </c:tx>
          <c:spPr>
            <a:ln w="19050" cap="rnd">
              <a:solidFill>
                <a:schemeClr val="accent3"/>
              </a:solidFill>
              <a:round/>
            </a:ln>
            <a:effectLst/>
          </c:spPr>
          <c:marker>
            <c:symbol val="none"/>
          </c:marker>
          <c:xVal>
            <c:numRef>
              <c:f>Grafik!$B$60:$E$60</c:f>
              <c:numCache>
                <c:formatCode>General</c:formatCode>
                <c:ptCount val="4"/>
                <c:pt idx="0">
                  <c:v>0</c:v>
                </c:pt>
                <c:pt idx="1">
                  <c:v>5</c:v>
                </c:pt>
                <c:pt idx="2">
                  <c:v>10</c:v>
                </c:pt>
                <c:pt idx="3">
                  <c:v>15</c:v>
                </c:pt>
              </c:numCache>
            </c:numRef>
          </c:xVal>
          <c:yVal>
            <c:numRef>
              <c:f>Grafik!$B$63:$E$63</c:f>
              <c:numCache>
                <c:formatCode>General</c:formatCode>
                <c:ptCount val="4"/>
                <c:pt idx="0">
                  <c:v>0</c:v>
                </c:pt>
                <c:pt idx="1">
                  <c:v>7.0135746606334894</c:v>
                </c:pt>
                <c:pt idx="2">
                  <c:v>9.2760180995475068</c:v>
                </c:pt>
                <c:pt idx="3">
                  <c:v>9.9547511312217161</c:v>
                </c:pt>
              </c:numCache>
            </c:numRef>
          </c:yVal>
          <c:smooth val="0"/>
          <c:extLst>
            <c:ext xmlns:c16="http://schemas.microsoft.com/office/drawing/2014/chart" uri="{C3380CC4-5D6E-409C-BE32-E72D297353CC}">
              <c16:uniqueId val="{00000002-65B8-438A-86ED-EDDB728C9BEC}"/>
            </c:ext>
          </c:extLst>
        </c:ser>
        <c:ser>
          <c:idx val="3"/>
          <c:order val="3"/>
          <c:tx>
            <c:strRef>
              <c:f>Grafik!$A$64</c:f>
              <c:strCache>
                <c:ptCount val="1"/>
                <c:pt idx="0">
                  <c:v>5% APTES</c:v>
                </c:pt>
              </c:strCache>
            </c:strRef>
          </c:tx>
          <c:spPr>
            <a:ln w="19050" cap="rnd">
              <a:solidFill>
                <a:schemeClr val="accent4"/>
              </a:solidFill>
              <a:round/>
            </a:ln>
            <a:effectLst/>
          </c:spPr>
          <c:marker>
            <c:symbol val="none"/>
          </c:marker>
          <c:xVal>
            <c:numRef>
              <c:f>Grafik!$B$60:$E$60</c:f>
              <c:numCache>
                <c:formatCode>General</c:formatCode>
                <c:ptCount val="4"/>
                <c:pt idx="0">
                  <c:v>0</c:v>
                </c:pt>
                <c:pt idx="1">
                  <c:v>5</c:v>
                </c:pt>
                <c:pt idx="2">
                  <c:v>10</c:v>
                </c:pt>
                <c:pt idx="3">
                  <c:v>15</c:v>
                </c:pt>
              </c:numCache>
            </c:numRef>
          </c:xVal>
          <c:yVal>
            <c:numRef>
              <c:f>Grafik!$B$64:$E$64</c:f>
              <c:numCache>
                <c:formatCode>General</c:formatCode>
                <c:ptCount val="4"/>
                <c:pt idx="0">
                  <c:v>0</c:v>
                </c:pt>
                <c:pt idx="1">
                  <c:v>7.494646680942191</c:v>
                </c:pt>
                <c:pt idx="2">
                  <c:v>9.8501070663811632</c:v>
                </c:pt>
                <c:pt idx="3">
                  <c:v>10.920770877944335</c:v>
                </c:pt>
              </c:numCache>
            </c:numRef>
          </c:yVal>
          <c:smooth val="0"/>
          <c:extLst>
            <c:ext xmlns:c16="http://schemas.microsoft.com/office/drawing/2014/chart" uri="{C3380CC4-5D6E-409C-BE32-E72D297353CC}">
              <c16:uniqueId val="{00000003-65B8-438A-86ED-EDDB728C9BEC}"/>
            </c:ext>
          </c:extLst>
        </c:ser>
        <c:dLbls>
          <c:showLegendKey val="0"/>
          <c:showVal val="0"/>
          <c:showCatName val="0"/>
          <c:showSerName val="0"/>
          <c:showPercent val="0"/>
          <c:showBubbleSize val="0"/>
        </c:dLbls>
        <c:axId val="626375136"/>
        <c:axId val="626378088"/>
      </c:scatterChart>
      <c:valAx>
        <c:axId val="62637513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Time (Day)</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6378088"/>
        <c:crosses val="autoZero"/>
        <c:crossBetween val="midCat"/>
      </c:valAx>
      <c:valAx>
        <c:axId val="62637808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Weight Loss (%)</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263751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3"/>
          <c:order val="0"/>
          <c:tx>
            <c:strRef>
              <c:f>Grafik!$A$68</c:f>
              <c:strCache>
                <c:ptCount val="1"/>
                <c:pt idx="0">
                  <c:v>Porogen 4:1</c:v>
                </c:pt>
              </c:strCache>
            </c:strRef>
          </c:tx>
          <c:marker>
            <c:symbol val="none"/>
          </c:marker>
          <c:xVal>
            <c:numRef>
              <c:f>Grafik!$B$67:$E$67</c:f>
              <c:numCache>
                <c:formatCode>General</c:formatCode>
                <c:ptCount val="4"/>
                <c:pt idx="0">
                  <c:v>0</c:v>
                </c:pt>
                <c:pt idx="1">
                  <c:v>5</c:v>
                </c:pt>
                <c:pt idx="2">
                  <c:v>10</c:v>
                </c:pt>
                <c:pt idx="3">
                  <c:v>15</c:v>
                </c:pt>
              </c:numCache>
            </c:numRef>
          </c:xVal>
          <c:yVal>
            <c:numRef>
              <c:f>Grafik!$B$68:$E$68</c:f>
              <c:numCache>
                <c:formatCode>General</c:formatCode>
                <c:ptCount val="4"/>
                <c:pt idx="0">
                  <c:v>0</c:v>
                </c:pt>
                <c:pt idx="1">
                  <c:v>7.0135746606334894</c:v>
                </c:pt>
                <c:pt idx="2">
                  <c:v>9.2760180995475068</c:v>
                </c:pt>
                <c:pt idx="3">
                  <c:v>9.9547511312217161</c:v>
                </c:pt>
              </c:numCache>
            </c:numRef>
          </c:yVal>
          <c:smooth val="0"/>
          <c:extLst>
            <c:ext xmlns:c16="http://schemas.microsoft.com/office/drawing/2014/chart" uri="{C3380CC4-5D6E-409C-BE32-E72D297353CC}">
              <c16:uniqueId val="{00000000-7412-4ECC-A0AF-5E8E9B9A84FD}"/>
            </c:ext>
          </c:extLst>
        </c:ser>
        <c:ser>
          <c:idx val="4"/>
          <c:order val="1"/>
          <c:tx>
            <c:strRef>
              <c:f>Grafik!$A$69</c:f>
              <c:strCache>
                <c:ptCount val="1"/>
                <c:pt idx="0">
                  <c:v>Porogen 6:1</c:v>
                </c:pt>
              </c:strCache>
            </c:strRef>
          </c:tx>
          <c:marker>
            <c:symbol val="none"/>
          </c:marker>
          <c:xVal>
            <c:numRef>
              <c:f>Grafik!$B$67:$E$67</c:f>
              <c:numCache>
                <c:formatCode>General</c:formatCode>
                <c:ptCount val="4"/>
                <c:pt idx="0">
                  <c:v>0</c:v>
                </c:pt>
                <c:pt idx="1">
                  <c:v>5</c:v>
                </c:pt>
                <c:pt idx="2">
                  <c:v>10</c:v>
                </c:pt>
                <c:pt idx="3">
                  <c:v>15</c:v>
                </c:pt>
              </c:numCache>
            </c:numRef>
          </c:xVal>
          <c:yVal>
            <c:numRef>
              <c:f>Grafik!$B$69:$E$69</c:f>
              <c:numCache>
                <c:formatCode>General</c:formatCode>
                <c:ptCount val="4"/>
                <c:pt idx="0">
                  <c:v>0</c:v>
                </c:pt>
                <c:pt idx="1">
                  <c:v>7.6566125290023139</c:v>
                </c:pt>
                <c:pt idx="2">
                  <c:v>10.208816705336424</c:v>
                </c:pt>
                <c:pt idx="3">
                  <c:v>11.368909512761018</c:v>
                </c:pt>
              </c:numCache>
            </c:numRef>
          </c:yVal>
          <c:smooth val="0"/>
          <c:extLst>
            <c:ext xmlns:c16="http://schemas.microsoft.com/office/drawing/2014/chart" uri="{C3380CC4-5D6E-409C-BE32-E72D297353CC}">
              <c16:uniqueId val="{00000001-7412-4ECC-A0AF-5E8E9B9A84FD}"/>
            </c:ext>
          </c:extLst>
        </c:ser>
        <c:ser>
          <c:idx val="5"/>
          <c:order val="2"/>
          <c:tx>
            <c:strRef>
              <c:f>Grafik!$A$70</c:f>
              <c:strCache>
                <c:ptCount val="1"/>
                <c:pt idx="0">
                  <c:v>Porogen 8:1</c:v>
                </c:pt>
              </c:strCache>
            </c:strRef>
          </c:tx>
          <c:marker>
            <c:symbol val="none"/>
          </c:marker>
          <c:xVal>
            <c:numRef>
              <c:f>Grafik!$B$67:$E$67</c:f>
              <c:numCache>
                <c:formatCode>General</c:formatCode>
                <c:ptCount val="4"/>
                <c:pt idx="0">
                  <c:v>0</c:v>
                </c:pt>
                <c:pt idx="1">
                  <c:v>5</c:v>
                </c:pt>
                <c:pt idx="2">
                  <c:v>10</c:v>
                </c:pt>
                <c:pt idx="3">
                  <c:v>15</c:v>
                </c:pt>
              </c:numCache>
            </c:numRef>
          </c:xVal>
          <c:yVal>
            <c:numRef>
              <c:f>Grafik!$B$70:$E$70</c:f>
              <c:numCache>
                <c:formatCode>General</c:formatCode>
                <c:ptCount val="4"/>
                <c:pt idx="0">
                  <c:v>0</c:v>
                </c:pt>
                <c:pt idx="1">
                  <c:v>6.3596491228070233</c:v>
                </c:pt>
                <c:pt idx="2">
                  <c:v>9.6491228070175517</c:v>
                </c:pt>
                <c:pt idx="3">
                  <c:v>13.596491228070176</c:v>
                </c:pt>
              </c:numCache>
            </c:numRef>
          </c:yVal>
          <c:smooth val="0"/>
          <c:extLst>
            <c:ext xmlns:c16="http://schemas.microsoft.com/office/drawing/2014/chart" uri="{C3380CC4-5D6E-409C-BE32-E72D297353CC}">
              <c16:uniqueId val="{00000002-7412-4ECC-A0AF-5E8E9B9A84FD}"/>
            </c:ext>
          </c:extLst>
        </c:ser>
        <c:dLbls>
          <c:showLegendKey val="0"/>
          <c:showVal val="0"/>
          <c:showCatName val="0"/>
          <c:showSerName val="0"/>
          <c:showPercent val="0"/>
          <c:showBubbleSize val="0"/>
        </c:dLbls>
        <c:axId val="626375136"/>
        <c:axId val="626378088"/>
      </c:scatterChart>
      <c:valAx>
        <c:axId val="626375136"/>
        <c:scaling>
          <c:orientation val="minMax"/>
        </c:scaling>
        <c:delete val="0"/>
        <c:axPos val="b"/>
        <c:title>
          <c:tx>
            <c:rich>
              <a:bodyPr/>
              <a:lstStyle/>
              <a:p>
                <a:pPr>
                  <a:defRPr/>
                </a:pPr>
                <a:r>
                  <a:rPr lang="en-US"/>
                  <a:t>Time (Day)</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26378088"/>
        <c:crosses val="autoZero"/>
        <c:crossBetween val="midCat"/>
      </c:valAx>
      <c:valAx>
        <c:axId val="626378088"/>
        <c:scaling>
          <c:orientation val="minMax"/>
        </c:scaling>
        <c:delete val="0"/>
        <c:axPos val="l"/>
        <c:title>
          <c:tx>
            <c:rich>
              <a:bodyPr/>
              <a:lstStyle/>
              <a:p>
                <a:pPr>
                  <a:defRPr/>
                </a:pPr>
                <a:r>
                  <a:rPr lang="en-US"/>
                  <a:t>Weight Loss (%)</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26375136"/>
        <c:crosses val="autoZero"/>
        <c:crossBetween val="midCat"/>
      </c:valAx>
    </c:plotArea>
    <c:legend>
      <c:legendPos val="b"/>
      <c:overlay val="0"/>
      <c:spPr>
        <a:noFill/>
        <a:ln>
          <a:noFill/>
        </a:ln>
        <a:effectLst/>
      </c:spPr>
      <c:txPr>
        <a:bodyPr rot="0" vert="horz"/>
        <a:lstStyle/>
        <a:p>
          <a:pPr>
            <a:defRPr/>
          </a:pPr>
          <a:endParaRPr lang="en-US"/>
        </a:p>
      </c:txPr>
    </c:legend>
    <c:plotVisOnly val="1"/>
    <c:dispBlanksAs val="gap"/>
    <c:showDLblsOverMax val="0"/>
    <c:extLst/>
  </c:chart>
  <c:spPr>
    <a:ln>
      <a:noFill/>
    </a:ln>
  </c:spPr>
  <c:txPr>
    <a:bodyPr/>
    <a:lstStyle/>
    <a:p>
      <a:pPr>
        <a:defRPr sz="800" b="0">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0E7E5127-A019-420F-AC50-9FD5BB651CD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24691</Words>
  <Characters>140740</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Muadz Abdullah Faqih</cp:lastModifiedBy>
  <cp:revision>36</cp:revision>
  <dcterms:created xsi:type="dcterms:W3CDTF">2024-12-16T06:10:00Z</dcterms:created>
  <dcterms:modified xsi:type="dcterms:W3CDTF">2024-12-16T08:06:00Z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5b3caa77-c331-31b0-86a1-5c546e77ee80</vt:lpwstr>
  </property>
  <property fmtid="{D5CDD505-2E9C-101B-9397-08002B2CF9AE}" pid="4" name="Mendeley Citation Style_1">
    <vt:lpwstr>https://csl.mendeley.com/styles/785591901/ieee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http://csl.mendeley.com/styles/785591901/ieee</vt:lpwstr>
  </property>
  <property fmtid="{D5CDD505-2E9C-101B-9397-08002B2CF9AE}" pid="16" name="Mendeley Recent Style Name 5_1">
    <vt:lpwstr>IEEE - Mu'adz Abdullah Faqih Yudi</vt:lpwstr>
  </property>
  <property fmtid="{D5CDD505-2E9C-101B-9397-08002B2CF9AE}" pid="17" name="Mendeley Recent Style Id 6_1">
    <vt:lpwstr>https://csl.mendeley.com/styles/785591901/ieee</vt:lpwstr>
  </property>
  <property fmtid="{D5CDD505-2E9C-101B-9397-08002B2CF9AE}" pid="18" name="Mendeley Recent Style Name 6_1">
    <vt:lpwstr>IEEE - Mu'adz Abdullah Faqih Yudi</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