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8472"/>
        <w:gridCol w:w="816"/>
      </w:tblGrid>
      <w:tr w:rsidR="00D95081" w:rsidRPr="00263644" w:rsidTr="0090181A">
        <w:tc>
          <w:tcPr>
            <w:tcW w:w="9039" w:type="dxa"/>
            <w:shd w:val="clear" w:color="auto" w:fill="auto"/>
          </w:tcPr>
          <w:p w:rsidR="00D95081" w:rsidRPr="0039099D" w:rsidRDefault="009E2018" w:rsidP="0039099D">
            <w:pPr>
              <w:pStyle w:val="Title"/>
              <w:jc w:val="left"/>
              <w:rPr>
                <w:rFonts w:ascii="Arial" w:hAnsi="Arial" w:cs="Arial"/>
                <w:szCs w:val="28"/>
                <w:lang w:val="en-US"/>
              </w:rPr>
            </w:pPr>
            <w:r w:rsidRPr="009E2018">
              <w:t>Sustainable Competitiveness through Community Empowerment and Success Factors of SMEs?</w:t>
            </w:r>
          </w:p>
        </w:tc>
        <w:tc>
          <w:tcPr>
            <w:tcW w:w="249" w:type="dxa"/>
            <w:shd w:val="clear" w:color="auto" w:fill="auto"/>
            <w:vAlign w:val="center"/>
          </w:tcPr>
          <w:p w:rsidR="00D95081" w:rsidRPr="00263644" w:rsidRDefault="00002989" w:rsidP="00D95081">
            <w:pPr>
              <w:pStyle w:val="Title"/>
              <w:rPr>
                <w:rFonts w:ascii="Arial" w:hAnsi="Arial" w:cs="Arial"/>
                <w:szCs w:val="28"/>
                <w:lang w:val="en-US"/>
              </w:rPr>
            </w:pPr>
            <w:r>
              <w:rPr>
                <w:rFonts w:ascii="Arial" w:hAnsi="Arial" w:cs="Arial"/>
                <w:noProof/>
                <w:szCs w:val="28"/>
                <w:lang w:val="en-US"/>
              </w:rPr>
              <w:drawing>
                <wp:inline distT="0" distB="0" distL="0" distR="0">
                  <wp:extent cx="361950" cy="361950"/>
                  <wp:effectExtent l="19050" t="0" r="0" b="0"/>
                  <wp:docPr id="13" name="Picture 13"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
                          <pic:cNvPicPr>
                            <a:picLocks noChangeAspect="1" noChangeArrowheads="1"/>
                          </pic:cNvPicPr>
                        </pic:nvPicPr>
                        <pic:blipFill>
                          <a:blip r:embed="rId8"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r>
    </w:tbl>
    <w:p w:rsidR="00D95081" w:rsidRDefault="00D95081" w:rsidP="008424DD">
      <w:pPr>
        <w:pStyle w:val="Title"/>
        <w:rPr>
          <w:rFonts w:ascii="Arial" w:hAnsi="Arial" w:cs="Arial"/>
          <w:szCs w:val="28"/>
          <w:lang w:val="en-US"/>
        </w:rPr>
      </w:pPr>
    </w:p>
    <w:p w:rsidR="008A1448" w:rsidRDefault="008A1448" w:rsidP="008A1448">
      <w:pPr>
        <w:widowControl w:val="0"/>
        <w:autoSpaceDE w:val="0"/>
        <w:autoSpaceDN w:val="0"/>
        <w:adjustRightInd w:val="0"/>
        <w:spacing w:after="0" w:line="240" w:lineRule="auto"/>
        <w:rPr>
          <w:rFonts w:ascii="Arial" w:hAnsi="Arial" w:cs="Arial"/>
          <w:b/>
          <w:bCs/>
          <w:spacing w:val="-1"/>
          <w:sz w:val="20"/>
          <w:szCs w:val="20"/>
        </w:rPr>
      </w:pPr>
      <w:r w:rsidRPr="008A1448">
        <w:rPr>
          <w:rFonts w:ascii="Arial" w:hAnsi="Arial" w:cs="Arial"/>
          <w:b/>
          <w:bCs/>
          <w:spacing w:val="-1"/>
          <w:sz w:val="20"/>
          <w:szCs w:val="20"/>
        </w:rPr>
        <w:t xml:space="preserve">Hayu Kartika </w:t>
      </w:r>
      <w:r w:rsidR="00390557">
        <w:rPr>
          <w:rFonts w:ascii="Arial" w:hAnsi="Arial" w:cs="Arial"/>
          <w:b/>
          <w:bCs/>
          <w:spacing w:val="-1"/>
          <w:sz w:val="20"/>
          <w:szCs w:val="20"/>
          <w:vertAlign w:val="superscript"/>
        </w:rPr>
        <w:t>1</w:t>
      </w:r>
      <w:r w:rsidR="00D41910">
        <w:rPr>
          <w:rFonts w:ascii="Arial" w:hAnsi="Arial" w:cs="Arial"/>
          <w:b/>
          <w:bCs/>
          <w:spacing w:val="-1"/>
          <w:sz w:val="20"/>
          <w:szCs w:val="20"/>
          <w:vertAlign w:val="superscript"/>
        </w:rPr>
        <w:t>*</w:t>
      </w:r>
      <w:r w:rsidR="005B7666" w:rsidRPr="005B7666">
        <w:rPr>
          <w:rFonts w:ascii="Arial" w:hAnsi="Arial" w:cs="Arial"/>
          <w:b/>
          <w:bCs/>
          <w:sz w:val="20"/>
          <w:szCs w:val="20"/>
        </w:rPr>
        <w:t>,</w:t>
      </w:r>
      <w:r w:rsidR="005B7666" w:rsidRPr="005B7666">
        <w:rPr>
          <w:rFonts w:ascii="Arial" w:hAnsi="Arial" w:cs="Arial"/>
          <w:b/>
          <w:bCs/>
          <w:spacing w:val="-8"/>
          <w:sz w:val="20"/>
          <w:szCs w:val="20"/>
        </w:rPr>
        <w:t xml:space="preserve"> </w:t>
      </w:r>
      <w:r>
        <w:rPr>
          <w:rFonts w:ascii="Arial" w:eastAsia="Arial" w:hAnsi="Arial" w:cs="Arial"/>
          <w:b/>
          <w:sz w:val="20"/>
          <w:szCs w:val="20"/>
        </w:rPr>
        <w:t>Hartrisari Hardjomidjojo</w:t>
      </w:r>
      <w:r>
        <w:rPr>
          <w:rFonts w:ascii="Arial" w:eastAsia="Arial" w:hAnsi="Arial" w:cs="Arial"/>
          <w:b/>
          <w:sz w:val="20"/>
          <w:szCs w:val="20"/>
          <w:vertAlign w:val="superscript"/>
        </w:rPr>
        <w:t>2</w:t>
      </w:r>
      <w:r w:rsidR="005B7666" w:rsidRPr="005B7666">
        <w:rPr>
          <w:rFonts w:ascii="Arial" w:hAnsi="Arial" w:cs="Arial"/>
          <w:b/>
          <w:bCs/>
          <w:sz w:val="20"/>
          <w:szCs w:val="20"/>
        </w:rPr>
        <w:t>,</w:t>
      </w:r>
      <w:r w:rsidR="005B7666" w:rsidRPr="005B7666">
        <w:rPr>
          <w:rFonts w:ascii="Arial" w:hAnsi="Arial" w:cs="Arial"/>
          <w:b/>
          <w:bCs/>
          <w:spacing w:val="-11"/>
          <w:sz w:val="20"/>
          <w:szCs w:val="20"/>
        </w:rPr>
        <w:t xml:space="preserve"> </w:t>
      </w:r>
      <w:r w:rsidRPr="008A1448">
        <w:rPr>
          <w:rFonts w:ascii="Arial" w:hAnsi="Arial" w:cs="Arial"/>
          <w:b/>
          <w:bCs/>
          <w:spacing w:val="-1"/>
          <w:sz w:val="20"/>
          <w:szCs w:val="20"/>
        </w:rPr>
        <w:t>Machfud</w:t>
      </w:r>
      <w:r w:rsidRPr="003C4080">
        <w:rPr>
          <w:rFonts w:ascii="Arial" w:hAnsi="Arial" w:cs="Arial"/>
          <w:b/>
          <w:bCs/>
          <w:spacing w:val="-1"/>
          <w:sz w:val="20"/>
          <w:szCs w:val="20"/>
          <w:vertAlign w:val="superscript"/>
        </w:rPr>
        <w:t>2</w:t>
      </w:r>
      <w:r w:rsidRPr="008A1448">
        <w:rPr>
          <w:rFonts w:ascii="Arial" w:hAnsi="Arial" w:cs="Arial"/>
          <w:b/>
          <w:bCs/>
          <w:spacing w:val="-1"/>
          <w:sz w:val="20"/>
          <w:szCs w:val="20"/>
        </w:rPr>
        <w:t>, Endang Warsiki</w:t>
      </w:r>
      <w:r w:rsidRPr="003C4080">
        <w:rPr>
          <w:rFonts w:ascii="Arial" w:hAnsi="Arial" w:cs="Arial"/>
          <w:b/>
          <w:bCs/>
          <w:spacing w:val="-1"/>
          <w:sz w:val="20"/>
          <w:szCs w:val="20"/>
          <w:vertAlign w:val="superscript"/>
        </w:rPr>
        <w:t>2</w:t>
      </w:r>
    </w:p>
    <w:p w:rsidR="008A1448" w:rsidRDefault="008A1448" w:rsidP="008A1448">
      <w:pPr>
        <w:pStyle w:val="normal0"/>
        <w:widowControl w:val="0"/>
        <w:tabs>
          <w:tab w:val="left" w:pos="9020"/>
        </w:tabs>
        <w:spacing w:after="0" w:line="240" w:lineRule="auto"/>
        <w:rPr>
          <w:rFonts w:ascii="Arial" w:eastAsia="Arial" w:hAnsi="Arial" w:cs="Arial"/>
          <w:sz w:val="16"/>
          <w:szCs w:val="16"/>
        </w:rPr>
      </w:pPr>
      <w:r>
        <w:rPr>
          <w:rFonts w:ascii="Arial" w:eastAsia="Arial" w:hAnsi="Arial" w:cs="Arial"/>
          <w:sz w:val="16"/>
          <w:szCs w:val="16"/>
          <w:vertAlign w:val="superscript"/>
        </w:rPr>
        <w:t>1</w:t>
      </w:r>
      <w:r>
        <w:rPr>
          <w:rFonts w:ascii="Arial" w:eastAsia="Arial" w:hAnsi="Arial" w:cs="Arial"/>
          <w:sz w:val="16"/>
          <w:szCs w:val="16"/>
        </w:rPr>
        <w:t xml:space="preserve">Doctoral Program in </w:t>
      </w:r>
      <w:r w:rsidRPr="0077228D">
        <w:rPr>
          <w:rFonts w:ascii="Arial" w:eastAsia="Arial" w:hAnsi="Arial" w:cs="Arial"/>
          <w:sz w:val="16"/>
          <w:szCs w:val="16"/>
        </w:rPr>
        <w:t xml:space="preserve">Agroindustrial Engineering </w:t>
      </w:r>
      <w:r>
        <w:rPr>
          <w:rFonts w:ascii="Arial" w:eastAsia="Arial" w:hAnsi="Arial" w:cs="Arial"/>
          <w:sz w:val="16"/>
          <w:szCs w:val="16"/>
        </w:rPr>
        <w:t>, Department of Agroindustrial Technology, Bogor Agricultural University,</w:t>
      </w:r>
    </w:p>
    <w:p w:rsidR="008A1448" w:rsidRDefault="008A1448" w:rsidP="008A1448">
      <w:pPr>
        <w:pStyle w:val="normal0"/>
        <w:widowControl w:val="0"/>
        <w:tabs>
          <w:tab w:val="left" w:pos="9020"/>
        </w:tabs>
        <w:spacing w:after="0" w:line="240" w:lineRule="auto"/>
        <w:ind w:left="180" w:hanging="180"/>
        <w:rPr>
          <w:rFonts w:ascii="Arial" w:eastAsia="Arial" w:hAnsi="Arial" w:cs="Arial"/>
          <w:sz w:val="16"/>
          <w:szCs w:val="16"/>
        </w:rPr>
      </w:pPr>
      <w:r>
        <w:rPr>
          <w:rFonts w:ascii="Arial" w:eastAsia="Arial" w:hAnsi="Arial" w:cs="Arial"/>
          <w:sz w:val="16"/>
          <w:szCs w:val="16"/>
        </w:rPr>
        <w:t xml:space="preserve">  Indonesia</w:t>
      </w:r>
    </w:p>
    <w:p w:rsidR="008A1448" w:rsidRDefault="008A1448" w:rsidP="008A1448">
      <w:pPr>
        <w:pStyle w:val="normal0"/>
        <w:widowControl w:val="0"/>
        <w:tabs>
          <w:tab w:val="left" w:pos="9020"/>
        </w:tabs>
        <w:spacing w:after="0" w:line="240" w:lineRule="auto"/>
        <w:rPr>
          <w:rFonts w:ascii="Arial" w:eastAsia="Arial" w:hAnsi="Arial" w:cs="Arial"/>
          <w:sz w:val="16"/>
          <w:szCs w:val="16"/>
        </w:rPr>
      </w:pPr>
      <w:r>
        <w:rPr>
          <w:rFonts w:ascii="Arial" w:eastAsia="Arial" w:hAnsi="Arial" w:cs="Arial"/>
          <w:sz w:val="16"/>
          <w:szCs w:val="16"/>
          <w:vertAlign w:val="superscript"/>
        </w:rPr>
        <w:t>2</w:t>
      </w:r>
      <w:r w:rsidRPr="00D30BF3">
        <w:rPr>
          <w:rFonts w:ascii="Arial" w:eastAsia="Arial" w:hAnsi="Arial" w:cs="Arial"/>
          <w:sz w:val="16"/>
          <w:szCs w:val="16"/>
        </w:rPr>
        <w:t xml:space="preserve"> </w:t>
      </w:r>
      <w:r>
        <w:rPr>
          <w:rFonts w:ascii="Arial" w:eastAsia="Arial" w:hAnsi="Arial" w:cs="Arial"/>
          <w:sz w:val="16"/>
          <w:szCs w:val="16"/>
        </w:rPr>
        <w:t>Department of Agroindustrial Technology, Bogor Agricultural University, Indonesia</w:t>
      </w:r>
    </w:p>
    <w:p w:rsidR="00D41910" w:rsidRDefault="00D41910" w:rsidP="00D95081">
      <w:pPr>
        <w:widowControl w:val="0"/>
        <w:tabs>
          <w:tab w:val="left" w:pos="9020"/>
        </w:tabs>
        <w:autoSpaceDE w:val="0"/>
        <w:autoSpaceDN w:val="0"/>
        <w:adjustRightInd w:val="0"/>
        <w:spacing w:after="0" w:line="240" w:lineRule="auto"/>
        <w:rPr>
          <w:rFonts w:ascii="Arial" w:hAnsi="Arial" w:cs="Arial"/>
          <w:sz w:val="20"/>
          <w:szCs w:val="20"/>
        </w:rPr>
      </w:pPr>
    </w:p>
    <w:tbl>
      <w:tblPr>
        <w:tblW w:w="9071" w:type="dxa"/>
        <w:tblBorders>
          <w:top w:val="single" w:sz="12" w:space="0" w:color="auto"/>
          <w:bottom w:val="single" w:sz="12" w:space="0" w:color="auto"/>
        </w:tblBorders>
        <w:shd w:val="clear" w:color="auto" w:fill="FFFFFF"/>
        <w:tblLook w:val="04A0"/>
      </w:tblPr>
      <w:tblGrid>
        <w:gridCol w:w="6236"/>
        <w:gridCol w:w="2835"/>
      </w:tblGrid>
      <w:tr w:rsidR="00D41A9C" w:rsidRPr="002079E2" w:rsidTr="001D78BA">
        <w:tc>
          <w:tcPr>
            <w:tcW w:w="6236" w:type="dxa"/>
            <w:shd w:val="clear" w:color="auto" w:fill="9CC2E5"/>
          </w:tcPr>
          <w:p w:rsidR="00D41A9C" w:rsidRPr="002079E2" w:rsidRDefault="00D41A9C" w:rsidP="001D78BA">
            <w:pPr>
              <w:shd w:val="clear" w:color="auto" w:fill="9CC2E5"/>
              <w:spacing w:before="120" w:after="0" w:line="240" w:lineRule="auto"/>
              <w:ind w:hanging="2"/>
              <w:jc w:val="both"/>
              <w:rPr>
                <w:rFonts w:ascii="Arial" w:hAnsi="Arial" w:cs="Arial"/>
                <w:b/>
                <w:bCs/>
                <w:i/>
                <w:iCs/>
                <w:spacing w:val="-5"/>
                <w:sz w:val="20"/>
                <w:szCs w:val="20"/>
              </w:rPr>
            </w:pPr>
            <w:bookmarkStart w:id="0" w:name="_Hlk55811559"/>
            <w:r w:rsidRPr="002079E2">
              <w:rPr>
                <w:rFonts w:ascii="Arial" w:hAnsi="Arial" w:cs="Arial"/>
                <w:b/>
                <w:bCs/>
                <w:i/>
                <w:iCs/>
                <w:sz w:val="20"/>
                <w:szCs w:val="20"/>
              </w:rPr>
              <w:t>A</w:t>
            </w:r>
            <w:r w:rsidRPr="002079E2">
              <w:rPr>
                <w:rFonts w:ascii="Arial" w:hAnsi="Arial" w:cs="Arial"/>
                <w:b/>
                <w:bCs/>
                <w:i/>
                <w:iCs/>
                <w:spacing w:val="1"/>
                <w:sz w:val="20"/>
                <w:szCs w:val="20"/>
              </w:rPr>
              <w:t>b</w:t>
            </w:r>
            <w:r w:rsidRPr="002079E2">
              <w:rPr>
                <w:rFonts w:ascii="Arial" w:hAnsi="Arial" w:cs="Arial"/>
                <w:b/>
                <w:bCs/>
                <w:i/>
                <w:iCs/>
                <w:sz w:val="20"/>
                <w:szCs w:val="20"/>
              </w:rPr>
              <w:t>stract</w:t>
            </w:r>
            <w:r w:rsidRPr="002079E2">
              <w:rPr>
                <w:rFonts w:ascii="Arial" w:hAnsi="Arial" w:cs="Arial"/>
                <w:b/>
                <w:bCs/>
                <w:i/>
                <w:iCs/>
                <w:spacing w:val="-5"/>
                <w:sz w:val="20"/>
                <w:szCs w:val="20"/>
              </w:rPr>
              <w:t xml:space="preserve"> </w:t>
            </w:r>
          </w:p>
          <w:p w:rsidR="00D41A9C" w:rsidRDefault="00F37CD6" w:rsidP="00D41A9C">
            <w:pPr>
              <w:shd w:val="clear" w:color="auto" w:fill="9CC2E5"/>
              <w:spacing w:after="0" w:line="240" w:lineRule="auto"/>
              <w:jc w:val="both"/>
              <w:rPr>
                <w:rFonts w:ascii="Arial" w:hAnsi="Arial" w:cs="Arial"/>
                <w:i/>
                <w:iCs/>
                <w:sz w:val="20"/>
                <w:szCs w:val="20"/>
              </w:rPr>
            </w:pPr>
            <w:r w:rsidRPr="00F37CD6">
              <w:rPr>
                <w:rFonts w:ascii="Arial" w:hAnsi="Arial" w:cs="Arial"/>
                <w:i/>
                <w:iCs/>
                <w:sz w:val="20"/>
                <w:szCs w:val="20"/>
              </w:rPr>
              <w:t>This study aims to examine the relationship between sustainable competitiveness and community empowerment within the context of small and medium enterprises (SMEs) through a systematic literature review. The main focus of this review is to explore how community empowerment can serve as a supporting factor in enhancing the sustainable competitiveness of SMEs. Literature was collected from the Scopus database covering the period 2021–2025 and analyzed using the VOSviewer bibliometric tool. The findings indicate that the topics of sustainable competitiveness and community empowerment are still rarely discussed in an integrated manner, although both are significantly related. The study identifies six key dimensions contributing to sustainable competitiveness in SMEs: Economic, Social, Environmental, Technological, Organizational, and Human Resources. Community empowerment, particularly within the social dimension, plays a crucial role in supporting business sustainability, strengthening collaborative networks, and improving local community welfare. These findings provide a foundation for developing more inclusive business strategies and policies based on local potential, in order to build a more adaptive, innovative, and competitive business ecosystem amid global challenges</w:t>
            </w:r>
          </w:p>
          <w:p w:rsidR="00D41A9C" w:rsidRPr="002079E2" w:rsidRDefault="00D41A9C" w:rsidP="001D78BA">
            <w:pPr>
              <w:spacing w:after="0" w:line="240" w:lineRule="auto"/>
              <w:ind w:hanging="2"/>
              <w:jc w:val="both"/>
              <w:rPr>
                <w:rFonts w:ascii="Arial" w:eastAsia="Arial" w:hAnsi="Arial" w:cs="Arial"/>
                <w:i/>
                <w:sz w:val="20"/>
                <w:szCs w:val="20"/>
              </w:rPr>
            </w:pPr>
          </w:p>
          <w:p w:rsidR="00D41A9C" w:rsidRDefault="007F7DCE" w:rsidP="001D78BA">
            <w:pPr>
              <w:spacing w:after="0" w:line="240" w:lineRule="auto"/>
              <w:ind w:hanging="2"/>
              <w:jc w:val="right"/>
              <w:rPr>
                <w:rFonts w:ascii="Arial" w:eastAsia="Arial" w:hAnsi="Arial" w:cs="Arial"/>
                <w:i/>
                <w:noProof/>
                <w:sz w:val="20"/>
                <w:szCs w:val="20"/>
              </w:rPr>
            </w:pPr>
            <w:r w:rsidRPr="007F7DCE">
              <w:rPr>
                <w:rFonts w:ascii="Arial" w:eastAsia="Arial" w:hAnsi="Arial" w:cs="Arial"/>
                <w:i/>
                <w:sz w:val="20"/>
                <w:szCs w:val="20"/>
              </w:rPr>
              <w:t xml:space="preserve">This is an open access article under the </w:t>
            </w:r>
            <w:hyperlink r:id="rId9" w:history="1">
              <w:r w:rsidRPr="007F7DCE">
                <w:rPr>
                  <w:rStyle w:val="Hyperlink"/>
                  <w:rFonts w:ascii="Arial" w:eastAsia="Arial" w:hAnsi="Arial" w:cs="Arial"/>
                  <w:i/>
                  <w:sz w:val="20"/>
                  <w:szCs w:val="20"/>
                </w:rPr>
                <w:t>CC BY-SA</w:t>
              </w:r>
            </w:hyperlink>
            <w:r w:rsidRPr="007F7DCE">
              <w:rPr>
                <w:rFonts w:ascii="Arial" w:eastAsia="Arial" w:hAnsi="Arial" w:cs="Arial"/>
                <w:i/>
                <w:sz w:val="20"/>
                <w:szCs w:val="20"/>
              </w:rPr>
              <w:t xml:space="preserve"> license</w:t>
            </w:r>
          </w:p>
          <w:p w:rsidR="00D41A9C" w:rsidRPr="007F7DCE" w:rsidRDefault="00002989" w:rsidP="007F7DCE">
            <w:pPr>
              <w:spacing w:before="60" w:after="60" w:line="240" w:lineRule="auto"/>
              <w:ind w:hanging="2"/>
              <w:jc w:val="right"/>
              <w:rPr>
                <w:rFonts w:ascii="Arial" w:eastAsia="Arial" w:hAnsi="Arial" w:cs="Arial"/>
                <w:i/>
                <w:sz w:val="20"/>
                <w:szCs w:val="20"/>
              </w:rPr>
            </w:pPr>
            <w:r>
              <w:rPr>
                <w:rFonts w:ascii="Arial" w:eastAsia="Arial" w:hAnsi="Arial" w:cs="Arial"/>
                <w:i/>
                <w:noProof/>
                <w:sz w:val="20"/>
                <w:szCs w:val="20"/>
              </w:rPr>
              <w:drawing>
                <wp:inline distT="0" distB="0" distL="0" distR="0">
                  <wp:extent cx="914400" cy="320675"/>
                  <wp:effectExtent l="1905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914400" cy="320675"/>
                          </a:xfrm>
                          <a:prstGeom prst="rect">
                            <a:avLst/>
                          </a:prstGeom>
                          <a:noFill/>
                          <a:ln w="9525">
                            <a:noFill/>
                            <a:miter lim="800000"/>
                            <a:headEnd/>
                            <a:tailEnd/>
                          </a:ln>
                        </pic:spPr>
                      </pic:pic>
                    </a:graphicData>
                  </a:graphic>
                </wp:inline>
              </w:drawing>
            </w:r>
          </w:p>
        </w:tc>
        <w:tc>
          <w:tcPr>
            <w:tcW w:w="2835" w:type="dxa"/>
            <w:shd w:val="clear" w:color="auto" w:fill="FFFFFF"/>
          </w:tcPr>
          <w:p w:rsidR="00D41A9C" w:rsidRPr="002079E2" w:rsidRDefault="00D41A9C" w:rsidP="001D78BA">
            <w:pPr>
              <w:widowControl w:val="0"/>
              <w:autoSpaceDE w:val="0"/>
              <w:autoSpaceDN w:val="0"/>
              <w:adjustRightInd w:val="0"/>
              <w:spacing w:before="120" w:after="0" w:line="240" w:lineRule="auto"/>
              <w:ind w:hanging="2"/>
              <w:rPr>
                <w:rFonts w:ascii="Arial" w:hAnsi="Arial" w:cs="Arial"/>
                <w:b/>
                <w:bCs/>
                <w:i/>
                <w:spacing w:val="-7"/>
                <w:sz w:val="18"/>
                <w:szCs w:val="18"/>
              </w:rPr>
            </w:pPr>
            <w:r w:rsidRPr="002079E2">
              <w:rPr>
                <w:rFonts w:ascii="Arial" w:hAnsi="Arial" w:cs="Arial"/>
                <w:b/>
                <w:bCs/>
                <w:i/>
                <w:iCs/>
                <w:sz w:val="18"/>
                <w:szCs w:val="18"/>
              </w:rPr>
              <w:t>Keyw</w:t>
            </w:r>
            <w:r w:rsidRPr="002079E2">
              <w:rPr>
                <w:rFonts w:ascii="Arial" w:hAnsi="Arial" w:cs="Arial"/>
                <w:b/>
                <w:bCs/>
                <w:i/>
                <w:iCs/>
                <w:spacing w:val="1"/>
                <w:sz w:val="18"/>
                <w:szCs w:val="18"/>
              </w:rPr>
              <w:t>o</w:t>
            </w:r>
            <w:r w:rsidRPr="002079E2">
              <w:rPr>
                <w:rFonts w:ascii="Arial" w:hAnsi="Arial" w:cs="Arial"/>
                <w:b/>
                <w:bCs/>
                <w:i/>
                <w:iCs/>
                <w:spacing w:val="-1"/>
                <w:sz w:val="18"/>
                <w:szCs w:val="18"/>
              </w:rPr>
              <w:t>r</w:t>
            </w:r>
            <w:r w:rsidRPr="002079E2">
              <w:rPr>
                <w:rFonts w:ascii="Arial" w:hAnsi="Arial" w:cs="Arial"/>
                <w:b/>
                <w:bCs/>
                <w:i/>
                <w:iCs/>
                <w:sz w:val="18"/>
                <w:szCs w:val="18"/>
              </w:rPr>
              <w:t>ds</w:t>
            </w:r>
            <w:r w:rsidRPr="002079E2">
              <w:rPr>
                <w:rFonts w:ascii="Arial" w:hAnsi="Arial" w:cs="Arial"/>
                <w:b/>
                <w:bCs/>
                <w:i/>
                <w:sz w:val="18"/>
                <w:szCs w:val="18"/>
              </w:rPr>
              <w:t>:</w:t>
            </w:r>
            <w:r w:rsidRPr="002079E2">
              <w:rPr>
                <w:rFonts w:ascii="Arial" w:hAnsi="Arial" w:cs="Arial"/>
                <w:b/>
                <w:bCs/>
                <w:i/>
                <w:spacing w:val="-7"/>
                <w:sz w:val="18"/>
                <w:szCs w:val="18"/>
              </w:rPr>
              <w:t xml:space="preserve"> </w:t>
            </w:r>
          </w:p>
          <w:p w:rsidR="00D41A9C" w:rsidRDefault="00F37CD6" w:rsidP="00D41A9C">
            <w:pPr>
              <w:widowControl w:val="0"/>
              <w:tabs>
                <w:tab w:val="left" w:pos="9020"/>
              </w:tabs>
              <w:autoSpaceDE w:val="0"/>
              <w:autoSpaceDN w:val="0"/>
              <w:adjustRightInd w:val="0"/>
              <w:spacing w:after="0" w:line="240" w:lineRule="auto"/>
              <w:rPr>
                <w:rFonts w:ascii="Arial" w:hAnsi="Arial" w:cs="Arial"/>
                <w:i/>
                <w:position w:val="-1"/>
                <w:sz w:val="18"/>
                <w:szCs w:val="18"/>
              </w:rPr>
            </w:pPr>
            <w:r w:rsidRPr="00F37CD6">
              <w:rPr>
                <w:rFonts w:ascii="Arial" w:hAnsi="Arial" w:cs="Arial"/>
                <w:i/>
                <w:position w:val="-1"/>
                <w:sz w:val="18"/>
                <w:szCs w:val="18"/>
                <w:lang w:val="id-ID"/>
              </w:rPr>
              <w:t xml:space="preserve">Sustainable Competitiveness; Community Empowerment; Success Factors; SMEs </w:t>
            </w:r>
          </w:p>
          <w:p w:rsidR="00F37CD6" w:rsidRPr="00F37CD6" w:rsidRDefault="00F37CD6" w:rsidP="00D41A9C">
            <w:pPr>
              <w:widowControl w:val="0"/>
              <w:tabs>
                <w:tab w:val="left" w:pos="9020"/>
              </w:tabs>
              <w:autoSpaceDE w:val="0"/>
              <w:autoSpaceDN w:val="0"/>
              <w:adjustRightInd w:val="0"/>
              <w:spacing w:after="0" w:line="240" w:lineRule="auto"/>
              <w:rPr>
                <w:rFonts w:ascii="Arial" w:hAnsi="Arial" w:cs="Arial"/>
                <w:i/>
                <w:sz w:val="18"/>
                <w:szCs w:val="18"/>
              </w:rPr>
            </w:pPr>
          </w:p>
          <w:p w:rsidR="00D41A9C" w:rsidRPr="00132885" w:rsidRDefault="00D41A9C" w:rsidP="00D41A9C">
            <w:pPr>
              <w:widowControl w:val="0"/>
              <w:tabs>
                <w:tab w:val="left" w:pos="9020"/>
              </w:tabs>
              <w:autoSpaceDE w:val="0"/>
              <w:autoSpaceDN w:val="0"/>
              <w:adjustRightInd w:val="0"/>
              <w:spacing w:after="0" w:line="240" w:lineRule="auto"/>
              <w:rPr>
                <w:rFonts w:ascii="Arial" w:hAnsi="Arial" w:cs="Arial"/>
                <w:b/>
                <w:i/>
                <w:sz w:val="18"/>
                <w:szCs w:val="18"/>
              </w:rPr>
            </w:pPr>
            <w:r w:rsidRPr="00132885">
              <w:rPr>
                <w:rFonts w:ascii="Arial" w:hAnsi="Arial" w:cs="Arial"/>
                <w:b/>
                <w:i/>
                <w:sz w:val="18"/>
                <w:szCs w:val="18"/>
              </w:rPr>
              <w:t>Article History:</w:t>
            </w:r>
          </w:p>
          <w:p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Received: </w:t>
            </w:r>
          </w:p>
          <w:p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Revised: </w:t>
            </w:r>
          </w:p>
          <w:p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Accepted: </w:t>
            </w:r>
          </w:p>
          <w:p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Published: </w:t>
            </w:r>
          </w:p>
          <w:p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rPr>
            </w:pPr>
          </w:p>
          <w:p w:rsidR="00D41A9C" w:rsidRPr="00132885" w:rsidRDefault="00D41A9C" w:rsidP="00D41A9C">
            <w:pPr>
              <w:widowControl w:val="0"/>
              <w:tabs>
                <w:tab w:val="left" w:pos="9020"/>
              </w:tabs>
              <w:autoSpaceDE w:val="0"/>
              <w:autoSpaceDN w:val="0"/>
              <w:adjustRightInd w:val="0"/>
              <w:spacing w:after="0" w:line="240" w:lineRule="auto"/>
              <w:ind w:hanging="2"/>
              <w:rPr>
                <w:rFonts w:ascii="Arial" w:hAnsi="Arial" w:cs="Arial"/>
                <w:b/>
                <w:i/>
                <w:sz w:val="18"/>
                <w:szCs w:val="18"/>
              </w:rPr>
            </w:pPr>
            <w:r w:rsidRPr="00132885">
              <w:rPr>
                <w:rFonts w:ascii="Arial" w:hAnsi="Arial" w:cs="Arial"/>
                <w:b/>
                <w:i/>
                <w:sz w:val="18"/>
                <w:szCs w:val="18"/>
              </w:rPr>
              <w:t>Corresponding Author:</w:t>
            </w:r>
          </w:p>
          <w:p w:rsidR="00D41A9C" w:rsidRPr="00132885" w:rsidRDefault="00F37CD6" w:rsidP="00D41A9C">
            <w:pPr>
              <w:widowControl w:val="0"/>
              <w:tabs>
                <w:tab w:val="left" w:pos="9020"/>
              </w:tabs>
              <w:autoSpaceDE w:val="0"/>
              <w:autoSpaceDN w:val="0"/>
              <w:adjustRightInd w:val="0"/>
              <w:spacing w:after="0" w:line="240" w:lineRule="auto"/>
              <w:ind w:hanging="2"/>
              <w:rPr>
                <w:rFonts w:ascii="Arial" w:hAnsi="Arial" w:cs="Arial"/>
                <w:i/>
                <w:sz w:val="18"/>
                <w:szCs w:val="18"/>
              </w:rPr>
            </w:pPr>
            <w:r>
              <w:rPr>
                <w:rFonts w:ascii="Arial" w:hAnsi="Arial" w:cs="Arial"/>
                <w:i/>
                <w:sz w:val="18"/>
                <w:szCs w:val="18"/>
              </w:rPr>
              <w:t>Hayu Kartika</w:t>
            </w:r>
          </w:p>
          <w:p w:rsidR="00D41A9C" w:rsidRPr="00132885" w:rsidRDefault="00F37CD6" w:rsidP="00D41A9C">
            <w:pPr>
              <w:pStyle w:val="ListParagraph"/>
              <w:tabs>
                <w:tab w:val="left" w:pos="0"/>
              </w:tabs>
              <w:spacing w:after="0" w:line="240" w:lineRule="auto"/>
              <w:ind w:left="0" w:hanging="2"/>
              <w:rPr>
                <w:rFonts w:ascii="Arial" w:hAnsi="Arial" w:cs="Arial"/>
                <w:i/>
                <w:sz w:val="18"/>
                <w:szCs w:val="18"/>
              </w:rPr>
            </w:pPr>
            <w:r>
              <w:rPr>
                <w:rFonts w:ascii="Arial" w:hAnsi="Arial" w:cs="Arial"/>
                <w:i/>
                <w:sz w:val="18"/>
                <w:szCs w:val="18"/>
              </w:rPr>
              <w:t>Doctoral Program in Agroindustrial Engineerin,</w:t>
            </w:r>
            <w:r w:rsidR="00D41A9C" w:rsidRPr="00132885">
              <w:rPr>
                <w:rFonts w:ascii="Arial" w:hAnsi="Arial" w:cs="Arial"/>
                <w:i/>
                <w:sz w:val="18"/>
                <w:szCs w:val="18"/>
              </w:rPr>
              <w:t xml:space="preserve"> Department</w:t>
            </w:r>
            <w:r>
              <w:rPr>
                <w:rFonts w:ascii="Arial" w:hAnsi="Arial" w:cs="Arial"/>
                <w:i/>
                <w:sz w:val="18"/>
                <w:szCs w:val="18"/>
              </w:rPr>
              <w:t xml:space="preserve"> of Agroindustrial Technology</w:t>
            </w:r>
            <w:r w:rsidR="00D41A9C" w:rsidRPr="00132885">
              <w:rPr>
                <w:rFonts w:ascii="Arial" w:hAnsi="Arial" w:cs="Arial"/>
                <w:i/>
                <w:sz w:val="18"/>
                <w:szCs w:val="18"/>
              </w:rPr>
              <w:t xml:space="preserve">, </w:t>
            </w:r>
            <w:r>
              <w:rPr>
                <w:rFonts w:ascii="Arial" w:hAnsi="Arial" w:cs="Arial"/>
                <w:i/>
                <w:sz w:val="18"/>
                <w:szCs w:val="18"/>
              </w:rPr>
              <w:t>Bogor Agricultural University (IPB University)</w:t>
            </w:r>
            <w:r w:rsidR="00D41A9C" w:rsidRPr="00132885">
              <w:rPr>
                <w:rFonts w:ascii="Arial" w:hAnsi="Arial" w:cs="Arial"/>
                <w:i/>
                <w:sz w:val="18"/>
                <w:szCs w:val="18"/>
              </w:rPr>
              <w:t>, Indonesia</w:t>
            </w:r>
          </w:p>
          <w:p w:rsidR="00D41A9C" w:rsidRPr="00132885" w:rsidRDefault="00D41A9C" w:rsidP="00D41A9C">
            <w:pPr>
              <w:pStyle w:val="ListParagraph"/>
              <w:tabs>
                <w:tab w:val="left" w:pos="0"/>
              </w:tabs>
              <w:spacing w:after="0" w:line="240" w:lineRule="auto"/>
              <w:ind w:left="0" w:hanging="2"/>
              <w:rPr>
                <w:rFonts w:ascii="Arial" w:hAnsi="Arial" w:cs="Arial"/>
                <w:i/>
                <w:sz w:val="18"/>
                <w:szCs w:val="18"/>
              </w:rPr>
            </w:pPr>
            <w:r w:rsidRPr="00132885">
              <w:rPr>
                <w:rFonts w:ascii="Arial" w:hAnsi="Arial" w:cs="Arial"/>
                <w:i/>
                <w:sz w:val="18"/>
                <w:szCs w:val="18"/>
              </w:rPr>
              <w:t>Email:</w:t>
            </w:r>
            <w:r w:rsidR="00F37CD6">
              <w:rPr>
                <w:rFonts w:ascii="Arial" w:hAnsi="Arial" w:cs="Arial"/>
                <w:i/>
                <w:sz w:val="18"/>
                <w:szCs w:val="18"/>
              </w:rPr>
              <w:t xml:space="preserve"> </w:t>
            </w:r>
            <w:hyperlink r:id="rId11" w:history="1">
              <w:r w:rsidR="00F37CD6" w:rsidRPr="004C3388">
                <w:rPr>
                  <w:rStyle w:val="Hyperlink"/>
                  <w:rFonts w:ascii="Arial" w:hAnsi="Arial" w:cs="Arial"/>
                  <w:i/>
                  <w:sz w:val="18"/>
                  <w:szCs w:val="18"/>
                </w:rPr>
                <w:t>kartikahayu@apps.ipb.ac.id</w:t>
              </w:r>
            </w:hyperlink>
            <w:r w:rsidR="00F37CD6">
              <w:rPr>
                <w:rFonts w:ascii="Arial" w:hAnsi="Arial" w:cs="Arial"/>
                <w:i/>
                <w:sz w:val="18"/>
                <w:szCs w:val="18"/>
              </w:rPr>
              <w:t xml:space="preserve"> </w:t>
            </w:r>
          </w:p>
          <w:p w:rsidR="00D41A9C" w:rsidRPr="002079E2" w:rsidRDefault="00D41A9C" w:rsidP="001D78BA">
            <w:pPr>
              <w:widowControl w:val="0"/>
              <w:tabs>
                <w:tab w:val="left" w:pos="9020"/>
              </w:tabs>
              <w:autoSpaceDE w:val="0"/>
              <w:autoSpaceDN w:val="0"/>
              <w:adjustRightInd w:val="0"/>
              <w:spacing w:after="0" w:line="240" w:lineRule="auto"/>
              <w:ind w:hanging="2"/>
              <w:rPr>
                <w:rFonts w:ascii="Arial" w:hAnsi="Arial" w:cs="Arial"/>
                <w:sz w:val="18"/>
                <w:szCs w:val="18"/>
              </w:rPr>
            </w:pPr>
          </w:p>
        </w:tc>
      </w:tr>
      <w:bookmarkEnd w:id="0"/>
    </w:tbl>
    <w:p w:rsidR="00D41A9C" w:rsidRDefault="00D41A9C" w:rsidP="008424DD">
      <w:pPr>
        <w:widowControl w:val="0"/>
        <w:tabs>
          <w:tab w:val="left" w:pos="9020"/>
        </w:tabs>
        <w:autoSpaceDE w:val="0"/>
        <w:autoSpaceDN w:val="0"/>
        <w:adjustRightInd w:val="0"/>
        <w:spacing w:after="0" w:line="240" w:lineRule="auto"/>
        <w:jc w:val="center"/>
        <w:rPr>
          <w:rFonts w:ascii="Arial" w:hAnsi="Arial" w:cs="Arial"/>
          <w:sz w:val="20"/>
          <w:szCs w:val="20"/>
        </w:rPr>
      </w:pPr>
    </w:p>
    <w:p w:rsidR="005B7666" w:rsidRDefault="005B7666" w:rsidP="008424DD">
      <w:pPr>
        <w:widowControl w:val="0"/>
        <w:autoSpaceDE w:val="0"/>
        <w:autoSpaceDN w:val="0"/>
        <w:adjustRightInd w:val="0"/>
        <w:spacing w:after="0" w:line="240" w:lineRule="auto"/>
        <w:jc w:val="both"/>
        <w:rPr>
          <w:rFonts w:ascii="Arial" w:hAnsi="Arial" w:cs="Arial"/>
          <w:b/>
          <w:bCs/>
          <w:sz w:val="20"/>
          <w:szCs w:val="20"/>
        </w:rPr>
        <w:sectPr w:rsidR="005B7666" w:rsidSect="002766D1">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1701" w:right="1134" w:bottom="1701" w:left="1701" w:header="680" w:footer="680" w:gutter="0"/>
          <w:cols w:space="720"/>
          <w:titlePg/>
          <w:docGrid w:linePitch="360"/>
        </w:sectPr>
      </w:pPr>
    </w:p>
    <w:p w:rsidR="005B7666" w:rsidRDefault="000E1E9B" w:rsidP="008424DD">
      <w:pPr>
        <w:widowControl w:val="0"/>
        <w:autoSpaceDE w:val="0"/>
        <w:autoSpaceDN w:val="0"/>
        <w:adjustRightInd w:val="0"/>
        <w:spacing w:after="0" w:line="240" w:lineRule="auto"/>
        <w:jc w:val="both"/>
        <w:rPr>
          <w:rFonts w:ascii="Arial" w:hAnsi="Arial" w:cs="Arial"/>
          <w:b/>
          <w:bCs/>
          <w:color w:val="1F4E79"/>
          <w:spacing w:val="-1"/>
          <w:sz w:val="20"/>
          <w:szCs w:val="20"/>
        </w:rPr>
      </w:pPr>
      <w:r w:rsidRPr="005F1C20">
        <w:rPr>
          <w:rFonts w:ascii="Arial" w:hAnsi="Arial" w:cs="Arial"/>
          <w:b/>
          <w:bCs/>
          <w:color w:val="1F4E79"/>
          <w:spacing w:val="-1"/>
          <w:sz w:val="20"/>
          <w:szCs w:val="20"/>
        </w:rPr>
        <w:lastRenderedPageBreak/>
        <w:t>INTRODUCTION</w:t>
      </w:r>
    </w:p>
    <w:p w:rsidR="00505BDA" w:rsidRDefault="00F37CD6" w:rsidP="009C5396">
      <w:pPr>
        <w:widowControl w:val="0"/>
        <w:autoSpaceDE w:val="0"/>
        <w:autoSpaceDN w:val="0"/>
        <w:adjustRightInd w:val="0"/>
        <w:spacing w:after="0" w:line="240" w:lineRule="auto"/>
        <w:ind w:firstLine="567"/>
        <w:jc w:val="both"/>
        <w:rPr>
          <w:rFonts w:ascii="Arial" w:hAnsi="Arial" w:cs="Arial"/>
          <w:sz w:val="20"/>
          <w:szCs w:val="20"/>
        </w:rPr>
      </w:pPr>
      <w:r w:rsidRPr="00F37CD6">
        <w:rPr>
          <w:rFonts w:ascii="Arial" w:hAnsi="Arial" w:cs="Arial"/>
          <w:sz w:val="20"/>
          <w:szCs w:val="20"/>
        </w:rPr>
        <w:t>In the context of Sustainable Competitiveness (SC) in small and medium enterprises (SMEs), the emphasis is on the ability of SMEs to be able to maintain their competitive advantage for a long time and SMEs are required to always be ready to face technological changes and dynamic market competition</w:t>
      </w:r>
      <w:r>
        <w:rPr>
          <w:rFonts w:ascii="Arial" w:hAnsi="Arial" w:cs="Arial"/>
          <w:sz w:val="20"/>
          <w:szCs w:val="20"/>
        </w:rPr>
        <w:t xml:space="preserve"> </w:t>
      </w:r>
      <w:r>
        <w:rPr>
          <w:rFonts w:ascii="Arial" w:eastAsia="Arial" w:hAnsi="Arial" w:cs="Arial"/>
          <w:sz w:val="20"/>
          <w:szCs w:val="20"/>
        </w:rPr>
        <w:fldChar w:fldCharType="begin" w:fldLock="1"/>
      </w:r>
      <w:r>
        <w:rPr>
          <w:rFonts w:ascii="Arial" w:eastAsia="Arial" w:hAnsi="Arial" w:cs="Arial"/>
          <w:sz w:val="20"/>
          <w:szCs w:val="20"/>
        </w:rPr>
        <w:instrText>ADDIN CSL_CITATION {"citationItems":[{"id":"ITEM-1","itemData":{"DOI":"https://doi.org/10.3390/su152316325","abstract":"The main purpose of this research paper is to investigate the role of information and communication technology (ICT) in providing small and medium-sized enterprises (SMEs) with a competitive advantage. To do this, we propose five dimensions to detect ICT (human resources, equipment and devices, databases, software, and networks) and four dimensions (service quality, market control, creativity and development, and operational efficiency) to decide competitive advantage. To achieve this paper’s purposes, a questionnaire was developed to collect data from respondents to a sample of 128 subjects by using the Statistical Package for Social Sciences (SPSS) for the survey data analysis. Several methods have been used in the statistical analysis of the data, including descriptive statistics tests, a normal distribution test (one-sample Kolmogorov–Smirnov test), simple linear regression coefficient (simple regression), variance analysis (one-way ANOVA), and a T-test for independent samples. This study reports a series of findings, underlined by the significant role of ICT with its various dimensions and the competitive advantage of SMEs. This study concludes with several suggestions including that SMEs must increase their investments in ICT components and take more care of creativity and development for the preemption to create new services.","author":[{"dropping-particle":"","family":"Kahouli","given":"Bassem","non-dropping-particle":"","parse-names":false,"suffix":""},{"dropping-particle":"","family":"Nafla","given":"Amine","non-dropping-particle":"","parse-names":false,"suffix":""},{"dropping-particle":"","family":"Chaaben","given":"Nahla","non-dropping-particle":"","parse-names":false,"suffix":""}],"container-title":"Sustainability","id":"ITEM-1","issue":"16325","issued":{"date-parts":[["2023"]]},"page":"1-19","title":"Exploring the Influence of the Information and Communication Technology Dimensions on the Sustainability of Competitiveness in Small and Medium-sized Enterprises in the Hail Region","type":"article-journal","volume":"15"},"uris":["http://www.mendeley.com/documents/?uuid=043dbef2-37b9-4610-8f19-1d2b1bdba940"]}],"mendeley":{"formattedCitation":"[1]","plainTextFormattedCitation":"[1]","previouslyFormattedCitation":"[1]"},"properties":{"noteIndex":0},"schema":"https://github.com/citation-style-language/schema/raw/master/csl-citation.json"}</w:instrText>
      </w:r>
      <w:r>
        <w:rPr>
          <w:rFonts w:ascii="Arial" w:eastAsia="Arial" w:hAnsi="Arial" w:cs="Arial"/>
          <w:sz w:val="20"/>
          <w:szCs w:val="20"/>
        </w:rPr>
        <w:fldChar w:fldCharType="separate"/>
      </w:r>
      <w:r w:rsidRPr="00153A00">
        <w:rPr>
          <w:rFonts w:ascii="Arial" w:eastAsia="Arial" w:hAnsi="Arial" w:cs="Arial"/>
          <w:noProof/>
          <w:sz w:val="20"/>
          <w:szCs w:val="20"/>
        </w:rPr>
        <w:t>[1]</w:t>
      </w:r>
      <w:r>
        <w:rPr>
          <w:rFonts w:ascii="Arial" w:eastAsia="Arial" w:hAnsi="Arial" w:cs="Arial"/>
          <w:sz w:val="20"/>
          <w:szCs w:val="20"/>
        </w:rPr>
        <w:fldChar w:fldCharType="end"/>
      </w:r>
      <w:r w:rsidRPr="00F37CD6">
        <w:rPr>
          <w:rFonts w:ascii="Arial" w:hAnsi="Arial" w:cs="Arial"/>
          <w:sz w:val="20"/>
          <w:szCs w:val="20"/>
        </w:rPr>
        <w:t>.</w:t>
      </w:r>
      <w:r>
        <w:rPr>
          <w:rFonts w:ascii="Arial" w:hAnsi="Arial" w:cs="Arial"/>
          <w:sz w:val="20"/>
          <w:szCs w:val="20"/>
        </w:rPr>
        <w:t xml:space="preserve"> </w:t>
      </w:r>
      <w:r w:rsidRPr="00F37CD6">
        <w:rPr>
          <w:rFonts w:ascii="Arial" w:hAnsi="Arial" w:cs="Arial"/>
          <w:sz w:val="20"/>
          <w:szCs w:val="20"/>
        </w:rPr>
        <w:t>The form of sustainable competitiveness is closely related to the issue of the relationship with the environmental sustainability of SMEs and the existence of innovation in business. Environmental sustainability here is intended as a form of effort by SMEs to minimize negative impacts on the environment by carrying out SME practices that lead to environmentally friendly product results and produce minimal waste</w:t>
      </w:r>
      <w:r>
        <w:rPr>
          <w:rFonts w:ascii="Arial" w:hAnsi="Arial" w:cs="Arial"/>
          <w:sz w:val="20"/>
          <w:szCs w:val="20"/>
        </w:rPr>
        <w:t xml:space="preserve"> </w:t>
      </w:r>
      <w:r>
        <w:rPr>
          <w:rFonts w:ascii="Arial" w:eastAsia="Arial" w:hAnsi="Arial" w:cs="Arial"/>
          <w:sz w:val="20"/>
          <w:szCs w:val="20"/>
        </w:rPr>
        <w:fldChar w:fldCharType="begin" w:fldLock="1"/>
      </w:r>
      <w:r w:rsidR="008516C5">
        <w:rPr>
          <w:rFonts w:ascii="Arial" w:eastAsia="Arial" w:hAnsi="Arial" w:cs="Arial"/>
          <w:sz w:val="20"/>
          <w:szCs w:val="20"/>
        </w:rPr>
        <w:instrText>ADDIN CSL_CITATION {"citationItems":[{"id":"ITEM-1","itemData":{"DOI":"https://doi.org/10.3389/fenvs.2024.1348994","author":[{"dropping-particle":"","family":"Sohu","given":"Jan Muhammad","non-dropping-particle":"","parse-names":false,"suffix":""},{"dropping-particle":"","family":"Hongyun","given":"Tian","non-dropping-particle":"","parse-names":false,"suffix":""},{"dropping-particle":"","family":"Junejo","given":"Ikramuddin","non-dropping-particle":"","parse-names":false,"suffix":""},{"dropping-particle":"","family":"Akhtar","given":"Sadaf","non-dropping-particle":"","parse-names":false,"suffix":""},{"dropping-particle":"","family":"Ejaz","given":"Faisal","non-dropping-particle":"","parse-names":false,"suffix":""},{"dropping-particle":"","family":"Dunay","given":"Anna","non-dropping-particle":"","parse-names":false,"suffix":""},{"dropping-particle":"","family":"Hossain","given":"Billal","non-dropping-particle":"","parse-names":false,"suffix":""}],"container-title":"Frontiers in Environmental Science","id":"ITEM-1","issue":"February","issued":{"date-parts":[["2024"]]},"page":"1-13","title":"Driving sustainable competitiveness : unveiling the nexus of green intellectual capital and environmental regulations on greening SME performance","type":"article-journal"},"uris":["http://www.mendeley.com/documents/?uuid=902f3cdc-9d05-44e9-9926-cf5ae89292ca"]}],"mendeley":{"formattedCitation":"[2]","plainTextFormattedCitation":"[2]","previouslyFormattedCitation":"[2]"},"properties":{"noteIndex":0},"schema":"https://github.com/citation-style-language/schema/raw/master/csl-citation.json"}</w:instrText>
      </w:r>
      <w:r>
        <w:rPr>
          <w:rFonts w:ascii="Arial" w:eastAsia="Arial" w:hAnsi="Arial" w:cs="Arial"/>
          <w:sz w:val="20"/>
          <w:szCs w:val="20"/>
        </w:rPr>
        <w:fldChar w:fldCharType="separate"/>
      </w:r>
      <w:r w:rsidRPr="004D44A2">
        <w:rPr>
          <w:rFonts w:ascii="Arial" w:eastAsia="Arial" w:hAnsi="Arial" w:cs="Arial"/>
          <w:noProof/>
          <w:sz w:val="20"/>
          <w:szCs w:val="20"/>
        </w:rPr>
        <w:t>[2]</w:t>
      </w:r>
      <w:r>
        <w:rPr>
          <w:rFonts w:ascii="Arial" w:eastAsia="Arial" w:hAnsi="Arial" w:cs="Arial"/>
          <w:sz w:val="20"/>
          <w:szCs w:val="20"/>
        </w:rPr>
        <w:fldChar w:fldCharType="end"/>
      </w:r>
      <w:r w:rsidRPr="00F37CD6">
        <w:rPr>
          <w:rFonts w:ascii="Arial" w:hAnsi="Arial" w:cs="Arial"/>
          <w:sz w:val="20"/>
          <w:szCs w:val="20"/>
        </w:rPr>
        <w:t>.</w:t>
      </w:r>
      <w:r w:rsidR="002C0D36">
        <w:rPr>
          <w:rFonts w:ascii="Arial" w:hAnsi="Arial" w:cs="Arial"/>
          <w:sz w:val="20"/>
          <w:szCs w:val="20"/>
        </w:rPr>
        <w:t xml:space="preserve"> </w:t>
      </w:r>
      <w:r w:rsidR="002C0D36" w:rsidRPr="002C0D36">
        <w:rPr>
          <w:rFonts w:ascii="Arial" w:hAnsi="Arial" w:cs="Arial"/>
          <w:sz w:val="20"/>
          <w:szCs w:val="20"/>
        </w:rPr>
        <w:t xml:space="preserve">In </w:t>
      </w:r>
      <w:r w:rsidR="002C0D36" w:rsidRPr="002C0D36">
        <w:rPr>
          <w:rFonts w:ascii="Arial" w:hAnsi="Arial" w:cs="Arial"/>
          <w:sz w:val="20"/>
          <w:szCs w:val="20"/>
        </w:rPr>
        <w:lastRenderedPageBreak/>
        <w:t>achieving sustainable competitiveness, SMEs require an integrated implementation of Environmental, Social, and Governance (ESG) so that this integration can reduce environmental impacts and increase operational efficiency, SMEs' reputation, and competitiveness in the global market</w:t>
      </w:r>
      <w:r w:rsidR="002C0D36">
        <w:rPr>
          <w:rFonts w:ascii="Arial" w:hAnsi="Arial" w:cs="Arial"/>
          <w:sz w:val="20"/>
          <w:szCs w:val="20"/>
        </w:rPr>
        <w:t xml:space="preserve"> </w:t>
      </w:r>
      <w:r w:rsidR="002C0D36">
        <w:rPr>
          <w:rFonts w:ascii="Arial" w:eastAsia="Arial" w:hAnsi="Arial" w:cs="Arial"/>
          <w:sz w:val="20"/>
          <w:szCs w:val="20"/>
        </w:rPr>
        <w:fldChar w:fldCharType="begin" w:fldLock="1"/>
      </w:r>
      <w:r w:rsidR="002C0D36">
        <w:rPr>
          <w:rFonts w:ascii="Arial" w:eastAsia="Arial" w:hAnsi="Arial" w:cs="Arial"/>
          <w:sz w:val="20"/>
          <w:szCs w:val="20"/>
        </w:rPr>
        <w:instrText>ADDIN CSL_CITATION {"citationItems":[{"id":"ITEM-1","itemData":{"DOI":"https://doi.org/10.24294/jipd.v8i12.8934","ISSN":"25727931","abstract":"The significant climate change the planet has faced in recent decades has prompted global leaders, policymakers, business leaders, environmentalists, academics, and scientists from around the world to unite their efforts since 1987 around sustainable development. This development not only promotes economic sustainability but also environmental, social, and corporate sustainability, where clean production, responsible consumption, and sustainable infrastructures prevail. In this context, the present article aims to propose a development framework for sustainability in food sector SMEs, which includes Life Cycle Assessment (LCA) and the integration of Environmental, Social, and Governance (ESG) strategies as key elements to reduce CO2 emissions and improve operational efficiency. The methodology includes a comparative analysis of strategies implemented between 2019 and 2023, supported by quantitative data showing a 20% reduction in operating costs, a 10% increase in market share, and a 25% increase in productivity for companies that adopted clean technologies. This study offers a significant contribution to the field of corporate sustainability, providing a model that is adaptable and applicable across different regions, enhancing innovation and business resilience in a global context that requires collective efforts to achieve the sustainable development goals.","author":[{"dropping-particle":"","family":"Pinedo-López","given":"Jhon","non-dropping-particle":"","parse-names":false,"suffix":""},{"dropping-particle":"","family":"Baena-Navarro","given":"Rubén","non-dropping-particle":"","parse-names":false,"suffix":""},{"dropping-particle":"","family":"Carriazo-Regino","given":"Yulieth","non-dropping-particle":"","parse-names":false,"suffix":""},{"dropping-particle":"","family":"Urrea-Ortiz","given":"Adriana","non-dropping-particle":"","parse-names":false,"suffix":""},{"dropping-particle":"","family":"Reyes-Guevara","given":"Diana","non-dropping-particle":"","parse-names":false,"suffix":""}],"container-title":"Journal of Infrastructure, Policy and Development","id":"ITEM-1","issue":"12","issued":{"date-parts":[["2024"]]},"page":"1-30","title":"Sustainability strategies: A proposal for food sector SMEs, based on the integration of life cycle assessment and ESG strategies","type":"article-journal","volume":"8"},"uris":["http://www.mendeley.com/documents/?uuid=30884c61-e18e-4c01-9993-bfd213a38150"]}],"mendeley":{"formattedCitation":"[3]","plainTextFormattedCitation":"[3]","previouslyFormattedCitation":"[3]"},"properties":{"noteIndex":0},"schema":"https://github.com/citation-style-language/schema/raw/master/csl-citation.json"}</w:instrText>
      </w:r>
      <w:r w:rsidR="002C0D36">
        <w:rPr>
          <w:rFonts w:ascii="Arial" w:eastAsia="Arial" w:hAnsi="Arial" w:cs="Arial"/>
          <w:sz w:val="20"/>
          <w:szCs w:val="20"/>
        </w:rPr>
        <w:fldChar w:fldCharType="separate"/>
      </w:r>
      <w:r w:rsidR="002C0D36" w:rsidRPr="002B3B81">
        <w:rPr>
          <w:rFonts w:ascii="Arial" w:eastAsia="Arial" w:hAnsi="Arial" w:cs="Arial"/>
          <w:noProof/>
          <w:sz w:val="20"/>
          <w:szCs w:val="20"/>
        </w:rPr>
        <w:t>[3]</w:t>
      </w:r>
      <w:r w:rsidR="002C0D36">
        <w:rPr>
          <w:rFonts w:ascii="Arial" w:eastAsia="Arial" w:hAnsi="Arial" w:cs="Arial"/>
          <w:sz w:val="20"/>
          <w:szCs w:val="20"/>
        </w:rPr>
        <w:fldChar w:fldCharType="end"/>
      </w:r>
      <w:r w:rsidR="002C0D36">
        <w:rPr>
          <w:rFonts w:ascii="Arial" w:eastAsia="Arial" w:hAnsi="Arial" w:cs="Arial"/>
          <w:sz w:val="20"/>
          <w:szCs w:val="20"/>
        </w:rPr>
        <w:fldChar w:fldCharType="begin" w:fldLock="1"/>
      </w:r>
      <w:r w:rsidR="002C0D36">
        <w:rPr>
          <w:rFonts w:ascii="Arial" w:eastAsia="Arial" w:hAnsi="Arial" w:cs="Arial"/>
          <w:sz w:val="20"/>
          <w:szCs w:val="20"/>
        </w:rPr>
        <w:instrText>ADDIN CSL_CITATION {"citationItems":[{"id":"ITEM-1","itemData":{"DOI":"https://doi.org/10.3390/su16114377","ISSN":"20711050","abstract":"This paper investigates the incorporation of sustainable development within the Portuguese agri-food sector amid global environmental and resource challenges. It underscores the role of the Sustainable Development Goals (SDGs) and environmental, social, and governance (ESG) criteria in steering businesses towards sustainable practices. Through qualitative analysis, in-depth interviews with managers and experts explored sustainable business model adoption, highlighting SMEs’ unique challenges. The study reveals a divergence in sustainability practice maturity, advocating for integration into organizational culture and strategy. It points out SMEs’ reactive stance due to resource constraints and external pressures, contrasting with larger firms’ proactive approaches. The research supports a strategic reevaluation of business models for sustainability, emphasizing innovation, leadership, organizational commitment, and transparent communication. Practical contributions include embedding sustainability into core operations, enhancing competitiveness, fostering sustainable organizational culture, prioritizing employee well-being, and leveraging innovative marketing for sustainability communication. Recognizing its limitations, this study advocates exploring blockchain and AI for transparency, leadership’s role in sustainable models, and the importance of marketing in the agri-food sector for sustainable management. Insights indicate that innovation and strategic partnerships are crucial for enhancing organizational sustainability and achieving the SDGs.","author":[{"dropping-particle":"","family":"Camelo","given":"Gonçalo","non-dropping-particle":"","parse-names":false,"suffix":""},{"dropping-particle":"","family":"Nogueira","given":"Mafalda","non-dropping-particle":"","parse-names":false,"suffix":""}],"container-title":"Sustainability (Switzerland)","id":"ITEM-1","issue":"11","issued":{"date-parts":[["2024"]]},"title":"The ESG Menu: Integrating Sustainable Practices in the Portuguese Agri-Food Sector","type":"article-journal","volume":"16"},"uris":["http://www.mendeley.com/documents/?uuid=a509d32a-b739-4e9a-8b7c-acda6a44c797"]}],"mendeley":{"formattedCitation":"[4]","plainTextFormattedCitation":"[4]","previouslyFormattedCitation":"[4]"},"properties":{"noteIndex":0},"schema":"https://github.com/citation-style-language/schema/raw/master/csl-citation.json"}</w:instrText>
      </w:r>
      <w:r w:rsidR="002C0D36">
        <w:rPr>
          <w:rFonts w:ascii="Arial" w:eastAsia="Arial" w:hAnsi="Arial" w:cs="Arial"/>
          <w:sz w:val="20"/>
          <w:szCs w:val="20"/>
        </w:rPr>
        <w:fldChar w:fldCharType="separate"/>
      </w:r>
      <w:r w:rsidR="002C0D36" w:rsidRPr="001B0F69">
        <w:rPr>
          <w:rFonts w:ascii="Arial" w:eastAsia="Arial" w:hAnsi="Arial" w:cs="Arial"/>
          <w:noProof/>
          <w:sz w:val="20"/>
          <w:szCs w:val="20"/>
        </w:rPr>
        <w:t>[4]</w:t>
      </w:r>
      <w:r w:rsidR="002C0D36">
        <w:rPr>
          <w:rFonts w:ascii="Arial" w:eastAsia="Arial" w:hAnsi="Arial" w:cs="Arial"/>
          <w:sz w:val="20"/>
          <w:szCs w:val="20"/>
        </w:rPr>
        <w:fldChar w:fldCharType="end"/>
      </w:r>
      <w:r w:rsidR="002C0D36" w:rsidRPr="002C0D36">
        <w:rPr>
          <w:rFonts w:ascii="Arial" w:hAnsi="Arial" w:cs="Arial"/>
          <w:sz w:val="20"/>
          <w:szCs w:val="20"/>
        </w:rPr>
        <w:t>.</w:t>
      </w:r>
    </w:p>
    <w:p w:rsidR="007B5DF1" w:rsidRDefault="002C0D36" w:rsidP="009C5396">
      <w:pPr>
        <w:widowControl w:val="0"/>
        <w:autoSpaceDE w:val="0"/>
        <w:autoSpaceDN w:val="0"/>
        <w:adjustRightInd w:val="0"/>
        <w:spacing w:after="0" w:line="240" w:lineRule="auto"/>
        <w:ind w:firstLine="567"/>
        <w:jc w:val="both"/>
        <w:rPr>
          <w:rFonts w:ascii="Arial" w:eastAsia="Arial" w:hAnsi="Arial" w:cs="Arial"/>
          <w:sz w:val="20"/>
          <w:szCs w:val="20"/>
        </w:rPr>
      </w:pPr>
      <w:r w:rsidRPr="002C0D36">
        <w:rPr>
          <w:rFonts w:ascii="Arial" w:hAnsi="Arial" w:cs="Arial"/>
          <w:sz w:val="20"/>
          <w:szCs w:val="20"/>
        </w:rPr>
        <w:t>Sustainable competitiveness not only influences the increase in economic profits of SMEs but also serves as a foundation for strengthening resilience in running a business that will face market changes and environmental policies</w:t>
      </w:r>
      <w:r w:rsidR="00E32328">
        <w:rPr>
          <w:rFonts w:ascii="Arial" w:hAnsi="Arial" w:cs="Arial"/>
          <w:sz w:val="20"/>
          <w:szCs w:val="20"/>
        </w:rPr>
        <w:t xml:space="preserve"> </w:t>
      </w:r>
      <w:r w:rsidR="00E32328">
        <w:rPr>
          <w:rFonts w:ascii="Arial" w:eastAsia="Arial" w:hAnsi="Arial" w:cs="Arial"/>
          <w:sz w:val="20"/>
          <w:szCs w:val="20"/>
        </w:rPr>
        <w:fldChar w:fldCharType="begin" w:fldLock="1"/>
      </w:r>
      <w:r w:rsidR="00E32328">
        <w:rPr>
          <w:rFonts w:ascii="Arial" w:eastAsia="Arial" w:hAnsi="Arial" w:cs="Arial"/>
          <w:sz w:val="20"/>
          <w:szCs w:val="20"/>
        </w:rPr>
        <w:instrText>ADDIN CSL_CITATION {"citationItems":[{"id":"ITEM-1","itemData":{"DOI":"https://doi.org/10.3390/su141912505","ISSN":"20711050","abstract":"In the extremely competitive business environment typical of the 20th century, small and medium-sized enterprises have had to face countless challenges. As time progressed, digitization and the development of information and communication technology has had increasing impacts on the lives of both individuals and businesses. Now, from an organizational point of view, social media has become a corporate strategic tool the significant role of which is indisputable. The relevance of our study can be found in the fact that social media is now one of the most popular solutions if the goal of a business is to reach a specific target audience, to receive feedback about products/services, and to initiate the immediate communication that contributes to the loyalty of consumers and customers in the long term, as well as to take advantage of cost-effective advertising opportunities. The primary goal of our research is to provide the reader with a comprehensive picture of the thinking in the SME sector regarding the corporate application of social media. In our study, following a comprehensive literature review related to the topic, we use primary data collection to examine small and medium-sized enterprises operating in Hungary and Slovakia. The reason for choosing the subjects of the research is that, taking into account the territorial size of the regions under investigation, similar districts were selected, and the regions have similar numbers of businesses engaged in economic activity. The investigation process covers two regions in the two selected countries, examining a total of 1114 enterprises. Before starting our research, two hypotheses were defined. In order to test the correctness of the hypotheses, we performed statistical analyses using the SPSS program, specifically the Mantel–Haenszel test and the chi-square test. Considering the results, the hypotheses formulated by the authors proved to be correct in the case of both countries. As a result, it can be stated that the success of traditional marketing tools used before the online space greatly influences the extent to which businesses feel their presence in social media is important.","author":[{"dropping-particle":"","family":"Korcsmáros","given":"Enikő","non-dropping-particle":"","parse-names":false,"suffix":""},{"dropping-particle":"","family":"Csinger","given":"Bence","non-dropping-particle":"","parse-names":false,"suffix":""}],"container-title":"Sustainability (Switzerland)","id":"ITEM-1","issue":"19","issued":{"date-parts":[["2022"]]},"page":"1-18","title":"Sustainable Competitiveness in the Case of SMEs—Opportunities Provided by Social Media in an International Comparison","type":"article-journal","volume":"14"},"uris":["http://www.mendeley.com/documents/?uuid=21bbe036-b1e7-44e5-9211-ec5ffd7659db"]}],"mendeley":{"formattedCitation":"[5]","plainTextFormattedCitation":"[5]","previouslyFormattedCitation":"[5]"},"properties":{"noteIndex":0},"schema":"https://github.com/citation-style-language/schema/raw/master/csl-citation.json"}</w:instrText>
      </w:r>
      <w:r w:rsidR="00E32328">
        <w:rPr>
          <w:rFonts w:ascii="Arial" w:eastAsia="Arial" w:hAnsi="Arial" w:cs="Arial"/>
          <w:sz w:val="20"/>
          <w:szCs w:val="20"/>
        </w:rPr>
        <w:fldChar w:fldCharType="separate"/>
      </w:r>
      <w:r w:rsidR="00E32328" w:rsidRPr="001B0F69">
        <w:rPr>
          <w:rFonts w:ascii="Arial" w:eastAsia="Arial" w:hAnsi="Arial" w:cs="Arial"/>
          <w:noProof/>
          <w:sz w:val="20"/>
          <w:szCs w:val="20"/>
        </w:rPr>
        <w:t>[5]</w:t>
      </w:r>
      <w:r w:rsidR="00E32328">
        <w:rPr>
          <w:rFonts w:ascii="Arial" w:eastAsia="Arial" w:hAnsi="Arial" w:cs="Arial"/>
          <w:sz w:val="20"/>
          <w:szCs w:val="20"/>
        </w:rPr>
        <w:fldChar w:fldCharType="end"/>
      </w:r>
      <w:r w:rsidRPr="002C0D36">
        <w:rPr>
          <w:rFonts w:ascii="Arial" w:hAnsi="Arial" w:cs="Arial"/>
          <w:sz w:val="20"/>
          <w:szCs w:val="20"/>
        </w:rPr>
        <w:t>.</w:t>
      </w:r>
      <w:r w:rsidR="00F855D6">
        <w:rPr>
          <w:rFonts w:ascii="Arial" w:hAnsi="Arial" w:cs="Arial"/>
          <w:sz w:val="20"/>
          <w:szCs w:val="20"/>
        </w:rPr>
        <w:t xml:space="preserve"> </w:t>
      </w:r>
      <w:r w:rsidR="00F855D6" w:rsidRPr="00F855D6">
        <w:rPr>
          <w:rFonts w:ascii="Arial" w:hAnsi="Arial" w:cs="Arial"/>
          <w:sz w:val="20"/>
          <w:szCs w:val="20"/>
        </w:rPr>
        <w:t>Dalam konteks ini, Jhon et al</w:t>
      </w:r>
      <w:r w:rsidR="00F855D6">
        <w:rPr>
          <w:rFonts w:ascii="Arial" w:hAnsi="Arial" w:cs="Arial"/>
          <w:sz w:val="20"/>
          <w:szCs w:val="20"/>
        </w:rPr>
        <w:t xml:space="preserve"> </w:t>
      </w:r>
      <w:r w:rsidR="00F855D6">
        <w:rPr>
          <w:rFonts w:ascii="Arial" w:eastAsia="Arial" w:hAnsi="Arial" w:cs="Arial"/>
          <w:sz w:val="20"/>
          <w:szCs w:val="20"/>
        </w:rPr>
        <w:fldChar w:fldCharType="begin" w:fldLock="1"/>
      </w:r>
      <w:r w:rsidR="00F855D6">
        <w:rPr>
          <w:rFonts w:ascii="Arial" w:eastAsia="Arial" w:hAnsi="Arial" w:cs="Arial"/>
          <w:sz w:val="20"/>
          <w:szCs w:val="20"/>
        </w:rPr>
        <w:instrText>ADDIN CSL_CITATION {"citationItems":[{"id":"ITEM-1","itemData":{"DOI":"https://doi.org/10.24294/jipd.v8i12.8934","ISSN":"25727931","abstract":"The significant climate change the planet has faced in recent decades has prompted global leaders, policymakers, business leaders, environmentalists, academics, and scientists from around the world to unite their efforts since 1987 around sustainable development. This development not only promotes economic sustainability but also environmental, social, and corporate sustainability, where clean production, responsible consumption, and sustainable infrastructures prevail. In this context, the present article aims to propose a development framework for sustainability in food sector SMEs, which includes Life Cycle Assessment (LCA) and the integration of Environmental, Social, and Governance (ESG) strategies as key elements to reduce CO2 emissions and improve operational efficiency. The methodology includes a comparative analysis of strategies implemented between 2019 and 2023, supported by quantitative data showing a 20% reduction in operating costs, a 10% increase in market share, and a 25% increase in productivity for companies that adopted clean technologies. This study offers a significant contribution to the field of corporate sustainability, providing a model that is adaptable and applicable across different regions, enhancing innovation and business resilience in a global context that requires collective efforts to achieve the sustainable development goals.","author":[{"dropping-particle":"","family":"Pinedo-López","given":"Jhon","non-dropping-particle":"","parse-names":false,"suffix":""},{"dropping-particle":"","family":"Baena-Navarro","given":"Rubén","non-dropping-particle":"","parse-names":false,"suffix":""},{"dropping-particle":"","family":"Carriazo-Regino","given":"Yulieth","non-dropping-particle":"","parse-names":false,"suffix":""},{"dropping-particle":"","family":"Urrea-Ortiz","given":"Adriana","non-dropping-particle":"","parse-names":false,"suffix":""},{"dropping-particle":"","family":"Reyes-Guevara","given":"Diana","non-dropping-particle":"","parse-names":false,"suffix":""}],"container-title":"Journal of Infrastructure, Policy and Development","id":"ITEM-1","issue":"12","issued":{"date-parts":[["2024"]]},"page":"1-30","title":"Sustainability strategies: A proposal for food sector SMEs, based on the integration of life cycle assessment and ESG strategies","type":"article-journal","volume":"8"},"uris":["http://www.mendeley.com/documents/?uuid=30884c61-e18e-4c01-9993-bfd213a38150"]}],"mendeley":{"formattedCitation":"[3]","plainTextFormattedCitation":"[3]","previouslyFormattedCitation":"[3]"},"properties":{"noteIndex":0},"schema":"https://github.com/citation-style-language/schema/raw/master/csl-citation.json"}</w:instrText>
      </w:r>
      <w:r w:rsidR="00F855D6">
        <w:rPr>
          <w:rFonts w:ascii="Arial" w:eastAsia="Arial" w:hAnsi="Arial" w:cs="Arial"/>
          <w:sz w:val="20"/>
          <w:szCs w:val="20"/>
        </w:rPr>
        <w:fldChar w:fldCharType="separate"/>
      </w:r>
      <w:r w:rsidR="00F855D6" w:rsidRPr="006B020D">
        <w:rPr>
          <w:rFonts w:ascii="Arial" w:eastAsia="Arial" w:hAnsi="Arial" w:cs="Arial"/>
          <w:noProof/>
          <w:sz w:val="20"/>
          <w:szCs w:val="20"/>
        </w:rPr>
        <w:t>[3]</w:t>
      </w:r>
      <w:r w:rsidR="00F855D6">
        <w:rPr>
          <w:rFonts w:ascii="Arial" w:eastAsia="Arial" w:hAnsi="Arial" w:cs="Arial"/>
          <w:sz w:val="20"/>
          <w:szCs w:val="20"/>
        </w:rPr>
        <w:fldChar w:fldCharType="end"/>
      </w:r>
      <w:r w:rsidR="00F855D6">
        <w:rPr>
          <w:rFonts w:ascii="Arial" w:eastAsia="Arial" w:hAnsi="Arial" w:cs="Arial"/>
          <w:sz w:val="20"/>
          <w:szCs w:val="20"/>
        </w:rPr>
        <w:t xml:space="preserve"> r</w:t>
      </w:r>
      <w:r w:rsidR="00F855D6" w:rsidRPr="00F855D6">
        <w:rPr>
          <w:rFonts w:ascii="Arial" w:eastAsia="Arial" w:hAnsi="Arial" w:cs="Arial"/>
          <w:sz w:val="20"/>
          <w:szCs w:val="20"/>
        </w:rPr>
        <w:t xml:space="preserve">esearching the impact of implementing SC, namely reducing operational costs by up to 20% and increasing energy by 30%, increasing brand loyalty and increasing customer satisfaction, and </w:t>
      </w:r>
      <w:r w:rsidR="00F855D6" w:rsidRPr="00F855D6">
        <w:rPr>
          <w:rFonts w:ascii="Arial" w:eastAsia="Arial" w:hAnsi="Arial" w:cs="Arial"/>
          <w:sz w:val="20"/>
          <w:szCs w:val="20"/>
        </w:rPr>
        <w:lastRenderedPageBreak/>
        <w:t>increasing employee loyalty and productivity, in addition, SMEs tend to be more resistant to economic crises and market volatility.</w:t>
      </w:r>
    </w:p>
    <w:p w:rsidR="00F855D6" w:rsidRDefault="00F855D6" w:rsidP="009C5396">
      <w:pPr>
        <w:widowControl w:val="0"/>
        <w:autoSpaceDE w:val="0"/>
        <w:autoSpaceDN w:val="0"/>
        <w:adjustRightInd w:val="0"/>
        <w:spacing w:after="0" w:line="240" w:lineRule="auto"/>
        <w:ind w:firstLine="567"/>
        <w:jc w:val="both"/>
        <w:rPr>
          <w:rFonts w:ascii="Arial" w:hAnsi="Arial" w:cs="Arial"/>
          <w:sz w:val="20"/>
          <w:szCs w:val="20"/>
        </w:rPr>
      </w:pPr>
      <w:r w:rsidRPr="00F855D6">
        <w:rPr>
          <w:rFonts w:ascii="Arial" w:hAnsi="Arial" w:cs="Arial"/>
          <w:sz w:val="20"/>
          <w:szCs w:val="20"/>
        </w:rPr>
        <w:t>Conceptual development related to ESG, especially in the Social (S) pillar, is very important to pay more attention to. So far, many have focused on and emphasized the economic pillar, but the social pillar has not been discussed empirically. The implementation of ESG must be able to have a real social impact, namely: by adopting a relational approach where that aims to improve the welfare of workers, communities, and SMEs in a more sustainable ecosystem</w:t>
      </w:r>
      <w:r>
        <w:rPr>
          <w:rFonts w:ascii="Arial" w:hAnsi="Arial" w:cs="Arial"/>
          <w:sz w:val="20"/>
          <w:szCs w:val="20"/>
        </w:rPr>
        <w:t xml:space="preserve"> </w:t>
      </w:r>
      <w:r>
        <w:rPr>
          <w:rFonts w:ascii="Arial" w:eastAsia="Arial" w:hAnsi="Arial" w:cs="Arial"/>
          <w:sz w:val="20"/>
          <w:szCs w:val="20"/>
        </w:rPr>
        <w:fldChar w:fldCharType="begin" w:fldLock="1"/>
      </w:r>
      <w:r w:rsidR="008516C5">
        <w:rPr>
          <w:rFonts w:ascii="Arial" w:eastAsia="Arial" w:hAnsi="Arial" w:cs="Arial"/>
          <w:sz w:val="20"/>
          <w:szCs w:val="20"/>
        </w:rPr>
        <w:instrText>ADDIN CSL_CITATION {"citationItems":[{"id":"ITEM-1","itemData":{"DOI":"https://doi.org/10.3390/su14159668","ISSN":"20711050","abstract":"ESG frameworks have progressively become central in economic and policy choices. This is why it is of utmost importance to build a shared and accepted framework to define what we really mean by ESG overcoming the “minimalist” Do Not Significantly Harm (DNSH) principle and moving toward the full achievement of the more ambitious substantial contribution (SC) principle, oriented to the maximization of the social and environmental impact of value creation. To move forward in this direction, our work proposes a relational approach for the assessment of ESG factors focusing in particular on the social pillar. Our conceptual and theoretical proposal argues that, in order to increase the value of that pillar, it is necessary to assess both the internal and external relationships of the firm from an impact perspective, improving at the same time the multidimensional well-being of workers and the capacity to create sustainable development in the local community. The main factors companies should consider to achieve these goals are related to the domains of sense of community, empowerment, good practices of mutual aid and degree of participation at individual, team, organization, and territorial levels that can trigger gift giving, reciprocity and trust, overcoming standard social dilemmas and producing superadditive outcomes together with high social and environmental impact. Starting from these elements, this work proposes a set of indicators and metrics, based on an original methodology to measure and assess the commitment of a firm to increasing social factors. This methodology is particularly suitable for SMEs and start-up companies.","author":[{"dropping-particle":"","family":"Becchetti","given":"Leonardo","non-dropping-particle":"","parse-names":false,"suffix":""},{"dropping-particle":"","family":"Bobbio","given":"Emanuele","non-dropping-particle":"","parse-names":false,"suffix":""},{"dropping-particle":"","family":"Prizia","given":"Federico","non-dropping-particle":"","parse-names":false,"suffix":""},{"dropping-particle":"","family":"Semplici","given":"Lorenzo","non-dropping-particle":"","parse-names":false,"suffix":""}],"container-title":"Sustainability (Switzerland)","id":"ITEM-1","issue":"15","issued":{"date-parts":[["2022"]]},"page":"1-22","title":"Going Deeper into the S of ESG: A Relational Approach to the Definition of Social Responsibility","type":"article-journal","volume":"14"},"uris":["http://www.mendeley.com/documents/?uuid=d7efe89a-f792-4f52-bb6a-9de9be355cbb"]}],"mendeley":{"formattedCitation":"[6]","plainTextFormattedCitation":"[6]","previouslyFormattedCitation":"[6]"},"properties":{"noteIndex":0},"schema":"https://github.com/citation-style-language/schema/raw/master/csl-citation.json"}</w:instrText>
      </w:r>
      <w:r>
        <w:rPr>
          <w:rFonts w:ascii="Arial" w:eastAsia="Arial" w:hAnsi="Arial" w:cs="Arial"/>
          <w:sz w:val="20"/>
          <w:szCs w:val="20"/>
        </w:rPr>
        <w:fldChar w:fldCharType="separate"/>
      </w:r>
      <w:r w:rsidRPr="004003FA">
        <w:rPr>
          <w:rFonts w:ascii="Arial" w:eastAsia="Arial" w:hAnsi="Arial" w:cs="Arial"/>
          <w:noProof/>
          <w:sz w:val="20"/>
          <w:szCs w:val="20"/>
        </w:rPr>
        <w:t>[6]</w:t>
      </w:r>
      <w:r>
        <w:rPr>
          <w:rFonts w:ascii="Arial" w:eastAsia="Arial" w:hAnsi="Arial" w:cs="Arial"/>
          <w:sz w:val="20"/>
          <w:szCs w:val="20"/>
        </w:rPr>
        <w:fldChar w:fldCharType="end"/>
      </w:r>
      <w:r w:rsidRPr="00F855D6">
        <w:rPr>
          <w:rFonts w:ascii="Arial" w:hAnsi="Arial" w:cs="Arial"/>
          <w:sz w:val="20"/>
          <w:szCs w:val="20"/>
        </w:rPr>
        <w:t>.</w:t>
      </w:r>
      <w:r>
        <w:rPr>
          <w:rFonts w:ascii="Arial" w:hAnsi="Arial" w:cs="Arial"/>
          <w:sz w:val="20"/>
          <w:szCs w:val="20"/>
        </w:rPr>
        <w:t xml:space="preserve"> </w:t>
      </w:r>
      <w:r w:rsidRPr="00F855D6">
        <w:rPr>
          <w:rFonts w:ascii="Arial" w:hAnsi="Arial" w:cs="Arial"/>
          <w:sz w:val="20"/>
          <w:szCs w:val="20"/>
        </w:rPr>
        <w:t>This rational approach is built in the context of empowerment, the success of community empowerment depends on strong relationships between SMEs, workers and local communities and the empowerment process also requires local potential, empowerment capital, social communities and the capabilities of the actors involved</w:t>
      </w:r>
      <w:r>
        <w:rPr>
          <w:rFonts w:ascii="Arial" w:hAnsi="Arial" w:cs="Arial"/>
          <w:sz w:val="20"/>
          <w:szCs w:val="20"/>
        </w:rPr>
        <w:t xml:space="preserve"> </w:t>
      </w:r>
      <w:r>
        <w:rPr>
          <w:rFonts w:ascii="Arial" w:eastAsia="Arial" w:hAnsi="Arial" w:cs="Arial"/>
          <w:sz w:val="20"/>
          <w:szCs w:val="20"/>
        </w:rPr>
        <w:fldChar w:fldCharType="begin" w:fldLock="1"/>
      </w:r>
      <w:r w:rsidR="008516C5">
        <w:rPr>
          <w:rFonts w:ascii="Arial" w:eastAsia="Arial" w:hAnsi="Arial" w:cs="Arial"/>
          <w:sz w:val="20"/>
          <w:szCs w:val="20"/>
        </w:rPr>
        <w:instrText>ADDIN CSL_CITATION {"citationItems":[{"id":"ITEM-1","itemData":{"DOI":"https://doi.org/10.3390/su14159668","ISSN":"20711050","abstract":"ESG frameworks have progressively become central in economic and policy choices. This is why it is of utmost importance to build a shared and accepted framework to define what we really mean by ESG overcoming the “minimalist” Do Not Significantly Harm (DNSH) principle and moving toward the full achievement of the more ambitious substantial contribution (SC) principle, oriented to the maximization of the social and environmental impact of value creation. To move forward in this direction, our work proposes a relational approach for the assessment of ESG factors focusing in particular on the social pillar. Our conceptual and theoretical proposal argues that, in order to increase the value of that pillar, it is necessary to assess both the internal and external relationships of the firm from an impact perspective, improving at the same time the multidimensional well-being of workers and the capacity to create sustainable development in the local community. The main factors companies should consider to achieve these goals are related to the domains of sense of community, empowerment, good practices of mutual aid and degree of participation at individual, team, organization, and territorial levels that can trigger gift giving, reciprocity and trust, overcoming standard social dilemmas and producing superadditive outcomes together with high social and environmental impact. Starting from these elements, this work proposes a set of indicators and metrics, based on an original methodology to measure and assess the commitment of a firm to increasing social factors. This methodology is particularly suitable for SMEs and start-up companies.","author":[{"dropping-particle":"","family":"Becchetti","given":"Leonardo","non-dropping-particle":"","parse-names":false,"suffix":""},{"dropping-particle":"","family":"Bobbio","given":"Emanuele","non-dropping-particle":"","parse-names":false,"suffix":""},{"dropping-particle":"","family":"Prizia","given":"Federico","non-dropping-particle":"","parse-names":false,"suffix":""},{"dropping-particle":"","family":"Semplici","given":"Lorenzo","non-dropping-particle":"","parse-names":false,"suffix":""}],"container-title":"Sustainability (Switzerland)","id":"ITEM-1","issue":"15","issued":{"date-parts":[["2022"]]},"page":"1-22","title":"Going Deeper into the S of ESG: A Relational Approach to the Definition of Social Responsibility","type":"article-journal","volume":"14"},"uris":["http://www.mendeley.com/documents/?uuid=d7efe89a-f792-4f52-bb6a-9de9be355cbb"]}],"mendeley":{"formattedCitation":"[6]","plainTextFormattedCitation":"[6]","previouslyFormattedCitation":"[6]"},"properties":{"noteIndex":0},"schema":"https://github.com/citation-style-language/schema/raw/master/csl-citation.json"}</w:instrText>
      </w:r>
      <w:r>
        <w:rPr>
          <w:rFonts w:ascii="Arial" w:eastAsia="Arial" w:hAnsi="Arial" w:cs="Arial"/>
          <w:sz w:val="20"/>
          <w:szCs w:val="20"/>
        </w:rPr>
        <w:fldChar w:fldCharType="separate"/>
      </w:r>
      <w:r w:rsidRPr="00A54949">
        <w:rPr>
          <w:rFonts w:ascii="Arial" w:eastAsia="Arial" w:hAnsi="Arial" w:cs="Arial"/>
          <w:noProof/>
          <w:sz w:val="20"/>
          <w:szCs w:val="20"/>
        </w:rPr>
        <w:t>[6]</w:t>
      </w:r>
      <w:r>
        <w:rPr>
          <w:rFonts w:ascii="Arial" w:eastAsia="Arial" w:hAnsi="Arial" w:cs="Arial"/>
          <w:sz w:val="20"/>
          <w:szCs w:val="20"/>
        </w:rPr>
        <w:fldChar w:fldCharType="end"/>
      </w:r>
      <w:r>
        <w:rPr>
          <w:rFonts w:ascii="Arial" w:eastAsia="Arial" w:hAnsi="Arial" w:cs="Arial"/>
          <w:sz w:val="20"/>
          <w:szCs w:val="20"/>
        </w:rPr>
        <w:fldChar w:fldCharType="begin" w:fldLock="1"/>
      </w:r>
      <w:r w:rsidR="008516C5">
        <w:rPr>
          <w:rFonts w:ascii="Arial" w:eastAsia="Arial" w:hAnsi="Arial" w:cs="Arial"/>
          <w:sz w:val="20"/>
          <w:szCs w:val="20"/>
        </w:rPr>
        <w:instrText>ADDIN CSL_CITATION {"citationItems":[{"id":"ITEM-1","itemData":{"DOI":"https://doi.org/10.18280/ijsdp.160315","ISSN":"1743761X","abstract":"The improvement of tapioca production system is one of the solutions to improve the economy of rural communities through the development of cassava inventory as an inexpensive tapioca raw material that can be obtained throughout the year, using appropriate management and strategies. This study aims to determine the order of priority criteria that are influential in determining the steps to improve production system performance. The method used is analysis PLS using six criteria, namely local potential, empowerment capital, social community, empowerment process, community empowerment, the ability of actors. The empirical results of the study show that the highest R-square value is the empowerment process at 61.0 percent. This value indicates that local potential, empowerment capital, social community, and the ability of the actors are able to contribute to the explanation of the empowerment process by 61.1 percent, while 38.9 percent is influenced by other variables. The R-square value on the community empowerment variable is lower than the R-square value for the empowerment process, which is only 42.4 percent. This shows that the variables of local potential, empowerment capital, social community, the ability of empowerment actors, and the empowerment process do not adequately explain community empowerment. From the results of the exploration of the overall influence factors with the PLS analysis mentioned above, it is used to invite people to understand themselves and formulate ideas for developing Gaplek SMEs in the form of a vision with a strategy for achieving them. Based on the empirical results of research through testing the accepted hypothesis with the intervening variable having a significant positive relationship, appropriate mentoring is carried out to focus on the mentoring process with the Participatory Rural Appraisal approach.","author":[{"dropping-particle":"","family":"Hermansyah","given":"Muhammad","non-dropping-particle":"","parse-names":false,"suffix":""},{"dropping-particle":"","family":"Santoso","given":"Imam","non-dropping-particle":"","parse-names":false,"suffix":""},{"dropping-particle":"","family":"Wijana","given":"Susinggih","non-dropping-particle":"","parse-names":false,"suffix":""},{"dropping-particle":"","family":"Sucipto","given":"","non-dropping-particle":"","parse-names":false,"suffix":""},{"dropping-particle":"","family":"Fudholi","given":"Ahmad","non-dropping-particle":"","parse-names":false,"suffix":""}],"container-title":"International Journal of Sustainable Development and Planning","id":"ITEM-1","issue":"3","issued":{"date-parts":[["2021"]]},"page":"543-550","title":"Implementation of Participatory Rural Appraisal (PRA) in empowering gaplek SMEs using Partial Least Square (PLS) analysis","type":"article-journal","volume":"16"},"uris":["http://www.mendeley.com/documents/?uuid=ba82e817-301d-45e2-92ff-c3777cfb5466"]}],"mendeley":{"formattedCitation":"[7]","plainTextFormattedCitation":"[7]","previouslyFormattedCitation":"[7]"},"properties":{"noteIndex":0},"schema":"https://github.com/citation-style-language/schema/raw/master/csl-citation.json"}</w:instrText>
      </w:r>
      <w:r>
        <w:rPr>
          <w:rFonts w:ascii="Arial" w:eastAsia="Arial" w:hAnsi="Arial" w:cs="Arial"/>
          <w:sz w:val="20"/>
          <w:szCs w:val="20"/>
        </w:rPr>
        <w:fldChar w:fldCharType="separate"/>
      </w:r>
      <w:r w:rsidRPr="00A54949">
        <w:rPr>
          <w:rFonts w:ascii="Arial" w:eastAsia="Arial" w:hAnsi="Arial" w:cs="Arial"/>
          <w:noProof/>
          <w:sz w:val="20"/>
          <w:szCs w:val="20"/>
        </w:rPr>
        <w:t>[7]</w:t>
      </w:r>
      <w:r>
        <w:rPr>
          <w:rFonts w:ascii="Arial" w:eastAsia="Arial" w:hAnsi="Arial" w:cs="Arial"/>
          <w:sz w:val="20"/>
          <w:szCs w:val="20"/>
        </w:rPr>
        <w:fldChar w:fldCharType="end"/>
      </w:r>
      <w:r w:rsidRPr="00F855D6">
        <w:rPr>
          <w:rFonts w:ascii="Arial" w:hAnsi="Arial" w:cs="Arial"/>
          <w:sz w:val="20"/>
          <w:szCs w:val="20"/>
        </w:rPr>
        <w:t>.</w:t>
      </w:r>
    </w:p>
    <w:p w:rsidR="00F855D6" w:rsidRDefault="00F41EF6" w:rsidP="009C5396">
      <w:pPr>
        <w:widowControl w:val="0"/>
        <w:autoSpaceDE w:val="0"/>
        <w:autoSpaceDN w:val="0"/>
        <w:adjustRightInd w:val="0"/>
        <w:spacing w:after="0" w:line="240" w:lineRule="auto"/>
        <w:ind w:firstLine="567"/>
        <w:jc w:val="both"/>
        <w:rPr>
          <w:rFonts w:ascii="Arial" w:eastAsia="Arial" w:hAnsi="Arial" w:cs="Arial"/>
          <w:sz w:val="20"/>
          <w:szCs w:val="20"/>
        </w:rPr>
      </w:pPr>
      <w:r w:rsidRPr="00F41EF6">
        <w:rPr>
          <w:rFonts w:ascii="Arial" w:hAnsi="Arial" w:cs="Arial"/>
          <w:sz w:val="20"/>
          <w:szCs w:val="20"/>
        </w:rPr>
        <w:t>Community empowerment is often discussed and used in the context of tourism sector development where the role of local partners or communities is needed to build cooperation and social networks play an important role in the resilience of an organization</w:t>
      </w:r>
      <w:r>
        <w:rPr>
          <w:rFonts w:ascii="Arial" w:hAnsi="Arial" w:cs="Arial"/>
          <w:sz w:val="20"/>
          <w:szCs w:val="20"/>
        </w:rPr>
        <w:t xml:space="preserve"> </w:t>
      </w:r>
      <w:r>
        <w:rPr>
          <w:rFonts w:ascii="Arial" w:eastAsia="Arial" w:hAnsi="Arial" w:cs="Arial"/>
          <w:sz w:val="20"/>
          <w:szCs w:val="20"/>
        </w:rPr>
        <w:fldChar w:fldCharType="begin" w:fldLock="1"/>
      </w:r>
      <w:r w:rsidR="008516C5">
        <w:rPr>
          <w:rFonts w:ascii="Arial" w:eastAsia="Arial" w:hAnsi="Arial" w:cs="Arial"/>
          <w:sz w:val="20"/>
          <w:szCs w:val="20"/>
        </w:rPr>
        <w:instrText>ADDIN CSL_CITATION {"citationItems":[{"id":"ITEM-1","itemData":{"DOI":"https://doi.org/10.21837/pm.v21i25.1225","ISSN":"16756215","abstract":"This paper highlights the key stakeholders' influences on the local community's involvement in CBT development. Further, this paper explores the potential of Penta-Helix multi-stakeholders collaboration as a viable CBT development strategy. Through systematic content analysis, this paper explores the link between CBT, the Penta-Helix development model and how it intertwines with local community wisdom empowerment. This paper identifies three gaps in community-based tourism: i) Shortcomings from the top-down tourism development planning system, ii) the need for more collaboration between the community and the tourism stakeholders and iii) the lack of community local wisdom empowerment. This paper reflects on the nexus between tourism and local community wisdom inclusiveness, particularly in the CBT sustainability realm. This paper highlighted how the Penta-Helix cooperation could be achieved through optimising the community's local wisdom role through collaborative actions by the academics, business, government, and media as tourism core stakeholders.","author":[{"dropping-particle":"","family":"Azwar","given":"Hendri","non-dropping-particle":"","parse-names":false,"suffix":""},{"dropping-particle":"","family":"Hanafiah","given":"Mohd Hafiz","non-dropping-particle":"","parse-names":false,"suffix":""},{"dropping-particle":"","family":"Ghani","given":"Arni Abd","non-dropping-particle":"","parse-names":false,"suffix":""},{"dropping-particle":"","family":"Azinuddin","given":"Muaz","non-dropping-particle":"","parse-names":false,"suffix":""},{"dropping-particle":"","family":"Shariffuddin","given":"Nur Shahirah Mior","non-dropping-particle":"","parse-names":false,"suffix":""}],"container-title":"Planning Malaysia","id":"ITEM-1","issue":"1","issued":{"date-parts":[["2023"]]},"page":"72-88","title":"Community-Based Tourism (Cbt) Moving Forward: Penta Helix Development Strategy Through Community Local Wisdom Empowerment","type":"article-journal","volume":"21"},"uris":["http://www.mendeley.com/documents/?uuid=328e44d4-2b76-4d8e-a8bc-5ebe2ae02548"]}],"mendeley":{"formattedCitation":"[8]","plainTextFormattedCitation":"[8]","previouslyFormattedCitation":"[8]"},"properties":{"noteIndex":0},"schema":"https://github.com/citation-style-language/schema/raw/master/csl-citation.json"}</w:instrText>
      </w:r>
      <w:r>
        <w:rPr>
          <w:rFonts w:ascii="Arial" w:eastAsia="Arial" w:hAnsi="Arial" w:cs="Arial"/>
          <w:sz w:val="20"/>
          <w:szCs w:val="20"/>
        </w:rPr>
        <w:fldChar w:fldCharType="separate"/>
      </w:r>
      <w:r w:rsidRPr="00075B9C">
        <w:rPr>
          <w:rFonts w:ascii="Arial" w:eastAsia="Arial" w:hAnsi="Arial" w:cs="Arial"/>
          <w:noProof/>
          <w:sz w:val="20"/>
          <w:szCs w:val="20"/>
        </w:rPr>
        <w:t>[8]</w:t>
      </w:r>
      <w:r>
        <w:rPr>
          <w:rFonts w:ascii="Arial" w:eastAsia="Arial" w:hAnsi="Arial" w:cs="Arial"/>
          <w:sz w:val="20"/>
          <w:szCs w:val="20"/>
        </w:rPr>
        <w:fldChar w:fldCharType="end"/>
      </w:r>
      <w:r w:rsidRPr="00F41EF6">
        <w:rPr>
          <w:rFonts w:ascii="Arial" w:hAnsi="Arial" w:cs="Arial"/>
          <w:sz w:val="20"/>
          <w:szCs w:val="20"/>
        </w:rPr>
        <w:t>.</w:t>
      </w:r>
      <w:r>
        <w:rPr>
          <w:rFonts w:ascii="Arial" w:hAnsi="Arial" w:cs="Arial"/>
          <w:sz w:val="20"/>
          <w:szCs w:val="20"/>
        </w:rPr>
        <w:t xml:space="preserve"> </w:t>
      </w:r>
      <w:r w:rsidRPr="00F41EF6">
        <w:rPr>
          <w:rFonts w:ascii="Arial" w:hAnsi="Arial" w:cs="Arial"/>
          <w:sz w:val="20"/>
          <w:szCs w:val="20"/>
        </w:rPr>
        <w:t>There is not much discussion of empowerment carried out in the food processing industry sector, but the author found one journal that discussed a sustainable empowerment model in the context of SME development where empowerment here emphasizes the use of resources, access to funding, community involvement where the discussion focuses on the economic, social and environmental dimensions of SMEs</w:t>
      </w:r>
      <w:r>
        <w:rPr>
          <w:rFonts w:ascii="Arial" w:hAnsi="Arial" w:cs="Arial"/>
          <w:sz w:val="20"/>
          <w:szCs w:val="20"/>
        </w:rPr>
        <w:t xml:space="preserve"> </w:t>
      </w:r>
      <w:r>
        <w:rPr>
          <w:rFonts w:ascii="Arial" w:eastAsia="Arial" w:hAnsi="Arial" w:cs="Arial"/>
          <w:sz w:val="20"/>
          <w:szCs w:val="20"/>
        </w:rPr>
        <w:fldChar w:fldCharType="begin" w:fldLock="1"/>
      </w:r>
      <w:r w:rsidR="008516C5">
        <w:rPr>
          <w:rFonts w:ascii="Arial" w:eastAsia="Arial" w:hAnsi="Arial" w:cs="Arial"/>
          <w:sz w:val="20"/>
          <w:szCs w:val="20"/>
        </w:rPr>
        <w:instrText>ADDIN CSL_CITATION {"citationItems":[{"id":"ITEM-1","itemData":{"DOI":"https://doi.org/10.18280/ijsdp.160315","ISSN":"1743761X","abstract":"The improvement of tapioca production system is one of the solutions to improve the economy of rural communities through the development of cassava inventory as an inexpensive tapioca raw material that can be obtained throughout the year, using appropriate management and strategies. This study aims to determine the order of priority criteria that are influential in determining the steps to improve production system performance. The method used is analysis PLS using six criteria, namely local potential, empowerment capital, social community, empowerment process, community empowerment, the ability of actors. The empirical results of the study show that the highest R-square value is the empowerment process at 61.0 percent. This value indicates that local potential, empowerment capital, social community, and the ability of the actors are able to contribute to the explanation of the empowerment process by 61.1 percent, while 38.9 percent is influenced by other variables. The R-square value on the community empowerment variable is lower than the R-square value for the empowerment process, which is only 42.4 percent. This shows that the variables of local potential, empowerment capital, social community, the ability of empowerment actors, and the empowerment process do not adequately explain community empowerment. From the results of the exploration of the overall influence factors with the PLS analysis mentioned above, it is used to invite people to understand themselves and formulate ideas for developing Gaplek SMEs in the form of a vision with a strategy for achieving them. Based on the empirical results of research through testing the accepted hypothesis with the intervening variable having a significant positive relationship, appropriate mentoring is carried out to focus on the mentoring process with the Participatory Rural Appraisal approach.","author":[{"dropping-particle":"","family":"Hermansyah","given":"Muhammad","non-dropping-particle":"","parse-names":false,"suffix":""},{"dropping-particle":"","family":"Santoso","given":"Imam","non-dropping-particle":"","parse-names":false,"suffix":""},{"dropping-particle":"","family":"Wijana","given":"Susinggih","non-dropping-particle":"","parse-names":false,"suffix":""},{"dropping-particle":"","family":"Sucipto","given":"","non-dropping-particle":"","parse-names":false,"suffix":""},{"dropping-particle":"","family":"Fudholi","given":"Ahmad","non-dropping-particle":"","parse-names":false,"suffix":""}],"container-title":"International Journal of Sustainable Development and Planning","id":"ITEM-1","issue":"3","issued":{"date-parts":[["2021"]]},"page":"543-550","title":"Implementation of Participatory Rural Appraisal (PRA) in empowering gaplek SMEs using Partial Least Square (PLS) analysis","type":"article-journal","volume":"16"},"uris":["http://www.mendeley.com/documents/?uuid=ba82e817-301d-45e2-92ff-c3777cfb5466"]}],"mendeley":{"formattedCitation":"[7]","plainTextFormattedCitation":"[7]","previouslyFormattedCitation":"[7]"},"properties":{"noteIndex":0},"schema":"https://github.com/citation-style-language/schema/raw/master/csl-citation.json"}</w:instrText>
      </w:r>
      <w:r>
        <w:rPr>
          <w:rFonts w:ascii="Arial" w:eastAsia="Arial" w:hAnsi="Arial" w:cs="Arial"/>
          <w:sz w:val="20"/>
          <w:szCs w:val="20"/>
        </w:rPr>
        <w:fldChar w:fldCharType="separate"/>
      </w:r>
      <w:r w:rsidRPr="00E75753">
        <w:rPr>
          <w:rFonts w:ascii="Arial" w:eastAsia="Arial" w:hAnsi="Arial" w:cs="Arial"/>
          <w:noProof/>
          <w:sz w:val="20"/>
          <w:szCs w:val="20"/>
        </w:rPr>
        <w:t>[7]</w:t>
      </w:r>
      <w:r>
        <w:rPr>
          <w:rFonts w:ascii="Arial" w:eastAsia="Arial" w:hAnsi="Arial" w:cs="Arial"/>
          <w:sz w:val="20"/>
          <w:szCs w:val="20"/>
        </w:rPr>
        <w:fldChar w:fldCharType="end"/>
      </w:r>
      <w:r w:rsidRPr="00F41EF6">
        <w:rPr>
          <w:rFonts w:ascii="Arial" w:hAnsi="Arial" w:cs="Arial"/>
          <w:sz w:val="20"/>
          <w:szCs w:val="20"/>
        </w:rPr>
        <w:t>.</w:t>
      </w:r>
      <w:r>
        <w:rPr>
          <w:rFonts w:ascii="Arial" w:hAnsi="Arial" w:cs="Arial"/>
          <w:sz w:val="20"/>
          <w:szCs w:val="20"/>
        </w:rPr>
        <w:t xml:space="preserve"> </w:t>
      </w:r>
      <w:r w:rsidRPr="00F41EF6">
        <w:rPr>
          <w:rFonts w:ascii="Arial" w:hAnsi="Arial" w:cs="Arial"/>
          <w:sz w:val="20"/>
          <w:szCs w:val="20"/>
        </w:rPr>
        <w:t xml:space="preserve">The organizational dimension needs to be taken into consideration in the concept of community empowerment in SMEs, this is by the </w:t>
      </w:r>
      <w:r>
        <w:rPr>
          <w:rFonts w:ascii="Arial" w:hAnsi="Arial" w:cs="Arial"/>
          <w:sz w:val="20"/>
          <w:szCs w:val="20"/>
        </w:rPr>
        <w:t xml:space="preserve">research results of Ikhfi et al </w:t>
      </w:r>
      <w:r>
        <w:rPr>
          <w:rFonts w:ascii="Arial" w:eastAsia="Arial" w:hAnsi="Arial" w:cs="Arial"/>
          <w:sz w:val="20"/>
          <w:szCs w:val="20"/>
        </w:rPr>
        <w:fldChar w:fldCharType="begin" w:fldLock="1"/>
      </w:r>
      <w:r w:rsidR="008516C5">
        <w:rPr>
          <w:rFonts w:ascii="Arial" w:eastAsia="Arial" w:hAnsi="Arial" w:cs="Arial"/>
          <w:sz w:val="20"/>
          <w:szCs w:val="20"/>
        </w:rPr>
        <w:instrText>ADDIN CSL_CITATION {"citationItems":[{"id":"ITEM-1","itemData":{"DOI":"https://doi.org/10.1051/e3sconf/202459206013.","ISSN":"22671242","abstract":"Regency development of tourism in Tanjung Lesung, Pandeglang Regency, has been slow due to the suboptimal role of village officials, low awareness among local tourists, inadequate facilities, and the impact of the COVID-19 pandemic. This study aims to analyze the communication strategies employed by the Pandeglang Regency Government in developing tourism in Tanjung Lesung, assess the economic empowerment of the community in the Cikadu tourism village, and formulate more effective communication strategy recommendations. The research approach is qualitative, utilizing a case study method. Data were collected through interviews, observations, and document studies with respondents such as local government officials, community members, and tourism industry players. The study results indicate that integrated communication strategies through both online and offline channels are effective in the development of Cikadu Tourism Village. SMEs, particularly in the production of local batik, play a key role in enhancing tourism appeal and the local economy. Government support in the form of training and promotion strengthens the contributions of SMEs. Key challenges, such as the limited digitalization among SMEs, can be addressed through training and technological support. Adapting communication strategies is crucial to overcoming these local challenges. Collaboration between the government, community, and tourism organizations, as well as economic empowerment of the community, is key to the successful development of tourism in Tanjung Lesung.","author":[{"dropping-particle":"","family":"Imaniah","given":"Ikhfi","non-dropping-particle":"","parse-names":false,"suffix":""},{"dropping-particle":"","family":"Shahreza","given":"Mirza","non-dropping-particle":"","parse-names":false,"suffix":""},{"dropping-particle":"","family":"Purwanto","given":"Eko","non-dropping-particle":"","parse-names":false,"suffix":""}],"container-title":"E3S Web of Conferences","id":"ITEM-1","issued":{"date-parts":[["2024"]]},"page":"1-16","title":"Effective Development communication strategies for enhancing MSME empowerment in the Cikadu Tourism Village, Tanjung Lesung","type":"article-journal","volume":"592"},"uris":["http://www.mendeley.com/documents/?uuid=acd6b922-3e59-4372-9c9a-9d4565ea1837"]}],"mendeley":{"formattedCitation":"[9]","plainTextFormattedCitation":"[9]","previouslyFormattedCitation":"[9]"},"properties":{"noteIndex":0},"schema":"https://github.com/citation-style-language/schema/raw/master/csl-citation.json"}</w:instrText>
      </w:r>
      <w:r>
        <w:rPr>
          <w:rFonts w:ascii="Arial" w:eastAsia="Arial" w:hAnsi="Arial" w:cs="Arial"/>
          <w:sz w:val="20"/>
          <w:szCs w:val="20"/>
        </w:rPr>
        <w:fldChar w:fldCharType="separate"/>
      </w:r>
      <w:r w:rsidRPr="00E75753">
        <w:rPr>
          <w:rFonts w:ascii="Arial" w:eastAsia="Arial" w:hAnsi="Arial" w:cs="Arial"/>
          <w:noProof/>
          <w:sz w:val="20"/>
          <w:szCs w:val="20"/>
        </w:rPr>
        <w:t>[9]</w:t>
      </w:r>
      <w:r>
        <w:rPr>
          <w:rFonts w:ascii="Arial" w:eastAsia="Arial" w:hAnsi="Arial" w:cs="Arial"/>
          <w:sz w:val="20"/>
          <w:szCs w:val="20"/>
        </w:rPr>
        <w:fldChar w:fldCharType="end"/>
      </w:r>
      <w:r w:rsidR="00780A3F">
        <w:rPr>
          <w:rFonts w:ascii="Arial" w:eastAsia="Arial" w:hAnsi="Arial" w:cs="Arial"/>
          <w:sz w:val="20"/>
          <w:szCs w:val="20"/>
        </w:rPr>
        <w:t xml:space="preserve"> </w:t>
      </w:r>
      <w:r w:rsidR="00780A3F" w:rsidRPr="00780A3F">
        <w:rPr>
          <w:rFonts w:ascii="Arial" w:eastAsia="Arial" w:hAnsi="Arial" w:cs="Arial"/>
          <w:sz w:val="20"/>
          <w:szCs w:val="20"/>
        </w:rPr>
        <w:t>which highlights the role of the community involved in all stages starting from the planning stage, implementation and monitoring of activities so that they are not only involved but also have a role in the organization that is formed or established.</w:t>
      </w:r>
      <w:r w:rsidR="00780A3F" w:rsidRPr="00780A3F">
        <w:t xml:space="preserve"> </w:t>
      </w:r>
      <w:r w:rsidR="00780A3F" w:rsidRPr="00780A3F">
        <w:rPr>
          <w:rFonts w:ascii="Arial" w:eastAsia="Arial" w:hAnsi="Arial" w:cs="Arial"/>
          <w:sz w:val="20"/>
          <w:szCs w:val="20"/>
        </w:rPr>
        <w:t>Considering that community empowerment within an organization is one of the things that can increase the sustainable competitiveness of SMEs, where developing an organization or SME is not only focused on internal development, but the organization can also contribute significantly to the external environment which can also have a broad impact on the welfare of the community and surrounding society that can be sustainable.</w:t>
      </w:r>
    </w:p>
    <w:p w:rsidR="00780A3F" w:rsidRDefault="00780A3F" w:rsidP="009C5396">
      <w:pPr>
        <w:widowControl w:val="0"/>
        <w:autoSpaceDE w:val="0"/>
        <w:autoSpaceDN w:val="0"/>
        <w:adjustRightInd w:val="0"/>
        <w:spacing w:after="0" w:line="240" w:lineRule="auto"/>
        <w:ind w:firstLine="567"/>
        <w:jc w:val="both"/>
        <w:rPr>
          <w:rFonts w:ascii="Arial" w:hAnsi="Arial" w:cs="Arial"/>
          <w:sz w:val="20"/>
          <w:szCs w:val="20"/>
        </w:rPr>
      </w:pPr>
      <w:r w:rsidRPr="00780A3F">
        <w:rPr>
          <w:rFonts w:ascii="Arial" w:hAnsi="Arial" w:cs="Arial"/>
          <w:sz w:val="20"/>
          <w:szCs w:val="20"/>
        </w:rPr>
        <w:t>For this reason, this research begins with a systematic review process, where this process is a very important part of creating a view using a systematic approach process in selecting, evaluating, and synthesizing research so that researchers can obtain a conclusion</w:t>
      </w:r>
      <w:r>
        <w:rPr>
          <w:rFonts w:ascii="Arial" w:hAnsi="Arial" w:cs="Arial"/>
          <w:sz w:val="20"/>
          <w:szCs w:val="20"/>
        </w:rPr>
        <w:t xml:space="preserve"> </w:t>
      </w:r>
      <w:r>
        <w:rPr>
          <w:rFonts w:ascii="Arial" w:eastAsia="Arial" w:hAnsi="Arial" w:cs="Arial"/>
          <w:sz w:val="20"/>
          <w:szCs w:val="20"/>
        </w:rPr>
        <w:fldChar w:fldCharType="begin" w:fldLock="1"/>
      </w:r>
      <w:r w:rsidR="008516C5">
        <w:rPr>
          <w:rFonts w:ascii="Arial" w:eastAsia="Arial" w:hAnsi="Arial" w:cs="Arial"/>
          <w:sz w:val="20"/>
          <w:szCs w:val="20"/>
        </w:rPr>
        <w:instrText>ADDIN CSL_CITATION {"citationItems":[{"id":"ITEM-1","itemData":{"DOI":"https://doi.org/10.3390/admsci14110307","ISSN":"20763387","abstract":"Digital transformation (DT) directly influences organizational competitiveness, reshaping value creation and necessitating adaptation across industries. This study investigates how DT redefines strategic imperatives and the mechanisms of value creation within organizations, synthesizing findings from five thematic clusters: “Strategic Management in Digital Transformation of Organizations”, “Emerging Trends in Digital Entrepreneurship and Sustainability”, “Digital Capabilities and Business Model Innovation”, “Digitalization and Transformation of SMEs”, and “Value Creation through Innovation and Digital Transformation”. The analysis uncovers crucial insights, including the shift towards business-to-business (B2B) value-oriented sales, the role of big data analytics in collaborative innovation, and the integration of AI-driven business models across retail, logistics, and healthcare. Strategic alignment between technological advances and organizational goals emerges as essential, especially for SMEs facing resources, regulatory compliance, and skills development challenges. Despite these insights, significant gaps remain. Future research should delve into the underexplored area of cross-industry best practices, particularly how SMEs can leverage digital tools to enhance resilience and adaptability in market volatility. Further investigation into the long-term impacts of digital entrepreneurship on sustainability is recommended, including metrics for measuring social and environmental value creation. Additionally, digital leadership roles, such as Chief Digital Officers, warrant more in-depth examinations to identify how these leaders can navigate the complexities of DT and maximize value co-creation. This systematic literature review and bibliometric analysis aim to consolidate current knowledge, address critical gaps, and lay the groundwork for future studies that support resilient and sustainable growth in an increasingly digital economy.","author":[{"dropping-particle":"","family":"Gouveia","given":"Sónia","non-dropping-particle":"","parse-names":false,"suffix":""},{"dropping-particle":"","family":"la Iglesia","given":"Daniel H.","non-dropping-particle":"de","parse-names":false,"suffix":""},{"dropping-particle":"","family":"Abrantes","given":"José Luís","non-dropping-particle":"","parse-names":false,"suffix":""},{"dropping-particle":"","family":"López Rivero","given":"Alfonso J.","non-dropping-particle":"","parse-names":false,"suffix":""}],"container-title":"Administrative Sciences","id":"ITEM-1","issue":"11","issued":{"date-parts":[["2024"]]},"title":"Transforming Strategy and Value Creation Through Digitalization?","type":"article-journal","volume":"14"},"uris":["http://www.mendeley.com/documents/?uuid=8a4c4d6f-f5e3-4064-abda-7279630cc965"]}],"mendeley":{"formattedCitation":"[10]","plainTextFormattedCitation":"[10]","previouslyFormattedCitation":"[10]"},"properties":{"noteIndex":0},"schema":"https://github.com/citation-style-language/schema/raw/master/csl-citation.json"}</w:instrText>
      </w:r>
      <w:r>
        <w:rPr>
          <w:rFonts w:ascii="Arial" w:eastAsia="Arial" w:hAnsi="Arial" w:cs="Arial"/>
          <w:sz w:val="20"/>
          <w:szCs w:val="20"/>
        </w:rPr>
        <w:fldChar w:fldCharType="separate"/>
      </w:r>
      <w:r w:rsidRPr="00151AAB">
        <w:rPr>
          <w:rFonts w:ascii="Arial" w:eastAsia="Arial" w:hAnsi="Arial" w:cs="Arial"/>
          <w:noProof/>
          <w:sz w:val="20"/>
          <w:szCs w:val="20"/>
        </w:rPr>
        <w:t>[10]</w:t>
      </w:r>
      <w:r>
        <w:rPr>
          <w:rFonts w:ascii="Arial" w:eastAsia="Arial" w:hAnsi="Arial" w:cs="Arial"/>
          <w:sz w:val="20"/>
          <w:szCs w:val="20"/>
        </w:rPr>
        <w:fldChar w:fldCharType="end"/>
      </w:r>
      <w:r w:rsidRPr="00780A3F">
        <w:rPr>
          <w:rFonts w:ascii="Arial" w:hAnsi="Arial" w:cs="Arial"/>
          <w:sz w:val="20"/>
          <w:szCs w:val="20"/>
        </w:rPr>
        <w:t>.</w:t>
      </w:r>
      <w:r>
        <w:rPr>
          <w:rFonts w:ascii="Arial" w:hAnsi="Arial" w:cs="Arial"/>
          <w:sz w:val="20"/>
          <w:szCs w:val="20"/>
        </w:rPr>
        <w:t xml:space="preserve"> </w:t>
      </w:r>
      <w:r w:rsidRPr="00780A3F">
        <w:rPr>
          <w:rFonts w:ascii="Arial" w:hAnsi="Arial" w:cs="Arial"/>
          <w:sz w:val="20"/>
          <w:szCs w:val="20"/>
        </w:rPr>
        <w:t>This research study provides stages by determining research objectives, describing research procedures, and presenting the results using bibiliometric visualization and systematic review analysis that focuses on sustainable competitiveness, community empowerment and key success factors for sustainable SMEs competitiveness.</w:t>
      </w:r>
    </w:p>
    <w:p w:rsidR="00780A3F" w:rsidRPr="00780A3F" w:rsidRDefault="00780A3F" w:rsidP="00780A3F">
      <w:pPr>
        <w:widowControl w:val="0"/>
        <w:autoSpaceDE w:val="0"/>
        <w:autoSpaceDN w:val="0"/>
        <w:adjustRightInd w:val="0"/>
        <w:spacing w:after="0" w:line="240" w:lineRule="auto"/>
        <w:ind w:firstLine="567"/>
        <w:jc w:val="both"/>
        <w:rPr>
          <w:rFonts w:ascii="Arial" w:hAnsi="Arial" w:cs="Arial"/>
          <w:sz w:val="20"/>
          <w:szCs w:val="20"/>
        </w:rPr>
      </w:pPr>
      <w:r w:rsidRPr="00780A3F">
        <w:rPr>
          <w:rFonts w:ascii="Arial" w:hAnsi="Arial" w:cs="Arial"/>
          <w:sz w:val="20"/>
          <w:szCs w:val="20"/>
        </w:rPr>
        <w:t>With the purpose of the study, several research questions (RQ) of this study, namely:</w:t>
      </w:r>
    </w:p>
    <w:p w:rsidR="00780A3F" w:rsidRPr="00780A3F" w:rsidRDefault="00780A3F" w:rsidP="00780A3F">
      <w:pPr>
        <w:widowControl w:val="0"/>
        <w:autoSpaceDE w:val="0"/>
        <w:autoSpaceDN w:val="0"/>
        <w:adjustRightInd w:val="0"/>
        <w:spacing w:after="0" w:line="240" w:lineRule="auto"/>
        <w:ind w:left="567" w:hanging="567"/>
        <w:jc w:val="both"/>
        <w:rPr>
          <w:rFonts w:ascii="Arial" w:hAnsi="Arial" w:cs="Arial"/>
          <w:sz w:val="20"/>
          <w:szCs w:val="20"/>
        </w:rPr>
      </w:pPr>
      <w:r w:rsidRPr="00780A3F">
        <w:rPr>
          <w:rFonts w:ascii="Arial" w:hAnsi="Arial" w:cs="Arial"/>
          <w:sz w:val="20"/>
          <w:szCs w:val="20"/>
        </w:rPr>
        <w:t>RQ1: Current research developments on the topic of sustainable competitiveness through community empowerment in SMEs?</w:t>
      </w:r>
    </w:p>
    <w:p w:rsidR="00780A3F" w:rsidRPr="009C5396" w:rsidRDefault="00780A3F" w:rsidP="00780A3F">
      <w:pPr>
        <w:widowControl w:val="0"/>
        <w:autoSpaceDE w:val="0"/>
        <w:autoSpaceDN w:val="0"/>
        <w:adjustRightInd w:val="0"/>
        <w:spacing w:after="0" w:line="240" w:lineRule="auto"/>
        <w:ind w:left="567" w:hanging="567"/>
        <w:jc w:val="both"/>
        <w:rPr>
          <w:rFonts w:ascii="Arial" w:hAnsi="Arial" w:cs="Arial"/>
          <w:sz w:val="20"/>
          <w:szCs w:val="20"/>
        </w:rPr>
      </w:pPr>
      <w:r w:rsidRPr="00780A3F">
        <w:rPr>
          <w:rFonts w:ascii="Arial" w:hAnsi="Arial" w:cs="Arial"/>
          <w:sz w:val="20"/>
          <w:szCs w:val="20"/>
        </w:rPr>
        <w:t>RQ2: What are the key factors of SMEs' success in creating sustainable competitiveness in SMEs?</w:t>
      </w:r>
    </w:p>
    <w:p w:rsidR="00ED2688" w:rsidRDefault="00ED2688" w:rsidP="008424DD">
      <w:pPr>
        <w:spacing w:after="0" w:line="240" w:lineRule="auto"/>
        <w:jc w:val="both"/>
        <w:rPr>
          <w:rFonts w:ascii="Arial" w:hAnsi="Arial" w:cs="Arial"/>
          <w:b/>
          <w:sz w:val="20"/>
          <w:szCs w:val="20"/>
        </w:rPr>
      </w:pPr>
    </w:p>
    <w:p w:rsidR="00ED2688" w:rsidRPr="005F1C20" w:rsidRDefault="00ED2688" w:rsidP="008424DD">
      <w:pPr>
        <w:spacing w:after="0" w:line="240" w:lineRule="auto"/>
        <w:jc w:val="both"/>
        <w:rPr>
          <w:rFonts w:ascii="Arial" w:hAnsi="Arial" w:cs="Arial"/>
          <w:b/>
          <w:color w:val="1F4E79"/>
          <w:sz w:val="20"/>
          <w:szCs w:val="20"/>
        </w:rPr>
      </w:pPr>
      <w:r w:rsidRPr="005F1C20">
        <w:rPr>
          <w:rFonts w:ascii="Arial" w:hAnsi="Arial" w:cs="Arial"/>
          <w:b/>
          <w:color w:val="1F4E79"/>
          <w:sz w:val="20"/>
          <w:szCs w:val="20"/>
        </w:rPr>
        <w:t>METHOD</w:t>
      </w:r>
    </w:p>
    <w:p w:rsidR="007C395A" w:rsidRDefault="00780A3F" w:rsidP="00C14198">
      <w:pPr>
        <w:spacing w:after="0" w:line="240" w:lineRule="auto"/>
        <w:ind w:firstLine="567"/>
        <w:jc w:val="both"/>
        <w:rPr>
          <w:rFonts w:ascii="Arial" w:hAnsi="Arial" w:cs="Arial"/>
          <w:sz w:val="20"/>
          <w:szCs w:val="20"/>
        </w:rPr>
      </w:pPr>
      <w:r w:rsidRPr="00780A3F">
        <w:rPr>
          <w:rFonts w:ascii="Arial" w:hAnsi="Arial" w:cs="Arial"/>
          <w:sz w:val="20"/>
          <w:szCs w:val="20"/>
        </w:rPr>
        <w:t>The method used in this study uses a systematic literature review, the search was conducted in an electronic database. The systematic review begins with planning using literature references from 5 years ago from now, determining research questions, determining keywords, searching for articles in electronic databases, analyz</w:t>
      </w:r>
      <w:r w:rsidR="00667C93">
        <w:rPr>
          <w:rFonts w:ascii="Arial" w:hAnsi="Arial" w:cs="Arial"/>
          <w:sz w:val="20"/>
          <w:szCs w:val="20"/>
        </w:rPr>
        <w:t>ing data visualization with VOS v</w:t>
      </w:r>
      <w:r w:rsidRPr="00780A3F">
        <w:rPr>
          <w:rFonts w:ascii="Arial" w:hAnsi="Arial" w:cs="Arial"/>
          <w:sz w:val="20"/>
          <w:szCs w:val="20"/>
        </w:rPr>
        <w:t>iewer, and compiling the results of the review.</w:t>
      </w:r>
    </w:p>
    <w:p w:rsidR="00780A3F" w:rsidRPr="00CC08D1" w:rsidRDefault="00780A3F" w:rsidP="00C14198">
      <w:pPr>
        <w:spacing w:after="0" w:line="240" w:lineRule="auto"/>
        <w:ind w:firstLine="567"/>
        <w:jc w:val="both"/>
        <w:rPr>
          <w:rFonts w:ascii="Arial" w:hAnsi="Arial" w:cs="Arial"/>
          <w:sz w:val="20"/>
          <w:szCs w:val="20"/>
        </w:rPr>
      </w:pPr>
    </w:p>
    <w:p w:rsidR="004F2B33" w:rsidRPr="005F1C20" w:rsidRDefault="00F27EFF" w:rsidP="004F2B33">
      <w:pPr>
        <w:spacing w:after="0" w:line="240" w:lineRule="auto"/>
        <w:jc w:val="both"/>
        <w:rPr>
          <w:rFonts w:ascii="Arial" w:hAnsi="Arial" w:cs="Arial"/>
          <w:b/>
          <w:color w:val="1F4E79"/>
          <w:sz w:val="20"/>
          <w:szCs w:val="20"/>
        </w:rPr>
      </w:pPr>
      <w:r>
        <w:rPr>
          <w:rFonts w:ascii="Arial" w:hAnsi="Arial" w:cs="Arial"/>
          <w:b/>
          <w:color w:val="1F4E79"/>
          <w:sz w:val="20"/>
          <w:szCs w:val="20"/>
        </w:rPr>
        <w:t>Search for Information S</w:t>
      </w:r>
      <w:r w:rsidR="00780A3F" w:rsidRPr="00780A3F">
        <w:rPr>
          <w:rFonts w:ascii="Arial" w:hAnsi="Arial" w:cs="Arial"/>
          <w:b/>
          <w:color w:val="1F4E79"/>
          <w:sz w:val="20"/>
          <w:szCs w:val="20"/>
        </w:rPr>
        <w:t>ources</w:t>
      </w:r>
    </w:p>
    <w:p w:rsidR="00780A3F" w:rsidRPr="00780A3F" w:rsidRDefault="00780A3F" w:rsidP="00780A3F">
      <w:pPr>
        <w:spacing w:after="0" w:line="240" w:lineRule="auto"/>
        <w:ind w:firstLine="567"/>
        <w:jc w:val="both"/>
        <w:rPr>
          <w:rFonts w:ascii="Arial" w:hAnsi="Arial" w:cs="Arial"/>
          <w:sz w:val="20"/>
          <w:szCs w:val="20"/>
        </w:rPr>
      </w:pPr>
      <w:r w:rsidRPr="00780A3F">
        <w:rPr>
          <w:rFonts w:ascii="Arial" w:hAnsi="Arial" w:cs="Arial"/>
          <w:sz w:val="20"/>
          <w:szCs w:val="20"/>
        </w:rPr>
        <w:t>The electronic database used in the article search is the Scopus Database. With the following search criteria:</w:t>
      </w:r>
    </w:p>
    <w:p w:rsidR="00780A3F" w:rsidRPr="00780A3F" w:rsidRDefault="00780A3F" w:rsidP="00780A3F">
      <w:pPr>
        <w:spacing w:after="0" w:line="240" w:lineRule="auto"/>
        <w:ind w:left="284" w:hanging="284"/>
        <w:jc w:val="both"/>
        <w:rPr>
          <w:rFonts w:ascii="Arial" w:hAnsi="Arial" w:cs="Arial"/>
          <w:sz w:val="20"/>
          <w:szCs w:val="20"/>
        </w:rPr>
      </w:pPr>
      <w:r w:rsidRPr="00780A3F">
        <w:rPr>
          <w:rFonts w:ascii="Arial" w:hAnsi="Arial" w:cs="Arial"/>
          <w:sz w:val="20"/>
          <w:szCs w:val="20"/>
        </w:rPr>
        <w:t>1. The articles used have a period of 5 years, namely 2021-2025</w:t>
      </w:r>
    </w:p>
    <w:p w:rsidR="00780A3F" w:rsidRPr="00780A3F" w:rsidRDefault="00780A3F" w:rsidP="00780A3F">
      <w:pPr>
        <w:spacing w:after="0" w:line="240" w:lineRule="auto"/>
        <w:ind w:left="284" w:hanging="284"/>
        <w:jc w:val="both"/>
        <w:rPr>
          <w:rFonts w:ascii="Arial" w:hAnsi="Arial" w:cs="Arial"/>
          <w:sz w:val="20"/>
          <w:szCs w:val="20"/>
        </w:rPr>
      </w:pPr>
      <w:r w:rsidRPr="00780A3F">
        <w:rPr>
          <w:rFonts w:ascii="Arial" w:hAnsi="Arial" w:cs="Arial"/>
          <w:sz w:val="20"/>
          <w:szCs w:val="20"/>
        </w:rPr>
        <w:t>2. Using a search using two keywords in the Scopus database, namely sustainable competitiveness of SMEs and community empowerment</w:t>
      </w:r>
    </w:p>
    <w:p w:rsidR="00780A3F" w:rsidRPr="00780A3F" w:rsidRDefault="00780A3F" w:rsidP="00780A3F">
      <w:pPr>
        <w:spacing w:after="0" w:line="240" w:lineRule="auto"/>
        <w:ind w:left="284" w:hanging="284"/>
        <w:jc w:val="both"/>
        <w:rPr>
          <w:rFonts w:ascii="Arial" w:hAnsi="Arial" w:cs="Arial"/>
          <w:sz w:val="20"/>
          <w:szCs w:val="20"/>
        </w:rPr>
      </w:pPr>
      <w:r w:rsidRPr="00780A3F">
        <w:rPr>
          <w:rFonts w:ascii="Arial" w:hAnsi="Arial" w:cs="Arial"/>
          <w:sz w:val="20"/>
          <w:szCs w:val="20"/>
        </w:rPr>
        <w:t>3. The articles used are only those related to sustainable competitiveness and community empowerment in SMEs</w:t>
      </w:r>
    </w:p>
    <w:p w:rsidR="00780A3F" w:rsidRPr="00780A3F" w:rsidRDefault="00780A3F" w:rsidP="00780A3F">
      <w:pPr>
        <w:spacing w:after="0" w:line="240" w:lineRule="auto"/>
        <w:ind w:left="284" w:hanging="284"/>
        <w:jc w:val="both"/>
        <w:rPr>
          <w:rFonts w:ascii="Arial" w:hAnsi="Arial" w:cs="Arial"/>
          <w:sz w:val="20"/>
          <w:szCs w:val="20"/>
        </w:rPr>
      </w:pPr>
      <w:r w:rsidRPr="00780A3F">
        <w:rPr>
          <w:rFonts w:ascii="Arial" w:hAnsi="Arial" w:cs="Arial"/>
          <w:sz w:val="20"/>
          <w:szCs w:val="20"/>
        </w:rPr>
        <w:t>4. The articles used are research articles</w:t>
      </w:r>
    </w:p>
    <w:p w:rsidR="004F2B33" w:rsidRDefault="00780A3F" w:rsidP="00780A3F">
      <w:pPr>
        <w:spacing w:after="0" w:line="240" w:lineRule="auto"/>
        <w:ind w:left="284" w:hanging="284"/>
        <w:jc w:val="both"/>
        <w:rPr>
          <w:rFonts w:ascii="Arial" w:hAnsi="Arial" w:cs="Arial"/>
          <w:sz w:val="20"/>
          <w:szCs w:val="20"/>
        </w:rPr>
      </w:pPr>
      <w:r w:rsidRPr="00780A3F">
        <w:rPr>
          <w:rFonts w:ascii="Arial" w:hAnsi="Arial" w:cs="Arial"/>
          <w:sz w:val="20"/>
          <w:szCs w:val="20"/>
        </w:rPr>
        <w:t>5. The article contains information related to key success factors in implementing sustainable competitiveness in SMEs</w:t>
      </w:r>
    </w:p>
    <w:p w:rsidR="00E77EE0" w:rsidRDefault="00E77EE0" w:rsidP="00780A3F">
      <w:pPr>
        <w:spacing w:after="0" w:line="240" w:lineRule="auto"/>
        <w:ind w:left="284" w:hanging="284"/>
        <w:jc w:val="both"/>
        <w:rPr>
          <w:rFonts w:ascii="Arial" w:hAnsi="Arial" w:cs="Arial"/>
          <w:sz w:val="20"/>
          <w:szCs w:val="20"/>
        </w:rPr>
      </w:pPr>
    </w:p>
    <w:p w:rsidR="00CF2348" w:rsidRPr="00CF2348" w:rsidRDefault="00CF2348" w:rsidP="00CF2348">
      <w:pPr>
        <w:spacing w:after="0" w:line="240" w:lineRule="auto"/>
        <w:ind w:firstLine="567"/>
        <w:jc w:val="both"/>
        <w:rPr>
          <w:rFonts w:ascii="Arial" w:hAnsi="Arial" w:cs="Arial"/>
          <w:sz w:val="20"/>
          <w:szCs w:val="20"/>
        </w:rPr>
      </w:pPr>
      <w:r w:rsidRPr="00CF2348">
        <w:rPr>
          <w:rFonts w:ascii="Arial" w:hAnsi="Arial" w:cs="Arial"/>
          <w:sz w:val="20"/>
          <w:szCs w:val="20"/>
        </w:rPr>
        <w:t>The search begins by determining the main keywords, namely sustainable competitiveness of SMEs and community empowerment. The search uses a database in Scopus with the search string Title-Abstract-Keyword.</w:t>
      </w:r>
    </w:p>
    <w:p w:rsidR="00780A3F" w:rsidRDefault="00CF2348" w:rsidP="00CF2348">
      <w:pPr>
        <w:spacing w:after="0" w:line="240" w:lineRule="auto"/>
        <w:ind w:firstLine="567"/>
        <w:jc w:val="both"/>
        <w:rPr>
          <w:rFonts w:ascii="Arial" w:hAnsi="Arial" w:cs="Arial"/>
          <w:sz w:val="20"/>
          <w:szCs w:val="20"/>
        </w:rPr>
      </w:pPr>
      <w:r w:rsidRPr="00CF2348">
        <w:rPr>
          <w:rFonts w:ascii="Arial" w:hAnsi="Arial" w:cs="Arial"/>
          <w:sz w:val="20"/>
          <w:szCs w:val="20"/>
        </w:rPr>
        <w:t>For the keyword sustainable competitiveness of SMEs with a period span of 2021-2025 which was accessed on March 2, 2025, 266 documents of sustainable competitiveness of SMEs were obtained Figure 1</w:t>
      </w:r>
      <w:r>
        <w:rPr>
          <w:rFonts w:ascii="Arial" w:hAnsi="Arial" w:cs="Arial"/>
          <w:sz w:val="20"/>
          <w:szCs w:val="20"/>
        </w:rPr>
        <w:t>.</w:t>
      </w:r>
    </w:p>
    <w:p w:rsidR="00CF2348" w:rsidRDefault="00CF2348" w:rsidP="00CF2348">
      <w:pPr>
        <w:spacing w:after="0" w:line="240" w:lineRule="auto"/>
        <w:jc w:val="both"/>
        <w:rPr>
          <w:rFonts w:ascii="Arial" w:hAnsi="Arial" w:cs="Arial"/>
          <w:sz w:val="20"/>
          <w:szCs w:val="20"/>
        </w:rPr>
      </w:pPr>
      <w:r w:rsidRPr="00CF2348">
        <w:rPr>
          <w:rFonts w:ascii="Arial" w:hAnsi="Arial" w:cs="Arial"/>
          <w:sz w:val="20"/>
          <w:szCs w:val="20"/>
        </w:rPr>
        <w:drawing>
          <wp:inline distT="0" distB="0" distL="0" distR="0">
            <wp:extent cx="2790230" cy="1742536"/>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2790190" cy="1742511"/>
                    </a:xfrm>
                    <a:prstGeom prst="rect">
                      <a:avLst/>
                    </a:prstGeom>
                    <a:noFill/>
                    <a:ln w="9525">
                      <a:noFill/>
                      <a:miter lim="800000"/>
                      <a:headEnd/>
                      <a:tailEnd/>
                    </a:ln>
                  </pic:spPr>
                </pic:pic>
              </a:graphicData>
            </a:graphic>
          </wp:inline>
        </w:drawing>
      </w:r>
    </w:p>
    <w:p w:rsidR="00CF2348" w:rsidRDefault="00CF2348" w:rsidP="00CF2348">
      <w:pPr>
        <w:spacing w:after="0" w:line="240" w:lineRule="auto"/>
        <w:jc w:val="center"/>
        <w:rPr>
          <w:rFonts w:ascii="Arial" w:hAnsi="Arial" w:cs="Arial"/>
          <w:sz w:val="20"/>
          <w:szCs w:val="20"/>
        </w:rPr>
      </w:pPr>
      <w:r w:rsidRPr="00CF2348">
        <w:rPr>
          <w:rFonts w:ascii="Arial" w:hAnsi="Arial" w:cs="Arial"/>
          <w:sz w:val="20"/>
          <w:szCs w:val="20"/>
        </w:rPr>
        <w:t>Figure 1</w:t>
      </w:r>
      <w:r>
        <w:rPr>
          <w:rFonts w:ascii="Arial" w:hAnsi="Arial" w:cs="Arial"/>
          <w:sz w:val="20"/>
          <w:szCs w:val="20"/>
        </w:rPr>
        <w:t>.</w:t>
      </w:r>
      <w:r w:rsidRPr="00CF2348">
        <w:rPr>
          <w:rFonts w:ascii="Arial" w:hAnsi="Arial" w:cs="Arial"/>
          <w:sz w:val="20"/>
          <w:szCs w:val="20"/>
        </w:rPr>
        <w:t xml:space="preserve"> Articles with the Keywor</w:t>
      </w:r>
      <w:r w:rsidR="00667C93">
        <w:rPr>
          <w:rFonts w:ascii="Arial" w:hAnsi="Arial" w:cs="Arial"/>
          <w:sz w:val="20"/>
          <w:szCs w:val="20"/>
        </w:rPr>
        <w:t>d sustainable competitiveness</w:t>
      </w:r>
      <w:r w:rsidRPr="00CF2348">
        <w:rPr>
          <w:rFonts w:ascii="Arial" w:hAnsi="Arial" w:cs="Arial"/>
          <w:sz w:val="20"/>
          <w:szCs w:val="20"/>
        </w:rPr>
        <w:t xml:space="preserve"> SMEs</w:t>
      </w:r>
    </w:p>
    <w:p w:rsidR="00CF2348" w:rsidRDefault="00CF2348" w:rsidP="00CF2348">
      <w:pPr>
        <w:spacing w:after="0" w:line="240" w:lineRule="auto"/>
        <w:ind w:firstLine="567"/>
        <w:jc w:val="both"/>
        <w:rPr>
          <w:rFonts w:ascii="Arial" w:hAnsi="Arial" w:cs="Arial"/>
          <w:sz w:val="20"/>
          <w:szCs w:val="20"/>
        </w:rPr>
      </w:pPr>
      <w:r w:rsidRPr="00CF2348">
        <w:rPr>
          <w:rFonts w:ascii="Arial" w:hAnsi="Arial" w:cs="Arial"/>
          <w:sz w:val="20"/>
          <w:szCs w:val="20"/>
        </w:rPr>
        <w:t>In Figure 1, it can be seen that the keyword sustainable competitiveness SMEs in the 2021-2025 period is: 42 articles in 2021, 40 articles in 2022, 73 articles in 2023, 95 articles in 2024 and 16 articles in 2025. Note that for 2025 there may be an increase because the data access for this research was carried out on March 5, 2025. From this graph, it can be seen that the discussion of the keyword sustainable competitiveness tends to increase.</w:t>
      </w:r>
    </w:p>
    <w:p w:rsidR="00CF2348" w:rsidRDefault="00CF2348" w:rsidP="00CF2348">
      <w:pPr>
        <w:spacing w:after="0" w:line="240" w:lineRule="auto"/>
        <w:ind w:firstLine="567"/>
        <w:jc w:val="both"/>
        <w:rPr>
          <w:rFonts w:ascii="Arial" w:hAnsi="Arial" w:cs="Arial"/>
          <w:sz w:val="20"/>
          <w:szCs w:val="20"/>
        </w:rPr>
      </w:pPr>
      <w:r w:rsidRPr="00CF2348">
        <w:rPr>
          <w:rFonts w:ascii="Arial" w:hAnsi="Arial" w:cs="Arial"/>
          <w:sz w:val="20"/>
          <w:szCs w:val="20"/>
        </w:rPr>
        <w:t xml:space="preserve">For the keyword </w:t>
      </w:r>
      <w:r w:rsidR="00667C93" w:rsidRPr="00667C93">
        <w:rPr>
          <w:rFonts w:ascii="Arial" w:hAnsi="Arial" w:cs="Arial"/>
          <w:sz w:val="20"/>
          <w:szCs w:val="20"/>
        </w:rPr>
        <w:t>Community Empowerment in SMEs</w:t>
      </w:r>
      <w:r w:rsidRPr="00CF2348">
        <w:rPr>
          <w:rFonts w:ascii="Arial" w:hAnsi="Arial" w:cs="Arial"/>
          <w:sz w:val="20"/>
          <w:szCs w:val="20"/>
        </w:rPr>
        <w:t xml:space="preserve"> with a period spanning 2021-2025, 20 articles were obtained, the number of which can be seen each year in Figure 2.</w:t>
      </w:r>
    </w:p>
    <w:p w:rsidR="00CF2348" w:rsidRDefault="00CF2348" w:rsidP="00CF2348">
      <w:pPr>
        <w:spacing w:after="0" w:line="240" w:lineRule="auto"/>
        <w:jc w:val="both"/>
        <w:rPr>
          <w:rFonts w:ascii="Arial" w:hAnsi="Arial" w:cs="Arial"/>
          <w:sz w:val="20"/>
          <w:szCs w:val="20"/>
        </w:rPr>
      </w:pPr>
      <w:r w:rsidRPr="00CF2348">
        <w:rPr>
          <w:rFonts w:ascii="Arial" w:hAnsi="Arial" w:cs="Arial"/>
          <w:sz w:val="20"/>
          <w:szCs w:val="20"/>
        </w:rPr>
        <w:drawing>
          <wp:inline distT="0" distB="0" distL="0" distR="0">
            <wp:extent cx="2790517" cy="1854680"/>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2790190" cy="1854463"/>
                    </a:xfrm>
                    <a:prstGeom prst="rect">
                      <a:avLst/>
                    </a:prstGeom>
                    <a:noFill/>
                    <a:ln w="9525">
                      <a:noFill/>
                      <a:miter lim="800000"/>
                      <a:headEnd/>
                      <a:tailEnd/>
                    </a:ln>
                  </pic:spPr>
                </pic:pic>
              </a:graphicData>
            </a:graphic>
          </wp:inline>
        </w:drawing>
      </w:r>
    </w:p>
    <w:p w:rsidR="00CF2348" w:rsidRDefault="00CF2348" w:rsidP="00CF2348">
      <w:pPr>
        <w:spacing w:after="0" w:line="240" w:lineRule="auto"/>
        <w:jc w:val="center"/>
        <w:rPr>
          <w:rFonts w:ascii="Arial" w:hAnsi="Arial" w:cs="Arial"/>
          <w:sz w:val="20"/>
          <w:szCs w:val="20"/>
        </w:rPr>
      </w:pPr>
      <w:r w:rsidRPr="00CF2348">
        <w:rPr>
          <w:rFonts w:ascii="Arial" w:hAnsi="Arial" w:cs="Arial"/>
          <w:sz w:val="20"/>
          <w:szCs w:val="20"/>
        </w:rPr>
        <w:t>Figure 2</w:t>
      </w:r>
      <w:r>
        <w:rPr>
          <w:rFonts w:ascii="Arial" w:hAnsi="Arial" w:cs="Arial"/>
          <w:sz w:val="20"/>
          <w:szCs w:val="20"/>
        </w:rPr>
        <w:t xml:space="preserve">. </w:t>
      </w:r>
      <w:r w:rsidRPr="00CF2348">
        <w:rPr>
          <w:rFonts w:ascii="Arial" w:hAnsi="Arial" w:cs="Arial"/>
          <w:sz w:val="20"/>
          <w:szCs w:val="20"/>
        </w:rPr>
        <w:t>Articles with the Keywords Community Empowerment</w:t>
      </w:r>
      <w:r w:rsidR="00667C93">
        <w:rPr>
          <w:rFonts w:ascii="Arial" w:hAnsi="Arial" w:cs="Arial"/>
          <w:sz w:val="20"/>
          <w:szCs w:val="20"/>
        </w:rPr>
        <w:t xml:space="preserve"> in</w:t>
      </w:r>
      <w:r w:rsidR="00F27EFF">
        <w:rPr>
          <w:rFonts w:ascii="Arial" w:hAnsi="Arial" w:cs="Arial"/>
          <w:sz w:val="20"/>
          <w:szCs w:val="20"/>
        </w:rPr>
        <w:t xml:space="preserve"> </w:t>
      </w:r>
      <w:r w:rsidR="00F27EFF" w:rsidRPr="00CF2348">
        <w:rPr>
          <w:rFonts w:ascii="Arial" w:hAnsi="Arial" w:cs="Arial"/>
          <w:sz w:val="20"/>
          <w:szCs w:val="20"/>
        </w:rPr>
        <w:t>SMEs</w:t>
      </w:r>
    </w:p>
    <w:p w:rsidR="00CF2348" w:rsidRDefault="00F27EFF" w:rsidP="00F27EFF">
      <w:pPr>
        <w:spacing w:after="0" w:line="240" w:lineRule="auto"/>
        <w:ind w:firstLine="567"/>
        <w:jc w:val="both"/>
        <w:rPr>
          <w:rFonts w:ascii="Arial" w:hAnsi="Arial" w:cs="Arial"/>
          <w:sz w:val="20"/>
          <w:szCs w:val="20"/>
        </w:rPr>
      </w:pPr>
      <w:r w:rsidRPr="00F27EFF">
        <w:rPr>
          <w:rFonts w:ascii="Arial" w:hAnsi="Arial" w:cs="Arial"/>
          <w:sz w:val="20"/>
          <w:szCs w:val="20"/>
        </w:rPr>
        <w:t>In Figure 2, it can be seen that the second keyword, namely Community Empowerment of SMEs in the 2021-2025 period, is: 6 articles in 2021, 1 article in 2022, 3 articles in 2023, 7 articles in 2024 and 3 articles in 2025. With a note that for 2025 there may be an increase because the data access for this research was carried out on March 5, 2025. From the graph above, it can also be seen that the theme with the keyword community empowerment in SMEs tends to have opportunities to be explored further.</w:t>
      </w:r>
    </w:p>
    <w:p w:rsidR="00F27EFF" w:rsidRDefault="00F27EFF" w:rsidP="00F27EFF">
      <w:pPr>
        <w:spacing w:after="0" w:line="240" w:lineRule="auto"/>
        <w:jc w:val="both"/>
        <w:rPr>
          <w:rFonts w:ascii="Arial" w:hAnsi="Arial" w:cs="Arial"/>
          <w:sz w:val="20"/>
          <w:szCs w:val="20"/>
        </w:rPr>
      </w:pPr>
      <w:r>
        <w:rPr>
          <w:rFonts w:ascii="Arial" w:hAnsi="Arial" w:cs="Arial"/>
          <w:b/>
          <w:color w:val="1F4E79"/>
          <w:sz w:val="20"/>
          <w:szCs w:val="20"/>
        </w:rPr>
        <w:t>Methods</w:t>
      </w:r>
    </w:p>
    <w:p w:rsidR="00F27EFF" w:rsidRDefault="00F27EFF" w:rsidP="00F27EFF">
      <w:pPr>
        <w:pStyle w:val="normal0"/>
        <w:spacing w:after="0" w:line="240" w:lineRule="auto"/>
        <w:ind w:firstLine="567"/>
        <w:jc w:val="both"/>
        <w:rPr>
          <w:rFonts w:ascii="Arial" w:eastAsia="Arial" w:hAnsi="Arial" w:cs="Arial"/>
          <w:sz w:val="20"/>
          <w:szCs w:val="20"/>
        </w:rPr>
      </w:pPr>
      <w:r w:rsidRPr="00F27EFF">
        <w:rPr>
          <w:rFonts w:ascii="Arial" w:hAnsi="Arial" w:cs="Arial"/>
          <w:sz w:val="20"/>
          <w:szCs w:val="20"/>
        </w:rPr>
        <w:t>The collection of study articles carried out article mapping using the bibliometric visualization of Vos Viewer from articles that had undergone a filtering process according to the stages of the Prisma process. Figure 3. Vos viewer is a graphical representation of a bibliometric map that provides an overview of the structure of the scientific field in the form of groups that are located close to each other and have close relationships between clusters</w:t>
      </w:r>
      <w:r>
        <w:rPr>
          <w:rFonts w:ascii="Arial" w:hAnsi="Arial" w:cs="Arial"/>
          <w:sz w:val="20"/>
          <w:szCs w:val="20"/>
        </w:rPr>
        <w:t xml:space="preserve"> </w:t>
      </w:r>
      <w:r>
        <w:rPr>
          <w:rFonts w:ascii="Arial" w:eastAsia="Arial" w:hAnsi="Arial" w:cs="Arial"/>
          <w:sz w:val="20"/>
          <w:szCs w:val="20"/>
        </w:rPr>
        <w:fldChar w:fldCharType="begin" w:fldLock="1"/>
      </w:r>
      <w:r w:rsidR="008516C5">
        <w:rPr>
          <w:rFonts w:ascii="Arial" w:eastAsia="Arial" w:hAnsi="Arial" w:cs="Arial"/>
          <w:sz w:val="20"/>
          <w:szCs w:val="20"/>
        </w:rPr>
        <w:instrText>ADDIN CSL_CITATION {"citationItems":[{"id":"ITEM-1","itemData":{"DOI":"https://doi.org/10.1007/s11192-009-0146-3","ISSN":"01389130","PMID":"20585380","abstract":"We present VOSviewer, a freely available computer program that we have developed for constructing and viewing bibliometric maps. Unlike most computer programs that are used for bibliometric mapping, VOSviewer pays special attention to the graphical representation of bibliometric maps. The functionality of VOSviewer is especially useful for displaying large bibliometric maps in an easy-to-interpret way. The paper consists of three parts. In the first part, an overview of VOSviewer's functionality for displaying bibliometric maps is provided. In the second part, the technical implementation of specific parts of the program is discussed. Finally, in the third part, VOSviewer's ability to handle large maps is demonstrated by using the program to construct and display a co-citation map of 5,000 major scientific journals. © 2009 The Author(s).","author":[{"dropping-particle":"","family":"Eck","given":"Nees Jan","non-dropping-particle":"van","parse-names":false,"suffix":""},{"dropping-particle":"","family":"Waltman","given":"Ludo","non-dropping-particle":"","parse-names":false,"suffix":""}],"container-title":"Scientometrics","id":"ITEM-1","issue":"2","issued":{"date-parts":[["2010"]]},"page":"523-538","title":"Software survey: VOSviewer, a Computer Program for Bibliometric Mapping","type":"article-journal","volume":"84"},"uris":["http://www.mendeley.com/documents/?uuid=d6e673a0-df48-43e8-a5ce-335d7a24d5b4"]}],"mendeley":{"formattedCitation":"[11]","plainTextFormattedCitation":"[11]","previouslyFormattedCitation":"[11]"},"properties":{"noteIndex":0},"schema":"https://github.com/citation-style-language/schema/raw/master/csl-citation.json"}</w:instrText>
      </w:r>
      <w:r>
        <w:rPr>
          <w:rFonts w:ascii="Arial" w:eastAsia="Arial" w:hAnsi="Arial" w:cs="Arial"/>
          <w:sz w:val="20"/>
          <w:szCs w:val="20"/>
        </w:rPr>
        <w:fldChar w:fldCharType="separate"/>
      </w:r>
      <w:r w:rsidRPr="005E49DA">
        <w:rPr>
          <w:rFonts w:ascii="Arial" w:eastAsia="Arial" w:hAnsi="Arial" w:cs="Arial"/>
          <w:noProof/>
          <w:sz w:val="20"/>
          <w:szCs w:val="20"/>
        </w:rPr>
        <w:t>[11]</w:t>
      </w:r>
      <w:r>
        <w:rPr>
          <w:rFonts w:ascii="Arial" w:eastAsia="Arial" w:hAnsi="Arial" w:cs="Arial"/>
          <w:sz w:val="20"/>
          <w:szCs w:val="20"/>
        </w:rPr>
        <w:fldChar w:fldCharType="end"/>
      </w:r>
    </w:p>
    <w:p w:rsidR="00F27EFF" w:rsidRDefault="00F27EFF" w:rsidP="00F27EFF">
      <w:pPr>
        <w:spacing w:after="0" w:line="240" w:lineRule="auto"/>
        <w:ind w:firstLine="567"/>
        <w:jc w:val="both"/>
        <w:rPr>
          <w:rFonts w:ascii="Arial" w:hAnsi="Arial" w:cs="Arial"/>
          <w:sz w:val="20"/>
          <w:szCs w:val="20"/>
        </w:rPr>
      </w:pPr>
      <w:r w:rsidRPr="00F27EFF">
        <w:rPr>
          <w:rFonts w:ascii="Arial" w:hAnsi="Arial" w:cs="Arial"/>
          <w:sz w:val="20"/>
          <w:szCs w:val="20"/>
        </w:rPr>
        <w:t>Determination of study selection was carried out using the PRISMA (Preferred Reporting Items for Systematic Reviews and Meta-Analyses) procedure. This approach helps in the systematic review stages through the process of identification, screening, eligibility, and evaluation of inclusion in the article</w:t>
      </w:r>
      <w:r>
        <w:rPr>
          <w:rFonts w:ascii="Arial" w:hAnsi="Arial" w:cs="Arial"/>
          <w:sz w:val="20"/>
          <w:szCs w:val="20"/>
        </w:rPr>
        <w:t xml:space="preserve"> </w:t>
      </w:r>
      <w:r>
        <w:rPr>
          <w:rFonts w:ascii="Arial" w:eastAsia="Arial" w:hAnsi="Arial" w:cs="Arial"/>
          <w:sz w:val="20"/>
          <w:szCs w:val="20"/>
        </w:rPr>
        <w:fldChar w:fldCharType="begin" w:fldLock="1"/>
      </w:r>
      <w:r w:rsidR="008516C5">
        <w:rPr>
          <w:rFonts w:ascii="Arial" w:eastAsia="Arial" w:hAnsi="Arial" w:cs="Arial"/>
          <w:sz w:val="20"/>
          <w:szCs w:val="20"/>
        </w:rPr>
        <w:instrText>ADDIN CSL_CITATION {"citationItems":[{"id":"ITEM-1","itemData":{"DOI":"https://doi.org/10.1108/s2754-586520230000002007","ISBN":"2754586520","ISSN":"27545873","abstract":"Preferred Reporting Items for Systematic Reviews and Meta-Analyses (PRISMA) is a widely accepted guideline for performing a systematic review (SR) in clinical journals. It not only helps an author to improve the reporting but also assists reviewers and editors in the critical appraisal of available SR. These tools help in achieving reproducibility in research, a major concern in contemporary academic research. But there is a lack of awareness about the approach among management researchers. This chapter attempts to fill this gap using a narrative review of reliable online resources and peer-reviewed articles to discuss the PRISMA guidelines and recent amendments. The chapter further points out the limitations of PRISMA in the review of management literature and suggests measures to overcome that. This piece of literature introduces a reader to the basics of a systematic review using PRISMA as an instrument. One of the significant contributions is to delineate a seven-step strategy to attain reproducibility in the systematic review. The chapter is useful for researchers and academicians in the field of social science and management.","author":[{"dropping-particle":"","family":"Mishra","given":"Vinaytosh","non-dropping-particle":"","parse-names":false,"suffix":""},{"dropping-particle":"","family":"Mishra","given":"Monu Pandey","non-dropping-particle":"","parse-names":false,"suffix":""}],"container-title":"Review of Management Literature","id":"ITEM-1","issued":{"date-parts":[["2023"]]},"page":"125-136","title":"Prisma for Review of Management Literature – Method, Merits, and Limitations – an Academic Review","type":"article-journal","volume":"2"},"uris":["http://www.mendeley.com/documents/?uuid=8e10db79-7589-496b-966d-c0eeac62d4b5"]}],"mendeley":{"formattedCitation":"[12]","plainTextFormattedCitation":"[12]","previouslyFormattedCitation":"[12]"},"properties":{"noteIndex":0},"schema":"https://github.com/citation-style-language/schema/raw/master/csl-citation.json"}</w:instrText>
      </w:r>
      <w:r>
        <w:rPr>
          <w:rFonts w:ascii="Arial" w:eastAsia="Arial" w:hAnsi="Arial" w:cs="Arial"/>
          <w:sz w:val="20"/>
          <w:szCs w:val="20"/>
        </w:rPr>
        <w:fldChar w:fldCharType="separate"/>
      </w:r>
      <w:r w:rsidRPr="005E49DA">
        <w:rPr>
          <w:rFonts w:ascii="Arial" w:eastAsia="Arial" w:hAnsi="Arial" w:cs="Arial"/>
          <w:noProof/>
          <w:sz w:val="20"/>
          <w:szCs w:val="20"/>
        </w:rPr>
        <w:t>[12]</w:t>
      </w:r>
      <w:r>
        <w:rPr>
          <w:rFonts w:ascii="Arial" w:eastAsia="Arial" w:hAnsi="Arial" w:cs="Arial"/>
          <w:sz w:val="20"/>
          <w:szCs w:val="20"/>
        </w:rPr>
        <w:fldChar w:fldCharType="end"/>
      </w:r>
      <w:r>
        <w:rPr>
          <w:rFonts w:ascii="Arial" w:eastAsia="Arial" w:hAnsi="Arial" w:cs="Arial"/>
          <w:sz w:val="20"/>
          <w:szCs w:val="20"/>
        </w:rPr>
        <w:fldChar w:fldCharType="begin" w:fldLock="1"/>
      </w:r>
      <w:r>
        <w:rPr>
          <w:rFonts w:ascii="Arial" w:eastAsia="Arial" w:hAnsi="Arial" w:cs="Arial"/>
          <w:sz w:val="20"/>
          <w:szCs w:val="20"/>
        </w:rPr>
        <w:instrText>ADDIN CSL_CITATION {"citationItems":[{"id":"ITEM-1","itemData":{"DOI":"https://doi.org/10.24294/jipd.v8i12.8934","ISSN":"25727931","abstract":"The significant climate change the planet has faced in recent decades has prompted global leaders, policymakers, business leaders, environmentalists, academics, and scientists from around the world to unite their efforts since 1987 around sustainable development. This development not only promotes economic sustainability but also environmental, social, and corporate sustainability, where clean production, responsible consumption, and sustainable infrastructures prevail. In this context, the present article aims to propose a development framework for sustainability in food sector SMEs, which includes Life Cycle Assessment (LCA) and the integration of Environmental, Social, and Governance (ESG) strategies as key elements to reduce CO2 emissions and improve operational efficiency. The methodology includes a comparative analysis of strategies implemented between 2019 and 2023, supported by quantitative data showing a 20% reduction in operating costs, a 10% increase in market share, and a 25% increase in productivity for companies that adopted clean technologies. This study offers a significant contribution to the field of corporate sustainability, providing a model that is adaptable and applicable across different regions, enhancing innovation and business resilience in a global context that requires collective efforts to achieve the sustainable development goals.","author":[{"dropping-particle":"","family":"Pinedo-López","given":"Jhon","non-dropping-particle":"","parse-names":false,"suffix":""},{"dropping-particle":"","family":"Baena-Navarro","given":"Rubén","non-dropping-particle":"","parse-names":false,"suffix":""},{"dropping-particle":"","family":"Carriazo-Regino","given":"Yulieth","non-dropping-particle":"","parse-names":false,"suffix":""},{"dropping-particle":"","family":"Urrea-Ortiz","given":"Adriana","non-dropping-particle":"","parse-names":false,"suffix":""},{"dropping-particle":"","family":"Reyes-Guevara","given":"Diana","non-dropping-particle":"","parse-names":false,"suffix":""}],"container-title":"Journal of Infrastructure, Policy and Development","id":"ITEM-1","issue":"12","issued":{"date-parts":[["2024"]]},"page":"1-30","title":"Sustainability strategies: A proposal for food sector SMEs, based on the integration of life cycle assessment and ESG strategies","type":"article-journal","volume":"8"},"uris":["http://www.mendeley.com/documents/?uuid=30884c61-e18e-4c01-9993-bfd213a38150"]}],"mendeley":{"formattedCitation":"[3]","plainTextFormattedCitation":"[3]","previouslyFormattedCitation":"[3]"},"properties":{"noteIndex":0},"schema":"https://github.com/citation-style-language/schema/raw/master/csl-citation.json"}</w:instrText>
      </w:r>
      <w:r>
        <w:rPr>
          <w:rFonts w:ascii="Arial" w:eastAsia="Arial" w:hAnsi="Arial" w:cs="Arial"/>
          <w:sz w:val="20"/>
          <w:szCs w:val="20"/>
        </w:rPr>
        <w:fldChar w:fldCharType="separate"/>
      </w:r>
      <w:r w:rsidRPr="00E87970">
        <w:rPr>
          <w:rFonts w:ascii="Arial" w:eastAsia="Arial" w:hAnsi="Arial" w:cs="Arial"/>
          <w:noProof/>
          <w:sz w:val="20"/>
          <w:szCs w:val="20"/>
        </w:rPr>
        <w:t>[3]</w:t>
      </w:r>
      <w:r>
        <w:rPr>
          <w:rFonts w:ascii="Arial" w:eastAsia="Arial" w:hAnsi="Arial" w:cs="Arial"/>
          <w:sz w:val="20"/>
          <w:szCs w:val="20"/>
        </w:rPr>
        <w:fldChar w:fldCharType="end"/>
      </w:r>
      <w:r w:rsidRPr="00F27EFF">
        <w:rPr>
          <w:rFonts w:ascii="Arial" w:hAnsi="Arial" w:cs="Arial"/>
          <w:sz w:val="20"/>
          <w:szCs w:val="20"/>
        </w:rPr>
        <w:t>.</w:t>
      </w:r>
    </w:p>
    <w:p w:rsidR="00F27EFF" w:rsidRDefault="00F27EFF" w:rsidP="00F27EFF">
      <w:pPr>
        <w:spacing w:after="0" w:line="240" w:lineRule="auto"/>
        <w:ind w:firstLine="567"/>
        <w:jc w:val="both"/>
        <w:rPr>
          <w:rFonts w:ascii="Arial" w:hAnsi="Arial" w:cs="Arial"/>
          <w:sz w:val="20"/>
          <w:szCs w:val="20"/>
        </w:rPr>
      </w:pPr>
    </w:p>
    <w:p w:rsidR="00A91376" w:rsidRDefault="00F27EFF" w:rsidP="00F27EFF">
      <w:pPr>
        <w:spacing w:after="0" w:line="240" w:lineRule="auto"/>
        <w:jc w:val="center"/>
        <w:rPr>
          <w:rFonts w:ascii="Arial" w:hAnsi="Arial" w:cs="Arial"/>
          <w:b/>
          <w:sz w:val="20"/>
          <w:szCs w:val="20"/>
        </w:rPr>
      </w:pPr>
      <w:r w:rsidRPr="00F27EFF">
        <w:rPr>
          <w:rFonts w:ascii="Arial" w:hAnsi="Arial" w:cs="Arial"/>
          <w:b/>
          <w:sz w:val="20"/>
          <w:szCs w:val="20"/>
        </w:rPr>
        <w:drawing>
          <wp:inline distT="0" distB="0" distL="0" distR="0">
            <wp:extent cx="2744208" cy="3251200"/>
            <wp:effectExtent l="19050" t="0" r="0" b="0"/>
            <wp:docPr id="7" name="Picture 5" descr="C:\Users\ASUS\Downloads\penyaringan jurnal alur.drawi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penyaringan jurnal alur.drawio (1).png"/>
                    <pic:cNvPicPr>
                      <a:picLocks noChangeAspect="1" noChangeArrowheads="1"/>
                    </pic:cNvPicPr>
                  </pic:nvPicPr>
                  <pic:blipFill>
                    <a:blip r:embed="rId20"/>
                    <a:srcRect/>
                    <a:stretch>
                      <a:fillRect/>
                    </a:stretch>
                  </pic:blipFill>
                  <pic:spPr bwMode="auto">
                    <a:xfrm>
                      <a:off x="0" y="0"/>
                      <a:ext cx="2749707" cy="3257715"/>
                    </a:xfrm>
                    <a:prstGeom prst="rect">
                      <a:avLst/>
                    </a:prstGeom>
                    <a:noFill/>
                    <a:ln w="9525">
                      <a:noFill/>
                      <a:miter lim="800000"/>
                      <a:headEnd/>
                      <a:tailEnd/>
                    </a:ln>
                  </pic:spPr>
                </pic:pic>
              </a:graphicData>
            </a:graphic>
          </wp:inline>
        </w:drawing>
      </w:r>
    </w:p>
    <w:p w:rsidR="00F27EFF" w:rsidRPr="00F27EFF" w:rsidRDefault="00F27EFF" w:rsidP="00F27EFF">
      <w:pPr>
        <w:spacing w:after="0" w:line="240" w:lineRule="auto"/>
        <w:jc w:val="center"/>
        <w:rPr>
          <w:rFonts w:ascii="Arial" w:hAnsi="Arial" w:cs="Arial"/>
          <w:sz w:val="20"/>
          <w:szCs w:val="20"/>
        </w:rPr>
      </w:pPr>
      <w:r w:rsidRPr="00F27EFF">
        <w:rPr>
          <w:rFonts w:ascii="Arial" w:hAnsi="Arial" w:cs="Arial"/>
          <w:sz w:val="20"/>
          <w:szCs w:val="20"/>
        </w:rPr>
        <w:t>Figure 3. Article Screening Process</w:t>
      </w:r>
    </w:p>
    <w:p w:rsidR="00F27EFF" w:rsidRDefault="00F27EFF" w:rsidP="008424DD">
      <w:pPr>
        <w:spacing w:after="0" w:line="240" w:lineRule="auto"/>
        <w:jc w:val="both"/>
        <w:rPr>
          <w:rFonts w:ascii="Arial" w:hAnsi="Arial" w:cs="Arial"/>
          <w:b/>
          <w:color w:val="1F4E79"/>
          <w:sz w:val="20"/>
          <w:szCs w:val="20"/>
        </w:rPr>
      </w:pPr>
    </w:p>
    <w:p w:rsidR="00F27EFF" w:rsidRDefault="00F27EFF" w:rsidP="00F27EFF">
      <w:pPr>
        <w:spacing w:after="0" w:line="240" w:lineRule="auto"/>
        <w:ind w:firstLine="567"/>
        <w:jc w:val="both"/>
        <w:rPr>
          <w:rFonts w:ascii="Arial" w:hAnsi="Arial" w:cs="Arial"/>
          <w:sz w:val="20"/>
          <w:szCs w:val="20"/>
        </w:rPr>
      </w:pPr>
      <w:r w:rsidRPr="00F27EFF">
        <w:rPr>
          <w:rFonts w:ascii="Arial" w:hAnsi="Arial" w:cs="Arial"/>
          <w:sz w:val="20"/>
          <w:szCs w:val="20"/>
        </w:rPr>
        <w:t>The article screening used in the review process follows the rules of the PRISMA stages. Figure 3 shows that there are 3 stages of the screening flow, namely the identification stage, the article screening stage, and the articles included in the review.</w:t>
      </w:r>
    </w:p>
    <w:p w:rsidR="002051DE" w:rsidRDefault="002051DE" w:rsidP="00F27EFF">
      <w:pPr>
        <w:spacing w:after="0" w:line="240" w:lineRule="auto"/>
        <w:ind w:firstLine="567"/>
        <w:jc w:val="both"/>
        <w:rPr>
          <w:rFonts w:ascii="Arial" w:hAnsi="Arial" w:cs="Arial"/>
          <w:sz w:val="20"/>
          <w:szCs w:val="20"/>
        </w:rPr>
      </w:pPr>
      <w:r w:rsidRPr="002051DE">
        <w:rPr>
          <w:rFonts w:ascii="Arial" w:hAnsi="Arial" w:cs="Arial"/>
          <w:sz w:val="20"/>
          <w:szCs w:val="20"/>
        </w:rPr>
        <w:t>An important part of the identification stage is determining keywords by creating the right combination of keywords in searching for literature in the database</w:t>
      </w:r>
      <w:r>
        <w:rPr>
          <w:rFonts w:ascii="Arial" w:hAnsi="Arial" w:cs="Arial"/>
          <w:sz w:val="20"/>
          <w:szCs w:val="20"/>
        </w:rPr>
        <w:t xml:space="preserve"> </w:t>
      </w:r>
      <w:r>
        <w:rPr>
          <w:rFonts w:ascii="Arial" w:eastAsia="Arial" w:hAnsi="Arial" w:cs="Arial"/>
          <w:sz w:val="20"/>
          <w:szCs w:val="20"/>
        </w:rPr>
        <w:fldChar w:fldCharType="begin" w:fldLock="1"/>
      </w:r>
      <w:r w:rsidR="008516C5">
        <w:rPr>
          <w:rFonts w:ascii="Arial" w:eastAsia="Arial" w:hAnsi="Arial" w:cs="Arial"/>
          <w:sz w:val="20"/>
          <w:szCs w:val="20"/>
        </w:rPr>
        <w:instrText>ADDIN CSL_CITATION {"citationItems":[{"id":"ITEM-1","itemData":{"DOI":"https://doi.org/10.1007/s11365-020-00635-4","ISSN":"15551938","abstract":"Systematic literature reviews are an increasingly used review methodology to synthesize the existing body of literature in a field. However, editors complain about a high number of desk rejections because of a lack in quality. Poorly developed review articles are not published because of a perceived lack of contribution to the field. Our article supports authors of standalone papers and graduate students in the Entrepreneurship domain to write contribution-focused systematic reviews e.g. by providing a concrete guideline. Our article analyzes the strengths and weaknesses of a systematic literature review and how they can be overcome. Furthermore, we provide a combined list of highly ranked journals in the Entrepreneurship domain as a basis for quality appraisal. Finally, this article builds a scenario for the future of the systematic literature review methodology and shows how technological improvements have changed this methodology and what can be achieved in the future.","author":[{"dropping-particle":"","family":"Kraus","given":"Sascha","non-dropping-particle":"","parse-names":false,"suffix":""},{"dropping-particle":"","family":"Breier","given":"Matthias","non-dropping-particle":"","parse-names":false,"suffix":""},{"dropping-particle":"","family":"Dasí-Rodríguez","given":"Sonia","non-dropping-particle":"","parse-names":false,"suffix":""}],"container-title":"International Entrepreneurship and Management Journal","id":"ITEM-1","issue":"3","issued":{"date-parts":[["2020"]]},"page":"1023-1042","title":"The art of crafting a systematic literature review in entrepreneurship research","type":"article-journal","volume":"16"},"uris":["http://www.mendeley.com/documents/?uuid=bd26abb4-5f43-414e-b63c-a87e4d1b4362"]}],"mendeley":{"formattedCitation":"[13]","plainTextFormattedCitation":"[13]","previouslyFormattedCitation":"[13]"},"properties":{"noteIndex":0},"schema":"https://github.com/citation-style-language/schema/raw/master/csl-citation.json"}</w:instrText>
      </w:r>
      <w:r>
        <w:rPr>
          <w:rFonts w:ascii="Arial" w:eastAsia="Arial" w:hAnsi="Arial" w:cs="Arial"/>
          <w:sz w:val="20"/>
          <w:szCs w:val="20"/>
        </w:rPr>
        <w:fldChar w:fldCharType="separate"/>
      </w:r>
      <w:r w:rsidRPr="00E77E81">
        <w:rPr>
          <w:rFonts w:ascii="Arial" w:eastAsia="Arial" w:hAnsi="Arial" w:cs="Arial"/>
          <w:noProof/>
          <w:sz w:val="20"/>
          <w:szCs w:val="20"/>
        </w:rPr>
        <w:t>[13]</w:t>
      </w:r>
      <w:r>
        <w:rPr>
          <w:rFonts w:ascii="Arial" w:eastAsia="Arial" w:hAnsi="Arial" w:cs="Arial"/>
          <w:sz w:val="20"/>
          <w:szCs w:val="20"/>
        </w:rPr>
        <w:fldChar w:fldCharType="end"/>
      </w:r>
      <w:r w:rsidRPr="002051DE">
        <w:rPr>
          <w:rFonts w:ascii="Arial" w:hAnsi="Arial" w:cs="Arial"/>
          <w:sz w:val="20"/>
          <w:szCs w:val="20"/>
        </w:rPr>
        <w:t>.</w:t>
      </w:r>
      <w:r>
        <w:rPr>
          <w:rFonts w:ascii="Arial" w:hAnsi="Arial" w:cs="Arial"/>
          <w:sz w:val="20"/>
          <w:szCs w:val="20"/>
        </w:rPr>
        <w:t xml:space="preserve"> T</w:t>
      </w:r>
      <w:r w:rsidRPr="002051DE">
        <w:rPr>
          <w:rFonts w:ascii="Arial" w:hAnsi="Arial" w:cs="Arial"/>
          <w:sz w:val="20"/>
          <w:szCs w:val="20"/>
        </w:rPr>
        <w:t>he search was conducted on the Scopus database conducted in March 2025 by considering the terms: “Sustainable Competitiveness SMEs</w:t>
      </w:r>
      <w:r>
        <w:rPr>
          <w:rFonts w:ascii="Arial" w:hAnsi="Arial" w:cs="Arial"/>
          <w:sz w:val="20"/>
          <w:szCs w:val="20"/>
        </w:rPr>
        <w:t>", “Community Empowermen</w:t>
      </w:r>
      <w:r w:rsidR="00667C93">
        <w:rPr>
          <w:rFonts w:ascii="Arial" w:hAnsi="Arial" w:cs="Arial"/>
          <w:sz w:val="20"/>
          <w:szCs w:val="20"/>
        </w:rPr>
        <w:t xml:space="preserve"> in SMEs</w:t>
      </w:r>
      <w:r w:rsidRPr="002051DE">
        <w:rPr>
          <w:rFonts w:ascii="Arial" w:hAnsi="Arial" w:cs="Arial"/>
          <w:sz w:val="20"/>
          <w:szCs w:val="20"/>
        </w:rPr>
        <w:t>”. This combination was entered into the Title-Abs-Key search on Scopus. Resulting in 286 articles.</w:t>
      </w:r>
    </w:p>
    <w:p w:rsidR="002051DE" w:rsidRDefault="002051DE" w:rsidP="00F27EFF">
      <w:pPr>
        <w:spacing w:after="0" w:line="240" w:lineRule="auto"/>
        <w:ind w:firstLine="567"/>
        <w:jc w:val="both"/>
        <w:rPr>
          <w:rFonts w:ascii="Arial" w:hAnsi="Arial" w:cs="Arial"/>
          <w:sz w:val="20"/>
          <w:szCs w:val="20"/>
        </w:rPr>
      </w:pPr>
      <w:r w:rsidRPr="002051DE">
        <w:rPr>
          <w:rFonts w:ascii="Arial" w:hAnsi="Arial" w:cs="Arial"/>
          <w:sz w:val="20"/>
          <w:szCs w:val="20"/>
        </w:rPr>
        <w:t>The initial screening stage of 286 articles was carried out through the inclusion and exclusion process using exclusion criteria in terms of article type, English language, and accessible docume</w:t>
      </w:r>
      <w:r>
        <w:rPr>
          <w:rFonts w:ascii="Arial" w:hAnsi="Arial" w:cs="Arial"/>
          <w:sz w:val="20"/>
          <w:szCs w:val="20"/>
        </w:rPr>
        <w:t>nts, resulting in 145 articles.</w:t>
      </w:r>
    </w:p>
    <w:p w:rsidR="002051DE" w:rsidRPr="00F27EFF" w:rsidRDefault="002051DE" w:rsidP="00F27EFF">
      <w:pPr>
        <w:spacing w:after="0" w:line="240" w:lineRule="auto"/>
        <w:ind w:firstLine="567"/>
        <w:jc w:val="both"/>
        <w:rPr>
          <w:rFonts w:ascii="Arial" w:hAnsi="Arial" w:cs="Arial"/>
          <w:sz w:val="20"/>
          <w:szCs w:val="20"/>
        </w:rPr>
      </w:pPr>
      <w:r w:rsidRPr="002051DE">
        <w:rPr>
          <w:rFonts w:ascii="Arial" w:hAnsi="Arial" w:cs="Arial"/>
          <w:sz w:val="20"/>
          <w:szCs w:val="20"/>
        </w:rPr>
        <w:t>The next screening stage is related to the discussion area of ​​research articles in the industrial and business fields of SMEs and discusses the success factors of sustainable competitiveness and SMEs that involve the community in their organizations, from these considerations the final results were 45 articles and these articles will be included and are eligible to be included in the systematic review.</w:t>
      </w:r>
    </w:p>
    <w:p w:rsidR="00F27EFF" w:rsidRPr="00F27EFF" w:rsidRDefault="00F27EFF" w:rsidP="00F27EFF">
      <w:pPr>
        <w:spacing w:after="0" w:line="240" w:lineRule="auto"/>
        <w:ind w:firstLine="567"/>
        <w:jc w:val="both"/>
        <w:rPr>
          <w:rFonts w:ascii="Arial" w:hAnsi="Arial" w:cs="Arial"/>
          <w:color w:val="1F4E79"/>
          <w:sz w:val="20"/>
          <w:szCs w:val="20"/>
        </w:rPr>
      </w:pPr>
    </w:p>
    <w:p w:rsidR="00ED2688" w:rsidRDefault="00ED2688" w:rsidP="008424DD">
      <w:pPr>
        <w:spacing w:after="0" w:line="240" w:lineRule="auto"/>
        <w:jc w:val="both"/>
        <w:rPr>
          <w:rFonts w:ascii="Arial" w:hAnsi="Arial" w:cs="Arial"/>
          <w:b/>
          <w:color w:val="1F4E79"/>
          <w:sz w:val="20"/>
          <w:szCs w:val="20"/>
        </w:rPr>
      </w:pPr>
      <w:r w:rsidRPr="005F1C20">
        <w:rPr>
          <w:rFonts w:ascii="Arial" w:hAnsi="Arial" w:cs="Arial"/>
          <w:b/>
          <w:color w:val="1F4E79"/>
          <w:sz w:val="20"/>
          <w:szCs w:val="20"/>
        </w:rPr>
        <w:t>RESULTS AND DISCUSSION</w:t>
      </w:r>
    </w:p>
    <w:p w:rsidR="002051DE" w:rsidRDefault="002051DE" w:rsidP="008424DD">
      <w:pPr>
        <w:spacing w:after="0" w:line="240" w:lineRule="auto"/>
        <w:jc w:val="both"/>
        <w:rPr>
          <w:rFonts w:ascii="Arial" w:hAnsi="Arial" w:cs="Arial"/>
          <w:b/>
          <w:color w:val="1F4E79"/>
          <w:sz w:val="20"/>
          <w:szCs w:val="20"/>
        </w:rPr>
      </w:pPr>
      <w:r w:rsidRPr="002051DE">
        <w:rPr>
          <w:rFonts w:ascii="Arial" w:hAnsi="Arial" w:cs="Arial"/>
          <w:b/>
          <w:color w:val="1F4E79"/>
          <w:sz w:val="20"/>
          <w:szCs w:val="20"/>
        </w:rPr>
        <w:t>Subject Area</w:t>
      </w:r>
    </w:p>
    <w:p w:rsidR="002051DE" w:rsidRDefault="001B685A" w:rsidP="001B685A">
      <w:pPr>
        <w:spacing w:after="0" w:line="240" w:lineRule="auto"/>
        <w:ind w:firstLine="567"/>
        <w:jc w:val="both"/>
        <w:rPr>
          <w:rFonts w:ascii="Arial" w:hAnsi="Arial" w:cs="Arial"/>
          <w:sz w:val="20"/>
          <w:szCs w:val="20"/>
        </w:rPr>
      </w:pPr>
      <w:r w:rsidRPr="001B685A">
        <w:rPr>
          <w:rFonts w:ascii="Arial" w:hAnsi="Arial" w:cs="Arial"/>
          <w:sz w:val="20"/>
          <w:szCs w:val="20"/>
        </w:rPr>
        <w:t>Search on the Scopus database using the TITLE-ABS-KEY search. For key 1 using the search sustainable AND competitiveness AND SMEs there are 22 Subject Areas of discussion related to the sustainability of competitiveness in SMEs in the 2021-2025 period. However, researchers only categorize the subject areas into the top 10. (Figure 4)</w:t>
      </w:r>
    </w:p>
    <w:p w:rsidR="001B685A" w:rsidRPr="002051DE" w:rsidRDefault="001B685A" w:rsidP="001B685A">
      <w:pPr>
        <w:spacing w:after="0" w:line="240" w:lineRule="auto"/>
        <w:ind w:firstLine="567"/>
        <w:jc w:val="both"/>
        <w:rPr>
          <w:rFonts w:ascii="Arial" w:hAnsi="Arial" w:cs="Arial"/>
          <w:sz w:val="20"/>
          <w:szCs w:val="20"/>
        </w:rPr>
      </w:pPr>
    </w:p>
    <w:p w:rsidR="002051DE" w:rsidRDefault="001B685A" w:rsidP="008424DD">
      <w:pPr>
        <w:spacing w:after="0" w:line="240" w:lineRule="auto"/>
        <w:jc w:val="both"/>
        <w:rPr>
          <w:rFonts w:ascii="Arial" w:hAnsi="Arial" w:cs="Arial"/>
          <w:sz w:val="20"/>
          <w:szCs w:val="20"/>
        </w:rPr>
      </w:pPr>
      <w:r w:rsidRPr="001B685A">
        <w:rPr>
          <w:rFonts w:ascii="Arial" w:hAnsi="Arial" w:cs="Arial"/>
          <w:sz w:val="20"/>
          <w:szCs w:val="20"/>
        </w:rPr>
        <w:drawing>
          <wp:inline distT="0" distB="0" distL="0" distR="0">
            <wp:extent cx="2784535" cy="2191109"/>
            <wp:effectExtent l="19050" t="0" r="0" b="0"/>
            <wp:docPr id="1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90190" cy="2195559"/>
                    </a:xfrm>
                    <a:prstGeom prst="rect">
                      <a:avLst/>
                    </a:prstGeom>
                  </pic:spPr>
                </pic:pic>
              </a:graphicData>
            </a:graphic>
          </wp:inline>
        </w:drawing>
      </w:r>
    </w:p>
    <w:p w:rsidR="001B685A" w:rsidRPr="001B685A" w:rsidRDefault="001B685A" w:rsidP="001B685A">
      <w:pPr>
        <w:spacing w:after="0" w:line="240" w:lineRule="auto"/>
        <w:jc w:val="center"/>
        <w:rPr>
          <w:rFonts w:ascii="Arial" w:hAnsi="Arial" w:cs="Arial"/>
          <w:sz w:val="20"/>
          <w:szCs w:val="20"/>
        </w:rPr>
      </w:pPr>
      <w:r w:rsidRPr="001B685A">
        <w:rPr>
          <w:rFonts w:ascii="Arial" w:hAnsi="Arial" w:cs="Arial"/>
          <w:sz w:val="20"/>
          <w:szCs w:val="20"/>
        </w:rPr>
        <w:t>Figure 4. Subject Area Sustainable Competitiveness</w:t>
      </w:r>
    </w:p>
    <w:p w:rsidR="001B685A" w:rsidRDefault="001B685A" w:rsidP="001B685A">
      <w:pPr>
        <w:spacing w:after="0" w:line="240" w:lineRule="auto"/>
        <w:jc w:val="center"/>
        <w:rPr>
          <w:rFonts w:ascii="Arial" w:hAnsi="Arial" w:cs="Arial"/>
          <w:sz w:val="20"/>
          <w:szCs w:val="20"/>
        </w:rPr>
      </w:pPr>
      <w:r w:rsidRPr="001B685A">
        <w:rPr>
          <w:rFonts w:ascii="Arial" w:hAnsi="Arial" w:cs="Arial"/>
          <w:sz w:val="20"/>
          <w:szCs w:val="20"/>
        </w:rPr>
        <w:t>Source: Scopus Database</w:t>
      </w:r>
    </w:p>
    <w:p w:rsidR="001B685A" w:rsidRPr="002051DE" w:rsidRDefault="001B685A" w:rsidP="001B685A">
      <w:pPr>
        <w:spacing w:after="0" w:line="240" w:lineRule="auto"/>
        <w:jc w:val="center"/>
        <w:rPr>
          <w:rFonts w:ascii="Arial" w:hAnsi="Arial" w:cs="Arial"/>
          <w:sz w:val="20"/>
          <w:szCs w:val="20"/>
        </w:rPr>
      </w:pPr>
    </w:p>
    <w:p w:rsidR="001B685A" w:rsidRDefault="001B685A" w:rsidP="001B685A">
      <w:pPr>
        <w:spacing w:after="0" w:line="240" w:lineRule="auto"/>
        <w:jc w:val="both"/>
        <w:rPr>
          <w:rFonts w:ascii="Arial" w:hAnsi="Arial" w:cs="Arial"/>
          <w:sz w:val="20"/>
          <w:szCs w:val="20"/>
        </w:rPr>
      </w:pPr>
      <w:r w:rsidRPr="001B685A">
        <w:rPr>
          <w:rFonts w:ascii="Arial" w:hAnsi="Arial" w:cs="Arial"/>
          <w:sz w:val="20"/>
          <w:szCs w:val="20"/>
        </w:rPr>
        <w:t>In Figure 4 above are 10 areas of discussion related to sustainable competitiveness. The largest discussion related to sustainable competitiveness is in the subjects are Business, Management and accounting, which is 23%. Key 2 uses the Community AND Empowerment AND SMEs search search during the 2021-2025 period, there are 13 subject areas (Figure 5).</w:t>
      </w:r>
    </w:p>
    <w:p w:rsidR="001B685A" w:rsidRPr="002051DE" w:rsidRDefault="001B685A" w:rsidP="001B685A">
      <w:pPr>
        <w:spacing w:after="0" w:line="240" w:lineRule="auto"/>
        <w:jc w:val="both"/>
        <w:rPr>
          <w:rFonts w:ascii="Arial" w:hAnsi="Arial" w:cs="Arial"/>
          <w:sz w:val="20"/>
          <w:szCs w:val="20"/>
        </w:rPr>
      </w:pPr>
      <w:r w:rsidRPr="001B685A">
        <w:rPr>
          <w:rFonts w:ascii="Arial" w:hAnsi="Arial" w:cs="Arial"/>
          <w:sz w:val="20"/>
          <w:szCs w:val="20"/>
        </w:rPr>
        <w:drawing>
          <wp:inline distT="0" distB="0" distL="0" distR="0">
            <wp:extent cx="2792179" cy="2277373"/>
            <wp:effectExtent l="19050" t="0" r="8171" b="0"/>
            <wp:docPr id="1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790190" cy="2275751"/>
                    </a:xfrm>
                    <a:prstGeom prst="rect">
                      <a:avLst/>
                    </a:prstGeom>
                  </pic:spPr>
                </pic:pic>
              </a:graphicData>
            </a:graphic>
          </wp:inline>
        </w:drawing>
      </w:r>
    </w:p>
    <w:p w:rsidR="001B685A" w:rsidRPr="001B685A" w:rsidRDefault="001B685A" w:rsidP="001B685A">
      <w:pPr>
        <w:spacing w:after="0" w:line="240" w:lineRule="auto"/>
        <w:jc w:val="center"/>
        <w:rPr>
          <w:rFonts w:ascii="Arial" w:hAnsi="Arial" w:cs="Arial"/>
          <w:sz w:val="20"/>
          <w:szCs w:val="20"/>
        </w:rPr>
      </w:pPr>
      <w:r w:rsidRPr="001B685A">
        <w:rPr>
          <w:rFonts w:ascii="Arial" w:hAnsi="Arial" w:cs="Arial"/>
          <w:sz w:val="20"/>
          <w:szCs w:val="20"/>
        </w:rPr>
        <w:t>Figure 5. Subject Area Community Empowerment</w:t>
      </w:r>
    </w:p>
    <w:p w:rsidR="002051DE" w:rsidRDefault="001B685A" w:rsidP="001B685A">
      <w:pPr>
        <w:spacing w:after="0" w:line="240" w:lineRule="auto"/>
        <w:jc w:val="center"/>
        <w:rPr>
          <w:rFonts w:ascii="Arial" w:hAnsi="Arial" w:cs="Arial"/>
          <w:sz w:val="20"/>
          <w:szCs w:val="20"/>
        </w:rPr>
      </w:pPr>
      <w:r w:rsidRPr="001B685A">
        <w:rPr>
          <w:rFonts w:ascii="Arial" w:hAnsi="Arial" w:cs="Arial"/>
          <w:sz w:val="20"/>
          <w:szCs w:val="20"/>
        </w:rPr>
        <w:t>Source: Scopus Database</w:t>
      </w:r>
    </w:p>
    <w:p w:rsidR="00667C93" w:rsidRDefault="00667C93" w:rsidP="001B685A">
      <w:pPr>
        <w:spacing w:after="0" w:line="240" w:lineRule="auto"/>
        <w:ind w:firstLine="567"/>
        <w:jc w:val="both"/>
        <w:rPr>
          <w:rFonts w:ascii="Arial" w:hAnsi="Arial" w:cs="Arial"/>
          <w:sz w:val="20"/>
          <w:szCs w:val="20"/>
        </w:rPr>
      </w:pPr>
    </w:p>
    <w:p w:rsidR="001B685A" w:rsidRDefault="00667C93" w:rsidP="001B685A">
      <w:pPr>
        <w:spacing w:after="0" w:line="240" w:lineRule="auto"/>
        <w:ind w:firstLine="567"/>
        <w:jc w:val="both"/>
        <w:rPr>
          <w:rFonts w:ascii="Arial" w:hAnsi="Arial" w:cs="Arial"/>
          <w:sz w:val="20"/>
          <w:szCs w:val="20"/>
        </w:rPr>
      </w:pPr>
      <w:r w:rsidRPr="00667C93">
        <w:rPr>
          <w:rFonts w:ascii="Arial" w:hAnsi="Arial" w:cs="Arial"/>
          <w:sz w:val="20"/>
          <w:szCs w:val="20"/>
        </w:rPr>
        <w:t>SMEs related to the discussion in social science, which is 24%. Based on the search for the subject area of ​​the keywords above, the search in the context of the role of community empowerment in sustainable competitiveness in SMEs is still widely undiscussed in the references found. The role of this community has a significant influence on the sustainability of SMEs and the community around SMES. If SMEs implement community empowerment in a more structured, collaborative and local potential-based manner in the empowerment process, SMEs will be able to improve welfare and create SMEs that can be competitive</w:t>
      </w:r>
      <w:r w:rsidR="00EC45E0">
        <w:rPr>
          <w:rFonts w:ascii="Arial" w:hAnsi="Arial" w:cs="Arial"/>
          <w:sz w:val="20"/>
          <w:szCs w:val="20"/>
        </w:rPr>
        <w:t xml:space="preserve"> </w:t>
      </w:r>
      <w:r w:rsidR="00EC45E0">
        <w:rPr>
          <w:rFonts w:ascii="Arial" w:eastAsia="Arial" w:hAnsi="Arial" w:cs="Arial"/>
          <w:sz w:val="20"/>
          <w:szCs w:val="20"/>
        </w:rPr>
        <w:fldChar w:fldCharType="begin" w:fldLock="1"/>
      </w:r>
      <w:r w:rsidR="008516C5">
        <w:rPr>
          <w:rFonts w:ascii="Arial" w:eastAsia="Arial" w:hAnsi="Arial" w:cs="Arial"/>
          <w:sz w:val="20"/>
          <w:szCs w:val="20"/>
        </w:rPr>
        <w:instrText>ADDIN CSL_CITATION {"citationItems":[{"id":"ITEM-1","itemData":{"DOI":"https://doi.org/10.36941/ajis-2023-0051","ISSN":"22814612","abstract":"This paper seeks to examine the efforts of the Bondowoso community to grow coffee to empower and welfare the community. Community empowerment is carried out through the Coffee Republic program as a form of cooperation between local governments and communities. This research applied a qualitative approach. First, data collection is information about community empowerment in the people's coffee program in Bondowoso regency. The population and sample of this study are stakeholders who understand the 'coffee republic' program and the coffee growers. The secondary data is sociocultural information in Bondowoso Regency, East Java. The study used the perspective of human ecology and green social welfare. The first perspective explains the relationship between humans and the surrounding natural environment. While the second one is used to describe the relationship between the environment and social problem-solving resource systems, particularly in rural communities. The results of this study showed that the people's coffee program under the name of the Coffee Republic positively impacted the economic empowerment of the Bondowoso community, especially in providing more jobs and increasing income. This research contributes to giving strategic feedback to regional governments on alternative strategies for empowering a community through coffee production.","author":[{"dropping-particle":"","family":"Purwowibowo","given":"","non-dropping-particle":"","parse-names":false,"suffix":""}],"container-title":"Academic Journal of Interdisciplinary Studies","id":"ITEM-1","issue":"2","issued":{"date-parts":[["2023"]]},"page":"315-322","title":"Improving Community Welfare Through the Cultivation of Coffee: A Case Study of Bondowoso's Coffee Republic, Indonesia","type":"article-journal","volume":"12"},"uris":["http://www.mendeley.com/documents/?uuid=47c5bfb4-b75d-4cc8-bd4a-66730dcafcf8"]}],"mendeley":{"formattedCitation":"[14]","plainTextFormattedCitation":"[14]","previouslyFormattedCitation":"[14]"},"properties":{"noteIndex":0},"schema":"https://github.com/citation-style-language/schema/raw/master/csl-citation.json"}</w:instrText>
      </w:r>
      <w:r w:rsidR="00EC45E0">
        <w:rPr>
          <w:rFonts w:ascii="Arial" w:eastAsia="Arial" w:hAnsi="Arial" w:cs="Arial"/>
          <w:sz w:val="20"/>
          <w:szCs w:val="20"/>
        </w:rPr>
        <w:fldChar w:fldCharType="separate"/>
      </w:r>
      <w:r w:rsidR="00EC45E0" w:rsidRPr="004B3EFF">
        <w:rPr>
          <w:rFonts w:ascii="Arial" w:eastAsia="Arial" w:hAnsi="Arial" w:cs="Arial"/>
          <w:noProof/>
          <w:sz w:val="20"/>
          <w:szCs w:val="20"/>
        </w:rPr>
        <w:t>[14]</w:t>
      </w:r>
      <w:r w:rsidR="00EC45E0">
        <w:rPr>
          <w:rFonts w:ascii="Arial" w:eastAsia="Arial" w:hAnsi="Arial" w:cs="Arial"/>
          <w:sz w:val="20"/>
          <w:szCs w:val="20"/>
        </w:rPr>
        <w:fldChar w:fldCharType="end"/>
      </w:r>
      <w:r w:rsidR="00EC45E0">
        <w:rPr>
          <w:rFonts w:ascii="Arial" w:eastAsia="Arial" w:hAnsi="Arial" w:cs="Arial"/>
          <w:sz w:val="20"/>
          <w:szCs w:val="20"/>
        </w:rPr>
        <w:fldChar w:fldCharType="begin" w:fldLock="1"/>
      </w:r>
      <w:r w:rsidR="008516C5">
        <w:rPr>
          <w:rFonts w:ascii="Arial" w:eastAsia="Arial" w:hAnsi="Arial" w:cs="Arial"/>
          <w:sz w:val="20"/>
          <w:szCs w:val="20"/>
        </w:rPr>
        <w:instrText>ADDIN CSL_CITATION {"citationItems":[{"id":"ITEM-1","itemData":{"DOI":"https://doi.org/10.18280/ijsdp.160315","ISSN":"1743761X","abstract":"The improvement of tapioca production system is one of the solutions to improve the economy of rural communities through the development of cassava inventory as an inexpensive tapioca raw material that can be obtained throughout the year, using appropriate management and strategies. This study aims to determine the order of priority criteria that are influential in determining the steps to improve production system performance. The method used is analysis PLS using six criteria, namely local potential, empowerment capital, social community, empowerment process, community empowerment, the ability of actors. The empirical results of the study show that the highest R-square value is the empowerment process at 61.0 percent. This value indicates that local potential, empowerment capital, social community, and the ability of the actors are able to contribute to the explanation of the empowerment process by 61.1 percent, while 38.9 percent is influenced by other variables. The R-square value on the community empowerment variable is lower than the R-square value for the empowerment process, which is only 42.4 percent. This shows that the variables of local potential, empowerment capital, social community, the ability of empowerment actors, and the empowerment process do not adequately explain community empowerment. From the results of the exploration of the overall influence factors with the PLS analysis mentioned above, it is used to invite people to understand themselves and formulate ideas for developing Gaplek SMEs in the form of a vision with a strategy for achieving them. Based on the empirical results of research through testing the accepted hypothesis with the intervening variable having a significant positive relationship, appropriate mentoring is carried out to focus on the mentoring process with the Participatory Rural Appraisal approach.","author":[{"dropping-particle":"","family":"Hermansyah","given":"Muhammad","non-dropping-particle":"","parse-names":false,"suffix":""},{"dropping-particle":"","family":"Santoso","given":"Imam","non-dropping-particle":"","parse-names":false,"suffix":""},{"dropping-particle":"","family":"Wijana","given":"Susinggih","non-dropping-particle":"","parse-names":false,"suffix":""},{"dropping-particle":"","family":"Sucipto","given":"","non-dropping-particle":"","parse-names":false,"suffix":""},{"dropping-particle":"","family":"Fudholi","given":"Ahmad","non-dropping-particle":"","parse-names":false,"suffix":""}],"container-title":"International Journal of Sustainable Development and Planning","id":"ITEM-1","issue":"3","issued":{"date-parts":[["2021"]]},"page":"543-550","title":"Implementation of Participatory Rural Appraisal (PRA) in empowering gaplek SMEs using Partial Least Square (PLS) analysis","type":"article-journal","volume":"16"},"uris":["http://www.mendeley.com/documents/?uuid=ba82e817-301d-45e2-92ff-c3777cfb5466"]}],"mendeley":{"formattedCitation":"[7]","plainTextFormattedCitation":"[7]","previouslyFormattedCitation":"[7]"},"properties":{"noteIndex":0},"schema":"https://github.com/citation-style-language/schema/raw/master/csl-citation.json"}</w:instrText>
      </w:r>
      <w:r w:rsidR="00EC45E0">
        <w:rPr>
          <w:rFonts w:ascii="Arial" w:eastAsia="Arial" w:hAnsi="Arial" w:cs="Arial"/>
          <w:sz w:val="20"/>
          <w:szCs w:val="20"/>
        </w:rPr>
        <w:fldChar w:fldCharType="separate"/>
      </w:r>
      <w:r w:rsidR="00EC45E0" w:rsidRPr="00E1009F">
        <w:rPr>
          <w:rFonts w:ascii="Arial" w:eastAsia="Arial" w:hAnsi="Arial" w:cs="Arial"/>
          <w:noProof/>
          <w:sz w:val="20"/>
          <w:szCs w:val="20"/>
        </w:rPr>
        <w:t>[7]</w:t>
      </w:r>
      <w:r w:rsidR="00EC45E0">
        <w:rPr>
          <w:rFonts w:ascii="Arial" w:eastAsia="Arial" w:hAnsi="Arial" w:cs="Arial"/>
          <w:sz w:val="20"/>
          <w:szCs w:val="20"/>
        </w:rPr>
        <w:fldChar w:fldCharType="end"/>
      </w:r>
      <w:r w:rsidRPr="00667C93">
        <w:rPr>
          <w:rFonts w:ascii="Arial" w:hAnsi="Arial" w:cs="Arial"/>
          <w:sz w:val="20"/>
          <w:szCs w:val="20"/>
        </w:rPr>
        <w:t>.</w:t>
      </w:r>
    </w:p>
    <w:p w:rsidR="00EC45E0" w:rsidRDefault="00EC45E0" w:rsidP="00EC45E0">
      <w:pPr>
        <w:spacing w:after="0" w:line="240" w:lineRule="auto"/>
        <w:jc w:val="both"/>
        <w:rPr>
          <w:rFonts w:ascii="Arial" w:hAnsi="Arial" w:cs="Arial"/>
          <w:sz w:val="20"/>
          <w:szCs w:val="20"/>
        </w:rPr>
      </w:pPr>
    </w:p>
    <w:p w:rsidR="00EC45E0" w:rsidRDefault="00EC45E0" w:rsidP="00EC45E0">
      <w:pPr>
        <w:spacing w:after="0" w:line="240" w:lineRule="auto"/>
        <w:jc w:val="both"/>
        <w:rPr>
          <w:rFonts w:ascii="Arial" w:eastAsia="Arial" w:hAnsi="Arial" w:cs="Arial"/>
          <w:b/>
          <w:color w:val="1F4E79"/>
          <w:sz w:val="20"/>
          <w:szCs w:val="20"/>
        </w:rPr>
      </w:pPr>
      <w:r w:rsidRPr="00EC45E0">
        <w:rPr>
          <w:rFonts w:ascii="Arial" w:eastAsia="Arial" w:hAnsi="Arial" w:cs="Arial"/>
          <w:b/>
          <w:color w:val="1F4E79"/>
          <w:sz w:val="20"/>
          <w:szCs w:val="20"/>
        </w:rPr>
        <w:t>Topics and Keywords</w:t>
      </w:r>
    </w:p>
    <w:p w:rsidR="00EC45E0" w:rsidRPr="00EC45E0" w:rsidRDefault="007C14FD" w:rsidP="00EC45E0">
      <w:pPr>
        <w:spacing w:after="0" w:line="240" w:lineRule="auto"/>
        <w:ind w:firstLine="567"/>
        <w:jc w:val="both"/>
        <w:rPr>
          <w:rFonts w:ascii="Arial" w:hAnsi="Arial" w:cs="Arial"/>
          <w:sz w:val="20"/>
          <w:szCs w:val="20"/>
        </w:rPr>
      </w:pPr>
      <w:r w:rsidRPr="007C14FD">
        <w:rPr>
          <w:rFonts w:ascii="Arial" w:hAnsi="Arial" w:cs="Arial"/>
          <w:sz w:val="20"/>
          <w:szCs w:val="20"/>
        </w:rPr>
        <w:t>Determining keywords at the initial stage is an important part of describing the level of Co-occurrence in the study. This analysis is intended to determine the main research topic regarding sustainable competitiveness in SMEs. Therefore, this analysis uses the help of VosViewer software. The minimum number of keyword occurrences is set at three occurrences. Figure 4 shows the Co-Occurance map, the map it produces and identifies four clusters (Table1) with common topics and keywords that often appear in each cluster as follows: cluster 1 "Competitiveness" and "Community Empowerment", in Cluster 2 "SMEs", Cluster 3 "Innovation" and "Sustainable Development" for Cluster 4 "Rural Community", "Tourism" and "Empowerment"</w:t>
      </w:r>
      <w:r>
        <w:rPr>
          <w:rFonts w:ascii="Arial" w:hAnsi="Arial" w:cs="Arial"/>
          <w:sz w:val="20"/>
          <w:szCs w:val="20"/>
        </w:rPr>
        <w:t xml:space="preserve">. </w:t>
      </w:r>
    </w:p>
    <w:p w:rsidR="001B685A" w:rsidRDefault="00E170F0" w:rsidP="00E170F0">
      <w:pPr>
        <w:spacing w:after="0" w:line="240" w:lineRule="auto"/>
        <w:ind w:firstLine="567"/>
        <w:jc w:val="both"/>
        <w:rPr>
          <w:rFonts w:ascii="Arial" w:hAnsi="Arial" w:cs="Arial"/>
          <w:sz w:val="20"/>
          <w:szCs w:val="20"/>
        </w:rPr>
      </w:pPr>
      <w:r w:rsidRPr="00E170F0">
        <w:rPr>
          <w:rFonts w:ascii="Arial" w:hAnsi="Arial" w:cs="Arial"/>
          <w:sz w:val="20"/>
          <w:szCs w:val="20"/>
        </w:rPr>
        <w:t>Based on the results of the Co-Occurance analysis for keywords focused on the topic of this article, namely the discussion of sustainable competitiveness through community empowerment in SMEs, keywords that are related to the same cluster are the keywords sustainable competitiveness and SMEs. Meanwhile, community empowerment has not been connected in the same cluster. This indicates that topics related to community empowerment in SMEs still need to be explored a lot.</w:t>
      </w:r>
    </w:p>
    <w:p w:rsidR="00E170F0" w:rsidRDefault="00E170F0" w:rsidP="00E170F0">
      <w:pPr>
        <w:spacing w:after="0" w:line="240" w:lineRule="auto"/>
        <w:jc w:val="center"/>
        <w:rPr>
          <w:rFonts w:ascii="Arial" w:hAnsi="Arial" w:cs="Arial"/>
          <w:sz w:val="20"/>
          <w:szCs w:val="20"/>
        </w:rPr>
      </w:pPr>
      <w:r w:rsidRPr="00E170F0">
        <w:rPr>
          <w:rFonts w:ascii="Arial" w:hAnsi="Arial" w:cs="Arial"/>
          <w:sz w:val="20"/>
          <w:szCs w:val="20"/>
        </w:rPr>
        <w:t>Table 1. Co-Occurrence Analysis Results</w:t>
      </w:r>
    </w:p>
    <w:tbl>
      <w:tblPr>
        <w:tblStyle w:val="TableGrid"/>
        <w:tblW w:w="4732" w:type="dxa"/>
        <w:tblInd w:w="108" w:type="dxa"/>
        <w:tblBorders>
          <w:left w:val="none" w:sz="0" w:space="0" w:color="auto"/>
          <w:right w:val="none" w:sz="0" w:space="0" w:color="auto"/>
          <w:insideH w:val="none" w:sz="0" w:space="0" w:color="auto"/>
          <w:insideV w:val="none" w:sz="0" w:space="0" w:color="auto"/>
        </w:tblBorders>
        <w:tblLayout w:type="fixed"/>
        <w:tblLook w:val="04A0"/>
      </w:tblPr>
      <w:tblGrid>
        <w:gridCol w:w="1134"/>
        <w:gridCol w:w="1701"/>
        <w:gridCol w:w="905"/>
        <w:gridCol w:w="992"/>
      </w:tblGrid>
      <w:tr w:rsidR="00E170F0" w:rsidRPr="00E170F0" w:rsidTr="00E170F0">
        <w:tc>
          <w:tcPr>
            <w:tcW w:w="1134" w:type="dxa"/>
            <w:tcBorders>
              <w:top w:val="single" w:sz="4" w:space="0" w:color="auto"/>
              <w:bottom w:val="single" w:sz="4" w:space="0" w:color="auto"/>
            </w:tcBorders>
            <w:vAlign w:val="center"/>
          </w:tcPr>
          <w:p w:rsidR="00E170F0" w:rsidRPr="00E170F0" w:rsidRDefault="00E170F0" w:rsidP="00E170F0">
            <w:pPr>
              <w:pStyle w:val="normal0"/>
              <w:spacing w:after="0" w:line="240" w:lineRule="auto"/>
              <w:ind w:hanging="2"/>
              <w:jc w:val="center"/>
              <w:rPr>
                <w:rFonts w:ascii="Arial" w:eastAsia="Arial" w:hAnsi="Arial" w:cs="Arial"/>
                <w:b/>
                <w:sz w:val="18"/>
                <w:szCs w:val="18"/>
              </w:rPr>
            </w:pPr>
            <w:r w:rsidRPr="00E170F0">
              <w:rPr>
                <w:rFonts w:ascii="Arial" w:eastAsia="Arial" w:hAnsi="Arial" w:cs="Arial"/>
                <w:b/>
                <w:sz w:val="18"/>
                <w:szCs w:val="18"/>
              </w:rPr>
              <w:t>Cluster</w:t>
            </w:r>
          </w:p>
        </w:tc>
        <w:tc>
          <w:tcPr>
            <w:tcW w:w="1701" w:type="dxa"/>
            <w:tcBorders>
              <w:top w:val="single" w:sz="4" w:space="0" w:color="auto"/>
              <w:bottom w:val="single" w:sz="4" w:space="0" w:color="auto"/>
            </w:tcBorders>
            <w:vAlign w:val="center"/>
          </w:tcPr>
          <w:p w:rsidR="00E170F0" w:rsidRPr="00E170F0" w:rsidRDefault="00E170F0" w:rsidP="00E170F0">
            <w:pPr>
              <w:pStyle w:val="normal0"/>
              <w:spacing w:after="0" w:line="240" w:lineRule="auto"/>
              <w:ind w:hanging="2"/>
              <w:jc w:val="center"/>
              <w:rPr>
                <w:rFonts w:ascii="Arial" w:eastAsia="Arial" w:hAnsi="Arial" w:cs="Arial"/>
                <w:b/>
                <w:sz w:val="18"/>
                <w:szCs w:val="18"/>
              </w:rPr>
            </w:pPr>
            <w:r w:rsidRPr="00E170F0">
              <w:rPr>
                <w:rFonts w:ascii="Arial" w:eastAsia="Arial" w:hAnsi="Arial" w:cs="Arial"/>
                <w:b/>
                <w:sz w:val="18"/>
                <w:szCs w:val="18"/>
              </w:rPr>
              <w:t>Keyword</w:t>
            </w:r>
          </w:p>
        </w:tc>
        <w:tc>
          <w:tcPr>
            <w:tcW w:w="905" w:type="dxa"/>
            <w:tcBorders>
              <w:top w:val="single" w:sz="4" w:space="0" w:color="auto"/>
              <w:bottom w:val="single" w:sz="4" w:space="0" w:color="auto"/>
            </w:tcBorders>
            <w:vAlign w:val="center"/>
          </w:tcPr>
          <w:p w:rsidR="00E170F0" w:rsidRPr="00E170F0" w:rsidRDefault="00E170F0" w:rsidP="00E170F0">
            <w:pPr>
              <w:pStyle w:val="normal0"/>
              <w:spacing w:after="0" w:line="240" w:lineRule="auto"/>
              <w:ind w:hanging="2"/>
              <w:jc w:val="center"/>
              <w:rPr>
                <w:rFonts w:ascii="Arial" w:eastAsia="Arial" w:hAnsi="Arial" w:cs="Arial"/>
                <w:b/>
                <w:sz w:val="18"/>
                <w:szCs w:val="18"/>
              </w:rPr>
            </w:pPr>
            <w:r w:rsidRPr="00E170F0">
              <w:rPr>
                <w:rFonts w:ascii="Arial" w:eastAsia="Arial" w:hAnsi="Arial" w:cs="Arial"/>
                <w:b/>
                <w:sz w:val="18"/>
                <w:szCs w:val="18"/>
              </w:rPr>
              <w:t>Occurre-nces</w:t>
            </w:r>
          </w:p>
        </w:tc>
        <w:tc>
          <w:tcPr>
            <w:tcW w:w="992" w:type="dxa"/>
            <w:tcBorders>
              <w:top w:val="single" w:sz="4" w:space="0" w:color="auto"/>
              <w:bottom w:val="single" w:sz="4" w:space="0" w:color="auto"/>
            </w:tcBorders>
            <w:vAlign w:val="center"/>
          </w:tcPr>
          <w:p w:rsidR="00E170F0" w:rsidRPr="00E170F0" w:rsidRDefault="00E170F0" w:rsidP="00E170F0">
            <w:pPr>
              <w:pStyle w:val="normal0"/>
              <w:spacing w:after="0" w:line="240" w:lineRule="auto"/>
              <w:ind w:hanging="2"/>
              <w:jc w:val="center"/>
              <w:rPr>
                <w:rFonts w:ascii="Arial" w:eastAsia="Arial" w:hAnsi="Arial" w:cs="Arial"/>
                <w:b/>
                <w:sz w:val="18"/>
                <w:szCs w:val="18"/>
              </w:rPr>
            </w:pPr>
            <w:r w:rsidRPr="00E170F0">
              <w:rPr>
                <w:rFonts w:ascii="Arial" w:eastAsia="Arial" w:hAnsi="Arial" w:cs="Arial"/>
                <w:b/>
                <w:sz w:val="18"/>
                <w:szCs w:val="18"/>
              </w:rPr>
              <w:t>Total Link Strenght</w:t>
            </w:r>
          </w:p>
        </w:tc>
      </w:tr>
      <w:tr w:rsidR="00E170F0" w:rsidRPr="00E170F0" w:rsidTr="00E170F0">
        <w:tc>
          <w:tcPr>
            <w:tcW w:w="1134" w:type="dxa"/>
            <w:vMerge w:val="restart"/>
            <w:tcBorders>
              <w:top w:val="single" w:sz="4" w:space="0" w:color="auto"/>
            </w:tcBorders>
            <w:vAlign w:val="center"/>
          </w:tcPr>
          <w:p w:rsidR="00E170F0" w:rsidRPr="00E170F0" w:rsidRDefault="00E170F0" w:rsidP="00E170F0">
            <w:pPr>
              <w:pStyle w:val="normal0"/>
              <w:spacing w:after="0" w:line="240" w:lineRule="auto"/>
              <w:ind w:hanging="2"/>
              <w:jc w:val="center"/>
              <w:rPr>
                <w:rFonts w:ascii="Arial" w:eastAsia="Arial" w:hAnsi="Arial" w:cs="Arial"/>
                <w:sz w:val="18"/>
                <w:szCs w:val="18"/>
              </w:rPr>
            </w:pPr>
            <w:r w:rsidRPr="00E170F0">
              <w:rPr>
                <w:rFonts w:ascii="Arial" w:eastAsia="Arial" w:hAnsi="Arial" w:cs="Arial"/>
                <w:sz w:val="18"/>
                <w:szCs w:val="18"/>
              </w:rPr>
              <w:t>1</w:t>
            </w:r>
          </w:p>
          <w:p w:rsidR="00E170F0" w:rsidRPr="00E170F0" w:rsidRDefault="00E170F0" w:rsidP="00E170F0">
            <w:pPr>
              <w:pStyle w:val="normal0"/>
              <w:spacing w:after="0" w:line="240" w:lineRule="auto"/>
              <w:ind w:hanging="2"/>
              <w:jc w:val="center"/>
              <w:rPr>
                <w:rFonts w:ascii="Arial" w:eastAsia="Arial" w:hAnsi="Arial" w:cs="Arial"/>
                <w:sz w:val="18"/>
                <w:szCs w:val="18"/>
              </w:rPr>
            </w:pPr>
            <w:r w:rsidRPr="00E170F0">
              <w:rPr>
                <w:rFonts w:ascii="Arial" w:eastAsia="Arial" w:hAnsi="Arial" w:cs="Arial"/>
                <w:sz w:val="18"/>
                <w:szCs w:val="18"/>
              </w:rPr>
              <w:t xml:space="preserve"> (RED)</w:t>
            </w:r>
          </w:p>
        </w:tc>
        <w:tc>
          <w:tcPr>
            <w:tcW w:w="1701" w:type="dxa"/>
            <w:tcBorders>
              <w:top w:val="single" w:sz="4" w:space="0" w:color="auto"/>
            </w:tcBorders>
          </w:tcPr>
          <w:p w:rsidR="00E170F0" w:rsidRPr="00E170F0" w:rsidRDefault="00E170F0" w:rsidP="00E170F0">
            <w:pPr>
              <w:pStyle w:val="normal0"/>
              <w:spacing w:after="0" w:line="240" w:lineRule="auto"/>
              <w:ind w:hanging="2"/>
              <w:jc w:val="both"/>
              <w:rPr>
                <w:rFonts w:ascii="Arial" w:eastAsia="Arial" w:hAnsi="Arial" w:cs="Arial"/>
                <w:sz w:val="18"/>
                <w:szCs w:val="18"/>
              </w:rPr>
            </w:pPr>
            <w:r w:rsidRPr="00E170F0">
              <w:rPr>
                <w:rFonts w:ascii="Arial" w:eastAsia="Arial" w:hAnsi="Arial" w:cs="Arial"/>
                <w:sz w:val="18"/>
                <w:szCs w:val="18"/>
              </w:rPr>
              <w:t>Competitiveness</w:t>
            </w:r>
          </w:p>
        </w:tc>
        <w:tc>
          <w:tcPr>
            <w:tcW w:w="905" w:type="dxa"/>
            <w:tcBorders>
              <w:top w:val="single" w:sz="4" w:space="0" w:color="auto"/>
            </w:tcBorders>
          </w:tcPr>
          <w:p w:rsidR="00E170F0" w:rsidRPr="00E170F0" w:rsidRDefault="00E170F0" w:rsidP="00E170F0">
            <w:pPr>
              <w:pStyle w:val="normal0"/>
              <w:spacing w:after="0" w:line="240" w:lineRule="auto"/>
              <w:ind w:hanging="2"/>
              <w:jc w:val="center"/>
              <w:rPr>
                <w:rFonts w:ascii="Arial" w:eastAsia="Arial" w:hAnsi="Arial" w:cs="Arial"/>
                <w:sz w:val="18"/>
                <w:szCs w:val="18"/>
              </w:rPr>
            </w:pPr>
            <w:r w:rsidRPr="00E170F0">
              <w:rPr>
                <w:rFonts w:ascii="Arial" w:eastAsia="Arial" w:hAnsi="Arial" w:cs="Arial"/>
                <w:sz w:val="18"/>
                <w:szCs w:val="18"/>
              </w:rPr>
              <w:t>14</w:t>
            </w:r>
          </w:p>
        </w:tc>
        <w:tc>
          <w:tcPr>
            <w:tcW w:w="992" w:type="dxa"/>
            <w:tcBorders>
              <w:top w:val="single" w:sz="4" w:space="0" w:color="auto"/>
            </w:tcBorders>
          </w:tcPr>
          <w:p w:rsidR="00E170F0" w:rsidRPr="00E170F0" w:rsidRDefault="00E170F0" w:rsidP="00E170F0">
            <w:pPr>
              <w:pStyle w:val="normal0"/>
              <w:spacing w:after="0" w:line="240" w:lineRule="auto"/>
              <w:ind w:hanging="2"/>
              <w:jc w:val="center"/>
              <w:rPr>
                <w:rFonts w:ascii="Arial" w:eastAsia="Arial" w:hAnsi="Arial" w:cs="Arial"/>
                <w:sz w:val="18"/>
                <w:szCs w:val="18"/>
              </w:rPr>
            </w:pPr>
            <w:r w:rsidRPr="00E170F0">
              <w:rPr>
                <w:rFonts w:ascii="Arial" w:eastAsia="Arial" w:hAnsi="Arial" w:cs="Arial"/>
                <w:sz w:val="18"/>
                <w:szCs w:val="18"/>
              </w:rPr>
              <w:t>14</w:t>
            </w:r>
          </w:p>
        </w:tc>
      </w:tr>
      <w:tr w:rsidR="00E170F0" w:rsidRPr="00E170F0" w:rsidTr="00E170F0">
        <w:tc>
          <w:tcPr>
            <w:tcW w:w="1134" w:type="dxa"/>
            <w:vMerge/>
          </w:tcPr>
          <w:p w:rsidR="00E170F0" w:rsidRPr="00E170F0" w:rsidRDefault="00E170F0" w:rsidP="00E170F0">
            <w:pPr>
              <w:pStyle w:val="normal0"/>
              <w:spacing w:after="0" w:line="240" w:lineRule="auto"/>
              <w:ind w:hanging="2"/>
              <w:jc w:val="both"/>
              <w:rPr>
                <w:rFonts w:ascii="Arial" w:eastAsia="Arial" w:hAnsi="Arial" w:cs="Arial"/>
                <w:sz w:val="18"/>
                <w:szCs w:val="18"/>
              </w:rPr>
            </w:pPr>
          </w:p>
        </w:tc>
        <w:tc>
          <w:tcPr>
            <w:tcW w:w="1701" w:type="dxa"/>
          </w:tcPr>
          <w:p w:rsidR="00E170F0" w:rsidRPr="00E170F0" w:rsidRDefault="00E170F0" w:rsidP="00E170F0">
            <w:pPr>
              <w:pStyle w:val="normal0"/>
              <w:spacing w:after="0" w:line="240" w:lineRule="auto"/>
              <w:ind w:hanging="2"/>
              <w:jc w:val="both"/>
              <w:rPr>
                <w:rFonts w:ascii="Arial" w:eastAsia="Arial" w:hAnsi="Arial" w:cs="Arial"/>
                <w:sz w:val="18"/>
                <w:szCs w:val="18"/>
              </w:rPr>
            </w:pPr>
            <w:r w:rsidRPr="00E170F0">
              <w:rPr>
                <w:rFonts w:ascii="Arial" w:eastAsia="Arial" w:hAnsi="Arial" w:cs="Arial"/>
                <w:sz w:val="18"/>
                <w:szCs w:val="18"/>
              </w:rPr>
              <w:t>Community Empowerment</w:t>
            </w:r>
          </w:p>
        </w:tc>
        <w:tc>
          <w:tcPr>
            <w:tcW w:w="905" w:type="dxa"/>
          </w:tcPr>
          <w:p w:rsidR="00E170F0" w:rsidRPr="00E170F0" w:rsidRDefault="00E170F0" w:rsidP="00E170F0">
            <w:pPr>
              <w:pStyle w:val="normal0"/>
              <w:spacing w:after="0" w:line="240" w:lineRule="auto"/>
              <w:ind w:hanging="2"/>
              <w:jc w:val="center"/>
              <w:rPr>
                <w:rFonts w:ascii="Arial" w:eastAsia="Arial" w:hAnsi="Arial" w:cs="Arial"/>
                <w:sz w:val="18"/>
                <w:szCs w:val="18"/>
              </w:rPr>
            </w:pPr>
            <w:r w:rsidRPr="00E170F0">
              <w:rPr>
                <w:rFonts w:ascii="Arial" w:eastAsia="Arial" w:hAnsi="Arial" w:cs="Arial"/>
                <w:sz w:val="18"/>
                <w:szCs w:val="18"/>
              </w:rPr>
              <w:t>14</w:t>
            </w:r>
          </w:p>
        </w:tc>
        <w:tc>
          <w:tcPr>
            <w:tcW w:w="992" w:type="dxa"/>
          </w:tcPr>
          <w:p w:rsidR="00E170F0" w:rsidRPr="00E170F0" w:rsidRDefault="00E170F0" w:rsidP="00E170F0">
            <w:pPr>
              <w:pStyle w:val="normal0"/>
              <w:spacing w:after="0" w:line="240" w:lineRule="auto"/>
              <w:ind w:hanging="2"/>
              <w:jc w:val="center"/>
              <w:rPr>
                <w:rFonts w:ascii="Arial" w:eastAsia="Arial" w:hAnsi="Arial" w:cs="Arial"/>
                <w:sz w:val="18"/>
                <w:szCs w:val="18"/>
              </w:rPr>
            </w:pPr>
            <w:r w:rsidRPr="00E170F0">
              <w:rPr>
                <w:rFonts w:ascii="Arial" w:eastAsia="Arial" w:hAnsi="Arial" w:cs="Arial"/>
                <w:sz w:val="18"/>
                <w:szCs w:val="18"/>
              </w:rPr>
              <w:t>11</w:t>
            </w:r>
          </w:p>
        </w:tc>
      </w:tr>
      <w:tr w:rsidR="00E170F0" w:rsidRPr="00E170F0" w:rsidTr="00E170F0">
        <w:tc>
          <w:tcPr>
            <w:tcW w:w="1134" w:type="dxa"/>
            <w:vMerge/>
          </w:tcPr>
          <w:p w:rsidR="00E170F0" w:rsidRPr="00E170F0" w:rsidRDefault="00E170F0" w:rsidP="00E170F0">
            <w:pPr>
              <w:pStyle w:val="normal0"/>
              <w:spacing w:after="0" w:line="240" w:lineRule="auto"/>
              <w:ind w:hanging="2"/>
              <w:jc w:val="both"/>
              <w:rPr>
                <w:rFonts w:ascii="Arial" w:eastAsia="Arial" w:hAnsi="Arial" w:cs="Arial"/>
                <w:sz w:val="18"/>
                <w:szCs w:val="18"/>
              </w:rPr>
            </w:pPr>
          </w:p>
        </w:tc>
        <w:tc>
          <w:tcPr>
            <w:tcW w:w="1701" w:type="dxa"/>
          </w:tcPr>
          <w:p w:rsidR="00E170F0" w:rsidRPr="00E170F0" w:rsidRDefault="00E170F0" w:rsidP="00E170F0">
            <w:pPr>
              <w:pStyle w:val="normal0"/>
              <w:spacing w:after="0" w:line="240" w:lineRule="auto"/>
              <w:ind w:hanging="2"/>
              <w:jc w:val="both"/>
              <w:rPr>
                <w:rFonts w:ascii="Arial" w:eastAsia="Arial" w:hAnsi="Arial" w:cs="Arial"/>
                <w:sz w:val="18"/>
                <w:szCs w:val="18"/>
              </w:rPr>
            </w:pPr>
            <w:r w:rsidRPr="00E170F0">
              <w:rPr>
                <w:rFonts w:ascii="Arial" w:eastAsia="Arial" w:hAnsi="Arial" w:cs="Arial"/>
                <w:sz w:val="18"/>
                <w:szCs w:val="18"/>
              </w:rPr>
              <w:t>Sustainability</w:t>
            </w:r>
          </w:p>
        </w:tc>
        <w:tc>
          <w:tcPr>
            <w:tcW w:w="905" w:type="dxa"/>
          </w:tcPr>
          <w:p w:rsidR="00E170F0" w:rsidRPr="00E170F0" w:rsidRDefault="00E170F0" w:rsidP="00E170F0">
            <w:pPr>
              <w:pStyle w:val="normal0"/>
              <w:spacing w:after="0" w:line="240" w:lineRule="auto"/>
              <w:ind w:hanging="2"/>
              <w:jc w:val="center"/>
              <w:rPr>
                <w:rFonts w:ascii="Arial" w:eastAsia="Arial" w:hAnsi="Arial" w:cs="Arial"/>
                <w:sz w:val="18"/>
                <w:szCs w:val="18"/>
              </w:rPr>
            </w:pPr>
            <w:r w:rsidRPr="00E170F0">
              <w:rPr>
                <w:rFonts w:ascii="Arial" w:eastAsia="Arial" w:hAnsi="Arial" w:cs="Arial"/>
                <w:sz w:val="18"/>
                <w:szCs w:val="18"/>
              </w:rPr>
              <w:t>9</w:t>
            </w:r>
          </w:p>
        </w:tc>
        <w:tc>
          <w:tcPr>
            <w:tcW w:w="992" w:type="dxa"/>
          </w:tcPr>
          <w:p w:rsidR="00E170F0" w:rsidRPr="00E170F0" w:rsidRDefault="00E170F0" w:rsidP="00E170F0">
            <w:pPr>
              <w:pStyle w:val="normal0"/>
              <w:spacing w:after="0" w:line="240" w:lineRule="auto"/>
              <w:ind w:hanging="2"/>
              <w:jc w:val="center"/>
              <w:rPr>
                <w:rFonts w:ascii="Arial" w:eastAsia="Arial" w:hAnsi="Arial" w:cs="Arial"/>
                <w:sz w:val="18"/>
                <w:szCs w:val="18"/>
              </w:rPr>
            </w:pPr>
            <w:r w:rsidRPr="00E170F0">
              <w:rPr>
                <w:rFonts w:ascii="Arial" w:eastAsia="Arial" w:hAnsi="Arial" w:cs="Arial"/>
                <w:sz w:val="18"/>
                <w:szCs w:val="18"/>
              </w:rPr>
              <w:t>14</w:t>
            </w:r>
          </w:p>
        </w:tc>
      </w:tr>
      <w:tr w:rsidR="00E170F0" w:rsidRPr="00E170F0" w:rsidTr="00E170F0">
        <w:tc>
          <w:tcPr>
            <w:tcW w:w="1134" w:type="dxa"/>
            <w:vMerge/>
          </w:tcPr>
          <w:p w:rsidR="00E170F0" w:rsidRPr="00E170F0" w:rsidRDefault="00E170F0" w:rsidP="00E170F0">
            <w:pPr>
              <w:pStyle w:val="normal0"/>
              <w:spacing w:after="0" w:line="240" w:lineRule="auto"/>
              <w:ind w:hanging="2"/>
              <w:jc w:val="both"/>
              <w:rPr>
                <w:rFonts w:ascii="Arial" w:eastAsia="Arial" w:hAnsi="Arial" w:cs="Arial"/>
                <w:sz w:val="18"/>
                <w:szCs w:val="18"/>
              </w:rPr>
            </w:pPr>
          </w:p>
        </w:tc>
        <w:tc>
          <w:tcPr>
            <w:tcW w:w="1701" w:type="dxa"/>
          </w:tcPr>
          <w:p w:rsidR="00E170F0" w:rsidRPr="00E170F0" w:rsidRDefault="00E170F0" w:rsidP="00E170F0">
            <w:pPr>
              <w:pStyle w:val="normal0"/>
              <w:spacing w:after="0" w:line="240" w:lineRule="auto"/>
              <w:ind w:hanging="2"/>
              <w:jc w:val="both"/>
              <w:rPr>
                <w:rFonts w:ascii="Arial" w:eastAsia="Arial" w:hAnsi="Arial" w:cs="Arial"/>
                <w:sz w:val="18"/>
                <w:szCs w:val="18"/>
              </w:rPr>
            </w:pPr>
            <w:r w:rsidRPr="00E170F0">
              <w:rPr>
                <w:rFonts w:ascii="Arial" w:eastAsia="Arial" w:hAnsi="Arial" w:cs="Arial"/>
                <w:sz w:val="18"/>
                <w:szCs w:val="18"/>
              </w:rPr>
              <w:t>Management</w:t>
            </w:r>
          </w:p>
        </w:tc>
        <w:tc>
          <w:tcPr>
            <w:tcW w:w="905" w:type="dxa"/>
          </w:tcPr>
          <w:p w:rsidR="00E170F0" w:rsidRPr="00E170F0" w:rsidRDefault="00E170F0" w:rsidP="00E170F0">
            <w:pPr>
              <w:pStyle w:val="normal0"/>
              <w:spacing w:after="0" w:line="240" w:lineRule="auto"/>
              <w:ind w:hanging="2"/>
              <w:jc w:val="center"/>
              <w:rPr>
                <w:rFonts w:ascii="Arial" w:eastAsia="Arial" w:hAnsi="Arial" w:cs="Arial"/>
                <w:sz w:val="18"/>
                <w:szCs w:val="18"/>
              </w:rPr>
            </w:pPr>
            <w:r w:rsidRPr="00E170F0">
              <w:rPr>
                <w:rFonts w:ascii="Arial" w:eastAsia="Arial" w:hAnsi="Arial" w:cs="Arial"/>
                <w:sz w:val="18"/>
                <w:szCs w:val="18"/>
              </w:rPr>
              <w:t>4</w:t>
            </w:r>
          </w:p>
        </w:tc>
        <w:tc>
          <w:tcPr>
            <w:tcW w:w="992" w:type="dxa"/>
          </w:tcPr>
          <w:p w:rsidR="00E170F0" w:rsidRPr="00E170F0" w:rsidRDefault="00E170F0" w:rsidP="00E170F0">
            <w:pPr>
              <w:pStyle w:val="normal0"/>
              <w:spacing w:after="0" w:line="240" w:lineRule="auto"/>
              <w:ind w:hanging="2"/>
              <w:jc w:val="center"/>
              <w:rPr>
                <w:rFonts w:ascii="Arial" w:eastAsia="Arial" w:hAnsi="Arial" w:cs="Arial"/>
                <w:sz w:val="18"/>
                <w:szCs w:val="18"/>
              </w:rPr>
            </w:pPr>
            <w:r w:rsidRPr="00E170F0">
              <w:rPr>
                <w:rFonts w:ascii="Arial" w:eastAsia="Arial" w:hAnsi="Arial" w:cs="Arial"/>
                <w:sz w:val="18"/>
                <w:szCs w:val="18"/>
              </w:rPr>
              <w:t>4</w:t>
            </w:r>
          </w:p>
        </w:tc>
      </w:tr>
      <w:tr w:rsidR="00E170F0" w:rsidRPr="00E170F0" w:rsidTr="00E170F0">
        <w:tc>
          <w:tcPr>
            <w:tcW w:w="1134" w:type="dxa"/>
            <w:vMerge w:val="restart"/>
            <w:vAlign w:val="center"/>
          </w:tcPr>
          <w:p w:rsidR="00E170F0" w:rsidRPr="00E170F0" w:rsidRDefault="00E170F0" w:rsidP="00E170F0">
            <w:pPr>
              <w:pStyle w:val="normal0"/>
              <w:spacing w:after="0" w:line="240" w:lineRule="auto"/>
              <w:ind w:leftChars="-90" w:left="-198" w:firstLineChars="107" w:firstLine="193"/>
              <w:jc w:val="center"/>
              <w:rPr>
                <w:rFonts w:ascii="Arial" w:eastAsia="Arial" w:hAnsi="Arial" w:cs="Arial"/>
                <w:sz w:val="18"/>
                <w:szCs w:val="18"/>
              </w:rPr>
            </w:pPr>
            <w:r w:rsidRPr="00E170F0">
              <w:rPr>
                <w:rFonts w:ascii="Arial" w:eastAsia="Arial" w:hAnsi="Arial" w:cs="Arial"/>
                <w:sz w:val="18"/>
                <w:szCs w:val="18"/>
              </w:rPr>
              <w:t>2</w:t>
            </w:r>
          </w:p>
          <w:p w:rsidR="00E170F0" w:rsidRPr="00E170F0" w:rsidRDefault="00E170F0" w:rsidP="00E170F0">
            <w:pPr>
              <w:pStyle w:val="normal0"/>
              <w:spacing w:after="0" w:line="240" w:lineRule="auto"/>
              <w:ind w:leftChars="-90" w:left="-198" w:right="-20" w:firstLineChars="107" w:firstLine="193"/>
              <w:jc w:val="center"/>
              <w:rPr>
                <w:rFonts w:ascii="Arial" w:eastAsia="Arial" w:hAnsi="Arial" w:cs="Arial"/>
                <w:sz w:val="18"/>
                <w:szCs w:val="18"/>
              </w:rPr>
            </w:pPr>
            <w:r w:rsidRPr="00E170F0">
              <w:rPr>
                <w:rFonts w:ascii="Arial" w:eastAsia="Arial" w:hAnsi="Arial" w:cs="Arial"/>
                <w:sz w:val="18"/>
                <w:szCs w:val="18"/>
              </w:rPr>
              <w:t>(GREEN)</w:t>
            </w:r>
          </w:p>
        </w:tc>
        <w:tc>
          <w:tcPr>
            <w:tcW w:w="1701" w:type="dxa"/>
          </w:tcPr>
          <w:p w:rsidR="00E170F0" w:rsidRPr="00E170F0" w:rsidRDefault="00E170F0" w:rsidP="00E170F0">
            <w:pPr>
              <w:pStyle w:val="normal0"/>
              <w:spacing w:after="0" w:line="240" w:lineRule="auto"/>
              <w:ind w:hanging="2"/>
              <w:jc w:val="both"/>
              <w:rPr>
                <w:rFonts w:ascii="Arial" w:eastAsia="Arial" w:hAnsi="Arial" w:cs="Arial"/>
                <w:sz w:val="18"/>
                <w:szCs w:val="18"/>
              </w:rPr>
            </w:pPr>
            <w:r w:rsidRPr="00E170F0">
              <w:rPr>
                <w:rFonts w:ascii="Arial" w:eastAsia="Arial" w:hAnsi="Arial" w:cs="Arial"/>
                <w:sz w:val="18"/>
                <w:szCs w:val="18"/>
              </w:rPr>
              <w:t>SMES</w:t>
            </w:r>
          </w:p>
        </w:tc>
        <w:tc>
          <w:tcPr>
            <w:tcW w:w="905" w:type="dxa"/>
          </w:tcPr>
          <w:p w:rsidR="00E170F0" w:rsidRPr="00E170F0" w:rsidRDefault="00E170F0" w:rsidP="00E170F0">
            <w:pPr>
              <w:pStyle w:val="normal0"/>
              <w:spacing w:after="0" w:line="240" w:lineRule="auto"/>
              <w:ind w:hanging="2"/>
              <w:jc w:val="center"/>
              <w:rPr>
                <w:rFonts w:ascii="Arial" w:eastAsia="Arial" w:hAnsi="Arial" w:cs="Arial"/>
                <w:sz w:val="18"/>
                <w:szCs w:val="18"/>
              </w:rPr>
            </w:pPr>
            <w:r w:rsidRPr="00E170F0">
              <w:rPr>
                <w:rFonts w:ascii="Arial" w:eastAsia="Arial" w:hAnsi="Arial" w:cs="Arial"/>
                <w:sz w:val="18"/>
                <w:szCs w:val="18"/>
              </w:rPr>
              <w:t>16</w:t>
            </w:r>
          </w:p>
        </w:tc>
        <w:tc>
          <w:tcPr>
            <w:tcW w:w="992" w:type="dxa"/>
          </w:tcPr>
          <w:p w:rsidR="00E170F0" w:rsidRPr="00E170F0" w:rsidRDefault="00E170F0" w:rsidP="00E170F0">
            <w:pPr>
              <w:pStyle w:val="normal0"/>
              <w:spacing w:after="0" w:line="240" w:lineRule="auto"/>
              <w:ind w:hanging="2"/>
              <w:jc w:val="center"/>
              <w:rPr>
                <w:rFonts w:ascii="Arial" w:eastAsia="Arial" w:hAnsi="Arial" w:cs="Arial"/>
                <w:sz w:val="18"/>
                <w:szCs w:val="18"/>
              </w:rPr>
            </w:pPr>
            <w:r w:rsidRPr="00E170F0">
              <w:rPr>
                <w:rFonts w:ascii="Arial" w:eastAsia="Arial" w:hAnsi="Arial" w:cs="Arial"/>
                <w:sz w:val="18"/>
                <w:szCs w:val="18"/>
              </w:rPr>
              <w:t>61</w:t>
            </w:r>
          </w:p>
        </w:tc>
      </w:tr>
      <w:tr w:rsidR="00E170F0" w:rsidRPr="00E170F0" w:rsidTr="00E170F0">
        <w:tc>
          <w:tcPr>
            <w:tcW w:w="1134" w:type="dxa"/>
            <w:vMerge/>
            <w:vAlign w:val="center"/>
          </w:tcPr>
          <w:p w:rsidR="00E170F0" w:rsidRPr="00E170F0" w:rsidRDefault="00E170F0" w:rsidP="00E170F0">
            <w:pPr>
              <w:pStyle w:val="normal0"/>
              <w:spacing w:after="0" w:line="240" w:lineRule="auto"/>
              <w:ind w:hanging="2"/>
              <w:jc w:val="center"/>
              <w:rPr>
                <w:rFonts w:ascii="Arial" w:eastAsia="Arial" w:hAnsi="Arial" w:cs="Arial"/>
                <w:sz w:val="18"/>
                <w:szCs w:val="18"/>
              </w:rPr>
            </w:pPr>
          </w:p>
        </w:tc>
        <w:tc>
          <w:tcPr>
            <w:tcW w:w="1701" w:type="dxa"/>
          </w:tcPr>
          <w:p w:rsidR="00E170F0" w:rsidRPr="00E170F0" w:rsidRDefault="00E170F0" w:rsidP="00E170F0">
            <w:pPr>
              <w:pStyle w:val="normal0"/>
              <w:spacing w:after="0" w:line="240" w:lineRule="auto"/>
              <w:ind w:hanging="2"/>
              <w:jc w:val="both"/>
              <w:rPr>
                <w:rFonts w:ascii="Arial" w:eastAsia="Arial" w:hAnsi="Arial" w:cs="Arial"/>
                <w:sz w:val="18"/>
                <w:szCs w:val="18"/>
              </w:rPr>
            </w:pPr>
            <w:r w:rsidRPr="00E170F0">
              <w:rPr>
                <w:rFonts w:ascii="Arial" w:eastAsia="Arial" w:hAnsi="Arial" w:cs="Arial"/>
                <w:sz w:val="18"/>
                <w:szCs w:val="18"/>
              </w:rPr>
              <w:t>Competitive advantage</w:t>
            </w:r>
          </w:p>
        </w:tc>
        <w:tc>
          <w:tcPr>
            <w:tcW w:w="905" w:type="dxa"/>
          </w:tcPr>
          <w:p w:rsidR="00E170F0" w:rsidRPr="00E170F0" w:rsidRDefault="00E170F0" w:rsidP="00E170F0">
            <w:pPr>
              <w:pStyle w:val="normal0"/>
              <w:spacing w:after="0" w:line="240" w:lineRule="auto"/>
              <w:ind w:hanging="2"/>
              <w:jc w:val="center"/>
              <w:rPr>
                <w:rFonts w:ascii="Arial" w:eastAsia="Arial" w:hAnsi="Arial" w:cs="Arial"/>
                <w:sz w:val="18"/>
                <w:szCs w:val="18"/>
              </w:rPr>
            </w:pPr>
            <w:r w:rsidRPr="00E170F0">
              <w:rPr>
                <w:rFonts w:ascii="Arial" w:eastAsia="Arial" w:hAnsi="Arial" w:cs="Arial"/>
                <w:sz w:val="18"/>
                <w:szCs w:val="18"/>
              </w:rPr>
              <w:t>8</w:t>
            </w:r>
          </w:p>
        </w:tc>
        <w:tc>
          <w:tcPr>
            <w:tcW w:w="992" w:type="dxa"/>
          </w:tcPr>
          <w:p w:rsidR="00E170F0" w:rsidRPr="00E170F0" w:rsidRDefault="00E170F0" w:rsidP="00E170F0">
            <w:pPr>
              <w:pStyle w:val="normal0"/>
              <w:spacing w:after="0" w:line="240" w:lineRule="auto"/>
              <w:ind w:hanging="2"/>
              <w:jc w:val="center"/>
              <w:rPr>
                <w:rFonts w:ascii="Arial" w:eastAsia="Arial" w:hAnsi="Arial" w:cs="Arial"/>
                <w:sz w:val="18"/>
                <w:szCs w:val="18"/>
              </w:rPr>
            </w:pPr>
            <w:r w:rsidRPr="00E170F0">
              <w:rPr>
                <w:rFonts w:ascii="Arial" w:eastAsia="Arial" w:hAnsi="Arial" w:cs="Arial"/>
                <w:sz w:val="18"/>
                <w:szCs w:val="18"/>
              </w:rPr>
              <w:t>49</w:t>
            </w:r>
          </w:p>
        </w:tc>
      </w:tr>
      <w:tr w:rsidR="00E170F0" w:rsidRPr="00E170F0" w:rsidTr="00E170F0">
        <w:tc>
          <w:tcPr>
            <w:tcW w:w="1134" w:type="dxa"/>
            <w:vMerge/>
            <w:vAlign w:val="center"/>
          </w:tcPr>
          <w:p w:rsidR="00E170F0" w:rsidRPr="00E170F0" w:rsidRDefault="00E170F0" w:rsidP="00E170F0">
            <w:pPr>
              <w:pStyle w:val="normal0"/>
              <w:spacing w:after="0" w:line="240" w:lineRule="auto"/>
              <w:ind w:hanging="2"/>
              <w:jc w:val="center"/>
              <w:rPr>
                <w:rFonts w:ascii="Arial" w:eastAsia="Arial" w:hAnsi="Arial" w:cs="Arial"/>
                <w:sz w:val="18"/>
                <w:szCs w:val="18"/>
              </w:rPr>
            </w:pPr>
          </w:p>
        </w:tc>
        <w:tc>
          <w:tcPr>
            <w:tcW w:w="1701" w:type="dxa"/>
          </w:tcPr>
          <w:p w:rsidR="00E170F0" w:rsidRPr="00E170F0" w:rsidRDefault="00E170F0" w:rsidP="00E170F0">
            <w:pPr>
              <w:pStyle w:val="normal0"/>
              <w:spacing w:after="0" w:line="240" w:lineRule="auto"/>
              <w:ind w:hanging="2"/>
              <w:jc w:val="both"/>
              <w:rPr>
                <w:rFonts w:ascii="Arial" w:eastAsia="Arial" w:hAnsi="Arial" w:cs="Arial"/>
                <w:sz w:val="18"/>
                <w:szCs w:val="18"/>
              </w:rPr>
            </w:pPr>
            <w:r w:rsidRPr="00E170F0">
              <w:rPr>
                <w:rFonts w:ascii="Arial" w:eastAsia="Arial" w:hAnsi="Arial" w:cs="Arial"/>
                <w:sz w:val="18"/>
                <w:szCs w:val="18"/>
              </w:rPr>
              <w:t>Sustainable Competitiveness</w:t>
            </w:r>
          </w:p>
        </w:tc>
        <w:tc>
          <w:tcPr>
            <w:tcW w:w="905" w:type="dxa"/>
          </w:tcPr>
          <w:p w:rsidR="00E170F0" w:rsidRPr="00E170F0" w:rsidRDefault="00E170F0" w:rsidP="00E170F0">
            <w:pPr>
              <w:pStyle w:val="normal0"/>
              <w:spacing w:after="0" w:line="240" w:lineRule="auto"/>
              <w:ind w:hanging="2"/>
              <w:jc w:val="center"/>
              <w:rPr>
                <w:rFonts w:ascii="Arial" w:eastAsia="Arial" w:hAnsi="Arial" w:cs="Arial"/>
                <w:sz w:val="18"/>
                <w:szCs w:val="18"/>
              </w:rPr>
            </w:pPr>
            <w:r w:rsidRPr="00E170F0">
              <w:rPr>
                <w:rFonts w:ascii="Arial" w:eastAsia="Arial" w:hAnsi="Arial" w:cs="Arial"/>
                <w:sz w:val="18"/>
                <w:szCs w:val="18"/>
              </w:rPr>
              <w:t>4</w:t>
            </w:r>
          </w:p>
        </w:tc>
        <w:tc>
          <w:tcPr>
            <w:tcW w:w="992" w:type="dxa"/>
          </w:tcPr>
          <w:p w:rsidR="00E170F0" w:rsidRPr="00E170F0" w:rsidRDefault="00E170F0" w:rsidP="00E170F0">
            <w:pPr>
              <w:pStyle w:val="normal0"/>
              <w:spacing w:after="0" w:line="240" w:lineRule="auto"/>
              <w:ind w:hanging="2"/>
              <w:jc w:val="center"/>
              <w:rPr>
                <w:rFonts w:ascii="Arial" w:eastAsia="Arial" w:hAnsi="Arial" w:cs="Arial"/>
                <w:sz w:val="18"/>
                <w:szCs w:val="18"/>
              </w:rPr>
            </w:pPr>
            <w:r w:rsidRPr="00E170F0">
              <w:rPr>
                <w:rFonts w:ascii="Arial" w:eastAsia="Arial" w:hAnsi="Arial" w:cs="Arial"/>
                <w:sz w:val="18"/>
                <w:szCs w:val="18"/>
              </w:rPr>
              <w:t>4</w:t>
            </w:r>
          </w:p>
        </w:tc>
      </w:tr>
      <w:tr w:rsidR="00E170F0" w:rsidRPr="00E170F0" w:rsidTr="00E170F0">
        <w:tc>
          <w:tcPr>
            <w:tcW w:w="1134" w:type="dxa"/>
            <w:vMerge/>
            <w:vAlign w:val="center"/>
          </w:tcPr>
          <w:p w:rsidR="00E170F0" w:rsidRPr="00E170F0" w:rsidRDefault="00E170F0" w:rsidP="00E170F0">
            <w:pPr>
              <w:pStyle w:val="normal0"/>
              <w:spacing w:after="0" w:line="240" w:lineRule="auto"/>
              <w:ind w:hanging="2"/>
              <w:jc w:val="center"/>
              <w:rPr>
                <w:rFonts w:ascii="Arial" w:eastAsia="Arial" w:hAnsi="Arial" w:cs="Arial"/>
                <w:sz w:val="18"/>
                <w:szCs w:val="18"/>
              </w:rPr>
            </w:pPr>
          </w:p>
        </w:tc>
        <w:tc>
          <w:tcPr>
            <w:tcW w:w="1701" w:type="dxa"/>
          </w:tcPr>
          <w:p w:rsidR="00E170F0" w:rsidRPr="00E170F0" w:rsidRDefault="00E170F0" w:rsidP="00E170F0">
            <w:pPr>
              <w:pStyle w:val="normal0"/>
              <w:spacing w:after="0" w:line="240" w:lineRule="auto"/>
              <w:ind w:hanging="2"/>
              <w:jc w:val="both"/>
              <w:rPr>
                <w:rFonts w:ascii="Arial" w:eastAsia="Arial" w:hAnsi="Arial" w:cs="Arial"/>
                <w:sz w:val="18"/>
                <w:szCs w:val="18"/>
              </w:rPr>
            </w:pPr>
            <w:r w:rsidRPr="00E170F0">
              <w:rPr>
                <w:rFonts w:ascii="Arial" w:eastAsia="Arial" w:hAnsi="Arial" w:cs="Arial"/>
                <w:sz w:val="18"/>
                <w:szCs w:val="18"/>
              </w:rPr>
              <w:t>Organisational growth transition</w:t>
            </w:r>
          </w:p>
        </w:tc>
        <w:tc>
          <w:tcPr>
            <w:tcW w:w="905" w:type="dxa"/>
          </w:tcPr>
          <w:p w:rsidR="00E170F0" w:rsidRPr="00E170F0" w:rsidRDefault="00E170F0" w:rsidP="00E170F0">
            <w:pPr>
              <w:pStyle w:val="normal0"/>
              <w:spacing w:after="0" w:line="240" w:lineRule="auto"/>
              <w:ind w:hanging="2"/>
              <w:jc w:val="center"/>
              <w:rPr>
                <w:rFonts w:ascii="Arial" w:eastAsia="Arial" w:hAnsi="Arial" w:cs="Arial"/>
                <w:sz w:val="18"/>
                <w:szCs w:val="18"/>
              </w:rPr>
            </w:pPr>
            <w:r w:rsidRPr="00E170F0">
              <w:rPr>
                <w:rFonts w:ascii="Arial" w:eastAsia="Arial" w:hAnsi="Arial" w:cs="Arial"/>
                <w:sz w:val="18"/>
                <w:szCs w:val="18"/>
              </w:rPr>
              <w:t>3</w:t>
            </w:r>
          </w:p>
        </w:tc>
        <w:tc>
          <w:tcPr>
            <w:tcW w:w="992" w:type="dxa"/>
          </w:tcPr>
          <w:p w:rsidR="00E170F0" w:rsidRPr="00E170F0" w:rsidRDefault="00E170F0" w:rsidP="00E170F0">
            <w:pPr>
              <w:pStyle w:val="normal0"/>
              <w:spacing w:after="0" w:line="240" w:lineRule="auto"/>
              <w:ind w:hanging="2"/>
              <w:jc w:val="center"/>
              <w:rPr>
                <w:rFonts w:ascii="Arial" w:eastAsia="Arial" w:hAnsi="Arial" w:cs="Arial"/>
                <w:sz w:val="18"/>
                <w:szCs w:val="18"/>
              </w:rPr>
            </w:pPr>
            <w:r w:rsidRPr="00E170F0">
              <w:rPr>
                <w:rFonts w:ascii="Arial" w:eastAsia="Arial" w:hAnsi="Arial" w:cs="Arial"/>
                <w:sz w:val="18"/>
                <w:szCs w:val="18"/>
              </w:rPr>
              <w:t>48</w:t>
            </w:r>
          </w:p>
          <w:p w:rsidR="00E170F0" w:rsidRPr="00E170F0" w:rsidRDefault="00E170F0" w:rsidP="00E170F0">
            <w:pPr>
              <w:pStyle w:val="normal0"/>
              <w:spacing w:after="0" w:line="240" w:lineRule="auto"/>
              <w:ind w:hanging="2"/>
              <w:jc w:val="center"/>
              <w:rPr>
                <w:rFonts w:ascii="Arial" w:eastAsia="Arial" w:hAnsi="Arial" w:cs="Arial"/>
                <w:sz w:val="18"/>
                <w:szCs w:val="18"/>
              </w:rPr>
            </w:pPr>
          </w:p>
        </w:tc>
      </w:tr>
      <w:tr w:rsidR="00E170F0" w:rsidRPr="00E170F0" w:rsidTr="00E170F0">
        <w:tc>
          <w:tcPr>
            <w:tcW w:w="1134" w:type="dxa"/>
            <w:vMerge w:val="restart"/>
            <w:vAlign w:val="center"/>
          </w:tcPr>
          <w:p w:rsidR="00E170F0" w:rsidRPr="00E170F0" w:rsidRDefault="00E170F0" w:rsidP="00E170F0">
            <w:pPr>
              <w:pStyle w:val="normal0"/>
              <w:spacing w:after="0" w:line="240" w:lineRule="auto"/>
              <w:ind w:hanging="2"/>
              <w:jc w:val="center"/>
              <w:rPr>
                <w:rFonts w:ascii="Arial" w:eastAsia="Arial" w:hAnsi="Arial" w:cs="Arial"/>
                <w:sz w:val="18"/>
                <w:szCs w:val="18"/>
              </w:rPr>
            </w:pPr>
            <w:r w:rsidRPr="00E170F0">
              <w:rPr>
                <w:rFonts w:ascii="Arial" w:eastAsia="Arial" w:hAnsi="Arial" w:cs="Arial"/>
                <w:sz w:val="18"/>
                <w:szCs w:val="18"/>
              </w:rPr>
              <w:t>3</w:t>
            </w:r>
          </w:p>
          <w:p w:rsidR="00E170F0" w:rsidRPr="00E170F0" w:rsidRDefault="00E170F0" w:rsidP="00E170F0">
            <w:pPr>
              <w:pStyle w:val="normal0"/>
              <w:spacing w:after="0" w:line="240" w:lineRule="auto"/>
              <w:ind w:hanging="2"/>
              <w:jc w:val="center"/>
              <w:rPr>
                <w:rFonts w:ascii="Arial" w:eastAsia="Arial" w:hAnsi="Arial" w:cs="Arial"/>
                <w:sz w:val="18"/>
                <w:szCs w:val="18"/>
              </w:rPr>
            </w:pPr>
            <w:r w:rsidRPr="00E170F0">
              <w:rPr>
                <w:rFonts w:ascii="Arial" w:eastAsia="Arial" w:hAnsi="Arial" w:cs="Arial"/>
                <w:sz w:val="18"/>
                <w:szCs w:val="18"/>
              </w:rPr>
              <w:t>(BLUE)</w:t>
            </w:r>
          </w:p>
        </w:tc>
        <w:tc>
          <w:tcPr>
            <w:tcW w:w="1701" w:type="dxa"/>
          </w:tcPr>
          <w:p w:rsidR="00E170F0" w:rsidRPr="00E170F0" w:rsidRDefault="00E170F0" w:rsidP="00E170F0">
            <w:pPr>
              <w:pStyle w:val="normal0"/>
              <w:spacing w:after="0" w:line="240" w:lineRule="auto"/>
              <w:ind w:hanging="2"/>
              <w:jc w:val="both"/>
              <w:rPr>
                <w:rFonts w:ascii="Arial" w:eastAsia="Arial" w:hAnsi="Arial" w:cs="Arial"/>
                <w:sz w:val="18"/>
                <w:szCs w:val="18"/>
              </w:rPr>
            </w:pPr>
            <w:r w:rsidRPr="00E170F0">
              <w:rPr>
                <w:rFonts w:ascii="Arial" w:eastAsia="Arial" w:hAnsi="Arial" w:cs="Arial"/>
                <w:sz w:val="18"/>
                <w:szCs w:val="18"/>
              </w:rPr>
              <w:t>Innovation</w:t>
            </w:r>
          </w:p>
        </w:tc>
        <w:tc>
          <w:tcPr>
            <w:tcW w:w="905" w:type="dxa"/>
          </w:tcPr>
          <w:p w:rsidR="00E170F0" w:rsidRPr="00E170F0" w:rsidRDefault="00E170F0" w:rsidP="00E170F0">
            <w:pPr>
              <w:pStyle w:val="normal0"/>
              <w:spacing w:after="0" w:line="240" w:lineRule="auto"/>
              <w:ind w:hanging="2"/>
              <w:jc w:val="center"/>
              <w:rPr>
                <w:rFonts w:ascii="Arial" w:eastAsia="Arial" w:hAnsi="Arial" w:cs="Arial"/>
                <w:sz w:val="18"/>
                <w:szCs w:val="18"/>
              </w:rPr>
            </w:pPr>
            <w:r w:rsidRPr="00E170F0">
              <w:rPr>
                <w:rFonts w:ascii="Arial" w:eastAsia="Arial" w:hAnsi="Arial" w:cs="Arial"/>
                <w:sz w:val="18"/>
                <w:szCs w:val="18"/>
              </w:rPr>
              <w:t>5</w:t>
            </w:r>
          </w:p>
        </w:tc>
        <w:tc>
          <w:tcPr>
            <w:tcW w:w="992" w:type="dxa"/>
          </w:tcPr>
          <w:p w:rsidR="00E170F0" w:rsidRPr="00E170F0" w:rsidRDefault="00E170F0" w:rsidP="00E170F0">
            <w:pPr>
              <w:pStyle w:val="normal0"/>
              <w:spacing w:after="0" w:line="240" w:lineRule="auto"/>
              <w:ind w:hanging="2"/>
              <w:jc w:val="center"/>
              <w:rPr>
                <w:rFonts w:ascii="Arial" w:eastAsia="Arial" w:hAnsi="Arial" w:cs="Arial"/>
                <w:sz w:val="18"/>
                <w:szCs w:val="18"/>
              </w:rPr>
            </w:pPr>
            <w:r w:rsidRPr="00E170F0">
              <w:rPr>
                <w:rFonts w:ascii="Arial" w:eastAsia="Arial" w:hAnsi="Arial" w:cs="Arial"/>
                <w:sz w:val="18"/>
                <w:szCs w:val="18"/>
              </w:rPr>
              <w:t>4</w:t>
            </w:r>
          </w:p>
        </w:tc>
      </w:tr>
      <w:tr w:rsidR="00E170F0" w:rsidRPr="00E170F0" w:rsidTr="00E170F0">
        <w:tc>
          <w:tcPr>
            <w:tcW w:w="1134" w:type="dxa"/>
            <w:vMerge/>
            <w:vAlign w:val="center"/>
          </w:tcPr>
          <w:p w:rsidR="00E170F0" w:rsidRPr="00E170F0" w:rsidRDefault="00E170F0" w:rsidP="00E170F0">
            <w:pPr>
              <w:pStyle w:val="normal0"/>
              <w:spacing w:after="0" w:line="240" w:lineRule="auto"/>
              <w:ind w:hanging="2"/>
              <w:jc w:val="center"/>
              <w:rPr>
                <w:rFonts w:ascii="Arial" w:eastAsia="Arial" w:hAnsi="Arial" w:cs="Arial"/>
                <w:sz w:val="18"/>
                <w:szCs w:val="18"/>
              </w:rPr>
            </w:pPr>
          </w:p>
        </w:tc>
        <w:tc>
          <w:tcPr>
            <w:tcW w:w="1701" w:type="dxa"/>
          </w:tcPr>
          <w:p w:rsidR="00E170F0" w:rsidRPr="00E170F0" w:rsidRDefault="00E170F0" w:rsidP="00E170F0">
            <w:pPr>
              <w:pStyle w:val="normal0"/>
              <w:spacing w:after="0" w:line="240" w:lineRule="auto"/>
              <w:ind w:hanging="2"/>
              <w:jc w:val="both"/>
              <w:rPr>
                <w:rFonts w:ascii="Arial" w:eastAsia="Arial" w:hAnsi="Arial" w:cs="Arial"/>
                <w:sz w:val="18"/>
                <w:szCs w:val="18"/>
              </w:rPr>
            </w:pPr>
            <w:r w:rsidRPr="00E170F0">
              <w:rPr>
                <w:rFonts w:ascii="Arial" w:eastAsia="Arial" w:hAnsi="Arial" w:cs="Arial"/>
                <w:sz w:val="18"/>
                <w:szCs w:val="18"/>
              </w:rPr>
              <w:t>Sustainable Development</w:t>
            </w:r>
          </w:p>
        </w:tc>
        <w:tc>
          <w:tcPr>
            <w:tcW w:w="905" w:type="dxa"/>
          </w:tcPr>
          <w:p w:rsidR="00E170F0" w:rsidRPr="00E170F0" w:rsidRDefault="00E170F0" w:rsidP="00E170F0">
            <w:pPr>
              <w:pStyle w:val="normal0"/>
              <w:spacing w:after="0" w:line="240" w:lineRule="auto"/>
              <w:ind w:hanging="2"/>
              <w:jc w:val="center"/>
              <w:rPr>
                <w:rFonts w:ascii="Arial" w:eastAsia="Arial" w:hAnsi="Arial" w:cs="Arial"/>
                <w:sz w:val="18"/>
                <w:szCs w:val="18"/>
              </w:rPr>
            </w:pPr>
            <w:r w:rsidRPr="00E170F0">
              <w:rPr>
                <w:rFonts w:ascii="Arial" w:eastAsia="Arial" w:hAnsi="Arial" w:cs="Arial"/>
                <w:sz w:val="18"/>
                <w:szCs w:val="18"/>
              </w:rPr>
              <w:t>5</w:t>
            </w:r>
          </w:p>
        </w:tc>
        <w:tc>
          <w:tcPr>
            <w:tcW w:w="992" w:type="dxa"/>
          </w:tcPr>
          <w:p w:rsidR="00E170F0" w:rsidRPr="00E170F0" w:rsidRDefault="00E170F0" w:rsidP="00E170F0">
            <w:pPr>
              <w:pStyle w:val="normal0"/>
              <w:spacing w:after="0" w:line="240" w:lineRule="auto"/>
              <w:ind w:hanging="2"/>
              <w:jc w:val="center"/>
              <w:rPr>
                <w:rFonts w:ascii="Arial" w:eastAsia="Arial" w:hAnsi="Arial" w:cs="Arial"/>
                <w:sz w:val="18"/>
                <w:szCs w:val="18"/>
              </w:rPr>
            </w:pPr>
            <w:r w:rsidRPr="00E170F0">
              <w:rPr>
                <w:rFonts w:ascii="Arial" w:eastAsia="Arial" w:hAnsi="Arial" w:cs="Arial"/>
                <w:sz w:val="18"/>
                <w:szCs w:val="18"/>
              </w:rPr>
              <w:t>2</w:t>
            </w:r>
          </w:p>
        </w:tc>
      </w:tr>
      <w:tr w:rsidR="00E170F0" w:rsidRPr="00E170F0" w:rsidTr="00E170F0">
        <w:tc>
          <w:tcPr>
            <w:tcW w:w="1134" w:type="dxa"/>
            <w:vMerge/>
            <w:vAlign w:val="center"/>
          </w:tcPr>
          <w:p w:rsidR="00E170F0" w:rsidRPr="00E170F0" w:rsidRDefault="00E170F0" w:rsidP="00E170F0">
            <w:pPr>
              <w:pStyle w:val="normal0"/>
              <w:spacing w:after="0" w:line="240" w:lineRule="auto"/>
              <w:ind w:hanging="2"/>
              <w:jc w:val="center"/>
              <w:rPr>
                <w:rFonts w:ascii="Arial" w:eastAsia="Arial" w:hAnsi="Arial" w:cs="Arial"/>
                <w:sz w:val="18"/>
                <w:szCs w:val="18"/>
              </w:rPr>
            </w:pPr>
          </w:p>
        </w:tc>
        <w:tc>
          <w:tcPr>
            <w:tcW w:w="1701" w:type="dxa"/>
          </w:tcPr>
          <w:p w:rsidR="00E170F0" w:rsidRPr="00E170F0" w:rsidRDefault="00E170F0" w:rsidP="00E170F0">
            <w:pPr>
              <w:pStyle w:val="normal0"/>
              <w:spacing w:after="0" w:line="240" w:lineRule="auto"/>
              <w:ind w:hanging="2"/>
              <w:jc w:val="both"/>
              <w:rPr>
                <w:rFonts w:ascii="Arial" w:eastAsia="Arial" w:hAnsi="Arial" w:cs="Arial"/>
                <w:sz w:val="18"/>
                <w:szCs w:val="18"/>
              </w:rPr>
            </w:pPr>
            <w:r w:rsidRPr="00E170F0">
              <w:rPr>
                <w:rFonts w:ascii="Arial" w:eastAsia="Arial" w:hAnsi="Arial" w:cs="Arial"/>
                <w:sz w:val="18"/>
                <w:szCs w:val="18"/>
              </w:rPr>
              <w:t>ESG</w:t>
            </w:r>
          </w:p>
        </w:tc>
        <w:tc>
          <w:tcPr>
            <w:tcW w:w="905" w:type="dxa"/>
          </w:tcPr>
          <w:p w:rsidR="00E170F0" w:rsidRPr="00E170F0" w:rsidRDefault="00E170F0" w:rsidP="00E170F0">
            <w:pPr>
              <w:pStyle w:val="normal0"/>
              <w:spacing w:after="0" w:line="240" w:lineRule="auto"/>
              <w:ind w:hanging="2"/>
              <w:jc w:val="center"/>
              <w:rPr>
                <w:rFonts w:ascii="Arial" w:eastAsia="Arial" w:hAnsi="Arial" w:cs="Arial"/>
                <w:sz w:val="18"/>
                <w:szCs w:val="18"/>
              </w:rPr>
            </w:pPr>
            <w:r w:rsidRPr="00E170F0">
              <w:rPr>
                <w:rFonts w:ascii="Arial" w:eastAsia="Arial" w:hAnsi="Arial" w:cs="Arial"/>
                <w:sz w:val="18"/>
                <w:szCs w:val="18"/>
              </w:rPr>
              <w:t>4</w:t>
            </w:r>
          </w:p>
        </w:tc>
        <w:tc>
          <w:tcPr>
            <w:tcW w:w="992" w:type="dxa"/>
          </w:tcPr>
          <w:p w:rsidR="00E170F0" w:rsidRPr="00E170F0" w:rsidRDefault="00E170F0" w:rsidP="00E170F0">
            <w:pPr>
              <w:pStyle w:val="normal0"/>
              <w:spacing w:after="0" w:line="240" w:lineRule="auto"/>
              <w:ind w:hanging="2"/>
              <w:jc w:val="center"/>
              <w:rPr>
                <w:rFonts w:ascii="Arial" w:eastAsia="Arial" w:hAnsi="Arial" w:cs="Arial"/>
                <w:sz w:val="18"/>
                <w:szCs w:val="18"/>
              </w:rPr>
            </w:pPr>
            <w:r w:rsidRPr="00E170F0">
              <w:rPr>
                <w:rFonts w:ascii="Arial" w:eastAsia="Arial" w:hAnsi="Arial" w:cs="Arial"/>
                <w:sz w:val="18"/>
                <w:szCs w:val="18"/>
              </w:rPr>
              <w:t>10</w:t>
            </w:r>
          </w:p>
        </w:tc>
      </w:tr>
      <w:tr w:rsidR="00E170F0" w:rsidRPr="00E170F0" w:rsidTr="00E170F0">
        <w:tc>
          <w:tcPr>
            <w:tcW w:w="1134" w:type="dxa"/>
            <w:vMerge w:val="restart"/>
            <w:vAlign w:val="center"/>
          </w:tcPr>
          <w:p w:rsidR="00E170F0" w:rsidRPr="00E170F0" w:rsidRDefault="00E170F0" w:rsidP="00E170F0">
            <w:pPr>
              <w:pStyle w:val="normal0"/>
              <w:spacing w:after="0" w:line="240" w:lineRule="auto"/>
              <w:ind w:leftChars="-49" w:left="-106" w:right="-162" w:hanging="2"/>
              <w:jc w:val="center"/>
              <w:rPr>
                <w:rFonts w:ascii="Arial" w:eastAsia="Arial" w:hAnsi="Arial" w:cs="Arial"/>
                <w:sz w:val="18"/>
                <w:szCs w:val="18"/>
              </w:rPr>
            </w:pPr>
            <w:r w:rsidRPr="00E170F0">
              <w:rPr>
                <w:rFonts w:ascii="Arial" w:eastAsia="Arial" w:hAnsi="Arial" w:cs="Arial"/>
                <w:sz w:val="18"/>
                <w:szCs w:val="18"/>
              </w:rPr>
              <w:t>4</w:t>
            </w:r>
          </w:p>
          <w:p w:rsidR="00E170F0" w:rsidRPr="00E170F0" w:rsidRDefault="00E170F0" w:rsidP="00E170F0">
            <w:pPr>
              <w:pStyle w:val="normal0"/>
              <w:spacing w:after="0" w:line="240" w:lineRule="auto"/>
              <w:ind w:leftChars="-49" w:left="-106" w:right="-162" w:hanging="2"/>
              <w:jc w:val="center"/>
              <w:rPr>
                <w:rFonts w:ascii="Arial" w:eastAsia="Arial" w:hAnsi="Arial" w:cs="Arial"/>
                <w:sz w:val="18"/>
                <w:szCs w:val="18"/>
              </w:rPr>
            </w:pPr>
            <w:r w:rsidRPr="00E170F0">
              <w:rPr>
                <w:rFonts w:ascii="Arial" w:eastAsia="Arial" w:hAnsi="Arial" w:cs="Arial"/>
                <w:sz w:val="18"/>
                <w:szCs w:val="18"/>
              </w:rPr>
              <w:t xml:space="preserve"> (YELLOW)</w:t>
            </w:r>
          </w:p>
        </w:tc>
        <w:tc>
          <w:tcPr>
            <w:tcW w:w="1701" w:type="dxa"/>
          </w:tcPr>
          <w:p w:rsidR="00E170F0" w:rsidRPr="00E170F0" w:rsidRDefault="00E170F0" w:rsidP="00E170F0">
            <w:pPr>
              <w:pStyle w:val="normal0"/>
              <w:spacing w:after="0" w:line="240" w:lineRule="auto"/>
              <w:ind w:hanging="2"/>
              <w:jc w:val="both"/>
              <w:rPr>
                <w:rFonts w:ascii="Arial" w:eastAsia="Arial" w:hAnsi="Arial" w:cs="Arial"/>
                <w:sz w:val="18"/>
                <w:szCs w:val="18"/>
              </w:rPr>
            </w:pPr>
            <w:r w:rsidRPr="00E170F0">
              <w:rPr>
                <w:rFonts w:ascii="Arial" w:eastAsia="Arial" w:hAnsi="Arial" w:cs="Arial"/>
                <w:sz w:val="18"/>
                <w:szCs w:val="18"/>
              </w:rPr>
              <w:t>Rural Community</w:t>
            </w:r>
          </w:p>
        </w:tc>
        <w:tc>
          <w:tcPr>
            <w:tcW w:w="905" w:type="dxa"/>
          </w:tcPr>
          <w:p w:rsidR="00E170F0" w:rsidRPr="00E170F0" w:rsidRDefault="00E170F0" w:rsidP="00E170F0">
            <w:pPr>
              <w:pStyle w:val="normal0"/>
              <w:spacing w:after="0" w:line="240" w:lineRule="auto"/>
              <w:ind w:hanging="2"/>
              <w:jc w:val="center"/>
              <w:rPr>
                <w:rFonts w:ascii="Arial" w:eastAsia="Arial" w:hAnsi="Arial" w:cs="Arial"/>
                <w:sz w:val="18"/>
                <w:szCs w:val="18"/>
              </w:rPr>
            </w:pPr>
            <w:r w:rsidRPr="00E170F0">
              <w:rPr>
                <w:rFonts w:ascii="Arial" w:eastAsia="Arial" w:hAnsi="Arial" w:cs="Arial"/>
                <w:sz w:val="18"/>
                <w:szCs w:val="18"/>
              </w:rPr>
              <w:t>4</w:t>
            </w:r>
          </w:p>
        </w:tc>
        <w:tc>
          <w:tcPr>
            <w:tcW w:w="992" w:type="dxa"/>
          </w:tcPr>
          <w:p w:rsidR="00E170F0" w:rsidRPr="00E170F0" w:rsidRDefault="00E170F0" w:rsidP="00E170F0">
            <w:pPr>
              <w:pStyle w:val="normal0"/>
              <w:spacing w:after="0" w:line="240" w:lineRule="auto"/>
              <w:ind w:hanging="2"/>
              <w:jc w:val="center"/>
              <w:rPr>
                <w:rFonts w:ascii="Arial" w:eastAsia="Arial" w:hAnsi="Arial" w:cs="Arial"/>
                <w:sz w:val="18"/>
                <w:szCs w:val="18"/>
              </w:rPr>
            </w:pPr>
            <w:r w:rsidRPr="00E170F0">
              <w:rPr>
                <w:rFonts w:ascii="Arial" w:eastAsia="Arial" w:hAnsi="Arial" w:cs="Arial"/>
                <w:sz w:val="18"/>
                <w:szCs w:val="18"/>
              </w:rPr>
              <w:t>8</w:t>
            </w:r>
          </w:p>
        </w:tc>
      </w:tr>
      <w:tr w:rsidR="00E170F0" w:rsidRPr="00E170F0" w:rsidTr="00E170F0">
        <w:tc>
          <w:tcPr>
            <w:tcW w:w="1134" w:type="dxa"/>
            <w:vMerge/>
          </w:tcPr>
          <w:p w:rsidR="00E170F0" w:rsidRPr="00E170F0" w:rsidRDefault="00E170F0" w:rsidP="00E170F0">
            <w:pPr>
              <w:pStyle w:val="normal0"/>
              <w:spacing w:after="0" w:line="240" w:lineRule="auto"/>
              <w:ind w:hanging="2"/>
              <w:jc w:val="both"/>
              <w:rPr>
                <w:rFonts w:ascii="Arial" w:eastAsia="Arial" w:hAnsi="Arial" w:cs="Arial"/>
                <w:sz w:val="18"/>
                <w:szCs w:val="18"/>
              </w:rPr>
            </w:pPr>
          </w:p>
        </w:tc>
        <w:tc>
          <w:tcPr>
            <w:tcW w:w="1701" w:type="dxa"/>
          </w:tcPr>
          <w:p w:rsidR="00E170F0" w:rsidRPr="00E170F0" w:rsidRDefault="00E170F0" w:rsidP="00E170F0">
            <w:pPr>
              <w:pStyle w:val="normal0"/>
              <w:spacing w:after="0" w:line="240" w:lineRule="auto"/>
              <w:ind w:hanging="2"/>
              <w:jc w:val="both"/>
              <w:rPr>
                <w:rFonts w:ascii="Arial" w:eastAsia="Arial" w:hAnsi="Arial" w:cs="Arial"/>
                <w:sz w:val="18"/>
                <w:szCs w:val="18"/>
              </w:rPr>
            </w:pPr>
            <w:r w:rsidRPr="00E170F0">
              <w:rPr>
                <w:rFonts w:ascii="Arial" w:eastAsia="Arial" w:hAnsi="Arial" w:cs="Arial"/>
                <w:sz w:val="18"/>
                <w:szCs w:val="18"/>
              </w:rPr>
              <w:t>Tourism</w:t>
            </w:r>
          </w:p>
        </w:tc>
        <w:tc>
          <w:tcPr>
            <w:tcW w:w="905" w:type="dxa"/>
          </w:tcPr>
          <w:p w:rsidR="00E170F0" w:rsidRPr="00E170F0" w:rsidRDefault="00E170F0" w:rsidP="00E170F0">
            <w:pPr>
              <w:pStyle w:val="normal0"/>
              <w:spacing w:after="0" w:line="240" w:lineRule="auto"/>
              <w:ind w:hanging="2"/>
              <w:jc w:val="center"/>
              <w:rPr>
                <w:rFonts w:ascii="Arial" w:eastAsia="Arial" w:hAnsi="Arial" w:cs="Arial"/>
                <w:sz w:val="18"/>
                <w:szCs w:val="18"/>
              </w:rPr>
            </w:pPr>
            <w:r w:rsidRPr="00E170F0">
              <w:rPr>
                <w:rFonts w:ascii="Arial" w:eastAsia="Arial" w:hAnsi="Arial" w:cs="Arial"/>
                <w:sz w:val="18"/>
                <w:szCs w:val="18"/>
              </w:rPr>
              <w:t>4</w:t>
            </w:r>
          </w:p>
        </w:tc>
        <w:tc>
          <w:tcPr>
            <w:tcW w:w="992" w:type="dxa"/>
          </w:tcPr>
          <w:p w:rsidR="00E170F0" w:rsidRPr="00E170F0" w:rsidRDefault="00E170F0" w:rsidP="00E170F0">
            <w:pPr>
              <w:pStyle w:val="normal0"/>
              <w:spacing w:after="0" w:line="240" w:lineRule="auto"/>
              <w:ind w:hanging="2"/>
              <w:jc w:val="center"/>
              <w:rPr>
                <w:rFonts w:ascii="Arial" w:eastAsia="Arial" w:hAnsi="Arial" w:cs="Arial"/>
                <w:sz w:val="18"/>
                <w:szCs w:val="18"/>
              </w:rPr>
            </w:pPr>
            <w:r w:rsidRPr="00E170F0">
              <w:rPr>
                <w:rFonts w:ascii="Arial" w:eastAsia="Arial" w:hAnsi="Arial" w:cs="Arial"/>
                <w:sz w:val="18"/>
                <w:szCs w:val="18"/>
              </w:rPr>
              <w:t>6</w:t>
            </w:r>
          </w:p>
        </w:tc>
      </w:tr>
      <w:tr w:rsidR="00E170F0" w:rsidRPr="00E170F0" w:rsidTr="00E170F0">
        <w:tc>
          <w:tcPr>
            <w:tcW w:w="1134" w:type="dxa"/>
            <w:vMerge/>
          </w:tcPr>
          <w:p w:rsidR="00E170F0" w:rsidRPr="00E170F0" w:rsidRDefault="00E170F0" w:rsidP="00E170F0">
            <w:pPr>
              <w:pStyle w:val="normal0"/>
              <w:spacing w:after="0" w:line="240" w:lineRule="auto"/>
              <w:ind w:hanging="2"/>
              <w:jc w:val="both"/>
              <w:rPr>
                <w:rFonts w:ascii="Arial" w:eastAsia="Arial" w:hAnsi="Arial" w:cs="Arial"/>
                <w:sz w:val="18"/>
                <w:szCs w:val="18"/>
              </w:rPr>
            </w:pPr>
          </w:p>
        </w:tc>
        <w:tc>
          <w:tcPr>
            <w:tcW w:w="1701" w:type="dxa"/>
          </w:tcPr>
          <w:p w:rsidR="00E170F0" w:rsidRPr="00E170F0" w:rsidRDefault="00E170F0" w:rsidP="00E170F0">
            <w:pPr>
              <w:pStyle w:val="normal0"/>
              <w:spacing w:after="0" w:line="240" w:lineRule="auto"/>
              <w:ind w:hanging="2"/>
              <w:jc w:val="both"/>
              <w:rPr>
                <w:rFonts w:ascii="Arial" w:eastAsia="Arial" w:hAnsi="Arial" w:cs="Arial"/>
                <w:sz w:val="18"/>
                <w:szCs w:val="18"/>
              </w:rPr>
            </w:pPr>
            <w:r w:rsidRPr="00E170F0">
              <w:rPr>
                <w:rFonts w:ascii="Arial" w:eastAsia="Arial" w:hAnsi="Arial" w:cs="Arial"/>
                <w:sz w:val="18"/>
                <w:szCs w:val="18"/>
              </w:rPr>
              <w:t>Empowerment</w:t>
            </w:r>
          </w:p>
        </w:tc>
        <w:tc>
          <w:tcPr>
            <w:tcW w:w="905" w:type="dxa"/>
          </w:tcPr>
          <w:p w:rsidR="00E170F0" w:rsidRPr="00E170F0" w:rsidRDefault="00E170F0" w:rsidP="00E170F0">
            <w:pPr>
              <w:pStyle w:val="normal0"/>
              <w:spacing w:after="0" w:line="240" w:lineRule="auto"/>
              <w:ind w:hanging="2"/>
              <w:jc w:val="center"/>
              <w:rPr>
                <w:rFonts w:ascii="Arial" w:eastAsia="Arial" w:hAnsi="Arial" w:cs="Arial"/>
                <w:sz w:val="18"/>
                <w:szCs w:val="18"/>
              </w:rPr>
            </w:pPr>
            <w:r w:rsidRPr="00E170F0">
              <w:rPr>
                <w:rFonts w:ascii="Arial" w:eastAsia="Arial" w:hAnsi="Arial" w:cs="Arial"/>
                <w:sz w:val="18"/>
                <w:szCs w:val="18"/>
              </w:rPr>
              <w:t>4</w:t>
            </w:r>
          </w:p>
        </w:tc>
        <w:tc>
          <w:tcPr>
            <w:tcW w:w="992" w:type="dxa"/>
          </w:tcPr>
          <w:p w:rsidR="00E170F0" w:rsidRPr="00E170F0" w:rsidRDefault="00E170F0" w:rsidP="00E170F0">
            <w:pPr>
              <w:pStyle w:val="normal0"/>
              <w:spacing w:after="0" w:line="240" w:lineRule="auto"/>
              <w:ind w:hanging="2"/>
              <w:jc w:val="center"/>
              <w:rPr>
                <w:rFonts w:ascii="Arial" w:eastAsia="Arial" w:hAnsi="Arial" w:cs="Arial"/>
                <w:sz w:val="18"/>
                <w:szCs w:val="18"/>
              </w:rPr>
            </w:pPr>
            <w:r w:rsidRPr="00E170F0">
              <w:rPr>
                <w:rFonts w:ascii="Arial" w:eastAsia="Arial" w:hAnsi="Arial" w:cs="Arial"/>
                <w:sz w:val="18"/>
                <w:szCs w:val="18"/>
              </w:rPr>
              <w:t>6</w:t>
            </w:r>
          </w:p>
        </w:tc>
      </w:tr>
    </w:tbl>
    <w:p w:rsidR="00E170F0" w:rsidRDefault="00E170F0" w:rsidP="00E170F0">
      <w:pPr>
        <w:spacing w:after="0" w:line="240" w:lineRule="auto"/>
        <w:jc w:val="both"/>
        <w:rPr>
          <w:rFonts w:ascii="Arial" w:hAnsi="Arial" w:cs="Arial"/>
          <w:sz w:val="20"/>
          <w:szCs w:val="20"/>
        </w:rPr>
      </w:pPr>
      <w:r w:rsidRPr="00E170F0">
        <w:rPr>
          <w:rFonts w:ascii="Arial" w:hAnsi="Arial" w:cs="Arial"/>
          <w:sz w:val="20"/>
          <w:szCs w:val="20"/>
        </w:rPr>
        <w:t>Source: Vos Viewer Results</w:t>
      </w:r>
    </w:p>
    <w:p w:rsidR="004D4D42" w:rsidRDefault="004D4D42" w:rsidP="00047E55">
      <w:pPr>
        <w:spacing w:after="0" w:line="240" w:lineRule="auto"/>
        <w:jc w:val="both"/>
        <w:rPr>
          <w:rFonts w:ascii="Arial" w:hAnsi="Arial" w:cs="Arial"/>
          <w:sz w:val="20"/>
          <w:szCs w:val="20"/>
        </w:rPr>
      </w:pPr>
    </w:p>
    <w:p w:rsidR="004D4D42" w:rsidRDefault="004D4D42" w:rsidP="004D4D42">
      <w:pPr>
        <w:spacing w:after="0" w:line="240" w:lineRule="auto"/>
        <w:ind w:firstLine="567"/>
        <w:jc w:val="both"/>
        <w:rPr>
          <w:rFonts w:ascii="Arial" w:hAnsi="Arial" w:cs="Arial"/>
          <w:sz w:val="20"/>
          <w:szCs w:val="20"/>
        </w:rPr>
      </w:pPr>
      <w:r w:rsidRPr="003C67CE">
        <w:rPr>
          <w:rFonts w:ascii="Arial" w:hAnsi="Arial" w:cs="Arial"/>
          <w:sz w:val="20"/>
          <w:szCs w:val="20"/>
        </w:rPr>
        <w:t>Visualization of the network results for Co-Occurrence can be seen in Figure 6, which illustrates the relationship between each keywor</w:t>
      </w:r>
      <w:r>
        <w:rPr>
          <w:rFonts w:ascii="Arial" w:hAnsi="Arial" w:cs="Arial"/>
          <w:sz w:val="20"/>
          <w:szCs w:val="20"/>
        </w:rPr>
        <w:t>d in the article search results</w:t>
      </w:r>
      <w:r w:rsidRPr="003C67CE">
        <w:rPr>
          <w:rFonts w:ascii="Arial" w:hAnsi="Arial" w:cs="Arial"/>
          <w:sz w:val="20"/>
          <w:szCs w:val="20"/>
        </w:rPr>
        <w:t>.</w:t>
      </w:r>
    </w:p>
    <w:p w:rsidR="001B685A" w:rsidRDefault="003C67CE" w:rsidP="003C67CE">
      <w:pPr>
        <w:spacing w:after="0" w:line="240" w:lineRule="auto"/>
        <w:ind w:firstLine="567"/>
        <w:jc w:val="both"/>
        <w:rPr>
          <w:rFonts w:ascii="Arial" w:hAnsi="Arial" w:cs="Arial"/>
          <w:sz w:val="20"/>
          <w:szCs w:val="20"/>
        </w:rPr>
      </w:pPr>
      <w:r w:rsidRPr="003C67CE">
        <w:rPr>
          <w:rFonts w:ascii="Arial" w:hAnsi="Arial" w:cs="Arial"/>
          <w:sz w:val="20"/>
          <w:szCs w:val="20"/>
        </w:rPr>
        <w:t>Next is to see the results of the density between keywords. Color density is a file that shows the density of each text from the keyword. In the visualization, the denser an item is, the brighter the color will be seen, but if the density of an item decreases, it will look increasingly faded</w:t>
      </w:r>
      <w:r>
        <w:rPr>
          <w:rFonts w:ascii="Arial" w:hAnsi="Arial" w:cs="Arial"/>
          <w:sz w:val="20"/>
          <w:szCs w:val="20"/>
        </w:rPr>
        <w:t xml:space="preserve"> </w:t>
      </w:r>
      <w:r>
        <w:rPr>
          <w:rFonts w:ascii="Arial" w:eastAsia="Arial" w:hAnsi="Arial" w:cs="Arial"/>
          <w:sz w:val="20"/>
          <w:szCs w:val="20"/>
        </w:rPr>
        <w:fldChar w:fldCharType="begin" w:fldLock="1"/>
      </w:r>
      <w:r>
        <w:rPr>
          <w:rFonts w:ascii="Arial" w:eastAsia="Arial" w:hAnsi="Arial" w:cs="Arial"/>
          <w:sz w:val="20"/>
          <w:szCs w:val="20"/>
        </w:rPr>
        <w:instrText>ADDIN CSL_CITATION {"citationItems":[{"id":"ITEM-1","itemData":{"abstract":"1 January 2013","author":[{"dropping-particle":"","family":"Eck","given":"Nees Jan","non-dropping-particle":"van","parse-names":false,"suffix":""},{"dropping-particle":"","family":"Waltman","given":"Ludo","non-dropping-particle":"","parse-names":false,"suffix":""}],"container-title":"Leiden: Univeristeit Leiden","id":"ITEM-1","issue":"January","issued":{"date-parts":[["2023"]]},"page":"54","title":"VOSviewer Manual version 1.6.19","type":"article-journal"},"uris":["http://www.mendeley.com/documents/?uuid=8ca151b7-7601-4a9a-b883-07b51d32784d"]}],"mendeley":{"formattedCitation":"[15]","plainTextFormattedCitation":"[15]","previouslyFormattedCitation":"[15]"},"properties":{"noteIndex":0},"schema":"https://github.com/citation-style-language/schema/raw/master/csl-citation.json"}</w:instrText>
      </w:r>
      <w:r>
        <w:rPr>
          <w:rFonts w:ascii="Arial" w:eastAsia="Arial" w:hAnsi="Arial" w:cs="Arial"/>
          <w:sz w:val="20"/>
          <w:szCs w:val="20"/>
        </w:rPr>
        <w:fldChar w:fldCharType="separate"/>
      </w:r>
      <w:r w:rsidRPr="00DA0C56">
        <w:rPr>
          <w:rFonts w:ascii="Arial" w:eastAsia="Arial" w:hAnsi="Arial" w:cs="Arial"/>
          <w:noProof/>
          <w:sz w:val="20"/>
          <w:szCs w:val="20"/>
        </w:rPr>
        <w:t>[15]</w:t>
      </w:r>
      <w:r>
        <w:rPr>
          <w:rFonts w:ascii="Arial" w:eastAsia="Arial" w:hAnsi="Arial" w:cs="Arial"/>
          <w:sz w:val="20"/>
          <w:szCs w:val="20"/>
        </w:rPr>
        <w:fldChar w:fldCharType="end"/>
      </w:r>
      <w:r w:rsidRPr="003C67CE">
        <w:rPr>
          <w:rFonts w:ascii="Arial" w:hAnsi="Arial" w:cs="Arial"/>
          <w:sz w:val="20"/>
          <w:szCs w:val="20"/>
        </w:rPr>
        <w:t>.</w:t>
      </w:r>
      <w:r>
        <w:rPr>
          <w:rFonts w:ascii="Arial" w:hAnsi="Arial" w:cs="Arial"/>
          <w:sz w:val="20"/>
          <w:szCs w:val="20"/>
        </w:rPr>
        <w:t xml:space="preserve"> Figure 7</w:t>
      </w:r>
    </w:p>
    <w:p w:rsidR="003C67CE" w:rsidRDefault="004D4D42" w:rsidP="00E77EE0">
      <w:pPr>
        <w:spacing w:after="0" w:line="240" w:lineRule="auto"/>
        <w:ind w:firstLine="567"/>
        <w:jc w:val="both"/>
        <w:rPr>
          <w:rFonts w:ascii="Arial" w:hAnsi="Arial" w:cs="Arial"/>
          <w:sz w:val="20"/>
          <w:szCs w:val="20"/>
        </w:rPr>
      </w:pPr>
      <w:r w:rsidRPr="004D4D42">
        <w:rPr>
          <w:rFonts w:ascii="Arial" w:hAnsi="Arial" w:cs="Arial"/>
          <w:sz w:val="20"/>
          <w:szCs w:val="20"/>
        </w:rPr>
        <w:t>From the visual density results of Figure 7, keywords such as "SMEs", "competitiveness", "community empowerment", and "sustainability" appear to have a high density (yellow zone). This means that this topic is the most discussed and is the main focus of the study. As for topics that can be closely related, keywords such as "innovation", "sustainable competitiveness", and "sustainable development" are closely related to the main topic and often appear together, but are not as dense as the main keywords. Specific or Targeted Topics: Keywords such as "rural community empowerment" appear in areas with lower density, indicating that they are more specific or have not been widely discussed in the literature.</w:t>
      </w:r>
    </w:p>
    <w:p w:rsidR="003C67CE" w:rsidRDefault="003C67CE" w:rsidP="008424DD">
      <w:pPr>
        <w:spacing w:after="0" w:line="240" w:lineRule="auto"/>
        <w:jc w:val="both"/>
        <w:rPr>
          <w:rFonts w:ascii="Arial" w:hAnsi="Arial" w:cs="Arial"/>
          <w:sz w:val="20"/>
          <w:szCs w:val="20"/>
        </w:rPr>
      </w:pPr>
    </w:p>
    <w:p w:rsidR="00E77EE0" w:rsidRDefault="00E77EE0" w:rsidP="008424DD">
      <w:pPr>
        <w:spacing w:after="0" w:line="240" w:lineRule="auto"/>
        <w:jc w:val="both"/>
        <w:rPr>
          <w:rFonts w:ascii="Arial" w:hAnsi="Arial" w:cs="Arial"/>
          <w:sz w:val="20"/>
          <w:szCs w:val="20"/>
        </w:rPr>
      </w:pPr>
    </w:p>
    <w:p w:rsidR="00E77EE0" w:rsidRDefault="00E77EE0" w:rsidP="008424DD">
      <w:pPr>
        <w:spacing w:after="0" w:line="240" w:lineRule="auto"/>
        <w:jc w:val="both"/>
        <w:rPr>
          <w:rFonts w:ascii="Arial" w:hAnsi="Arial" w:cs="Arial"/>
          <w:sz w:val="20"/>
          <w:szCs w:val="20"/>
        </w:rPr>
      </w:pPr>
    </w:p>
    <w:p w:rsidR="00E77EE0" w:rsidRDefault="00E77EE0" w:rsidP="008424DD">
      <w:pPr>
        <w:spacing w:after="0" w:line="240" w:lineRule="auto"/>
        <w:jc w:val="both"/>
        <w:rPr>
          <w:rFonts w:ascii="Arial" w:hAnsi="Arial" w:cs="Arial"/>
          <w:sz w:val="20"/>
          <w:szCs w:val="20"/>
        </w:rPr>
      </w:pPr>
    </w:p>
    <w:p w:rsidR="00E77EE0" w:rsidRDefault="00E77EE0" w:rsidP="008424DD">
      <w:pPr>
        <w:spacing w:after="0" w:line="240" w:lineRule="auto"/>
        <w:jc w:val="both"/>
        <w:rPr>
          <w:rFonts w:ascii="Arial" w:hAnsi="Arial" w:cs="Arial"/>
          <w:sz w:val="20"/>
          <w:szCs w:val="20"/>
        </w:rPr>
      </w:pPr>
    </w:p>
    <w:p w:rsidR="00E77EE0" w:rsidRDefault="00E77EE0" w:rsidP="008424DD">
      <w:pPr>
        <w:spacing w:after="0" w:line="240" w:lineRule="auto"/>
        <w:jc w:val="both"/>
        <w:rPr>
          <w:rFonts w:ascii="Arial" w:hAnsi="Arial" w:cs="Arial"/>
          <w:sz w:val="20"/>
          <w:szCs w:val="20"/>
        </w:rPr>
      </w:pPr>
    </w:p>
    <w:p w:rsidR="00E77EE0" w:rsidRDefault="00E77EE0" w:rsidP="008424DD">
      <w:pPr>
        <w:spacing w:after="0" w:line="240" w:lineRule="auto"/>
        <w:jc w:val="both"/>
        <w:rPr>
          <w:rFonts w:ascii="Arial" w:hAnsi="Arial" w:cs="Arial"/>
          <w:sz w:val="20"/>
          <w:szCs w:val="20"/>
        </w:rPr>
      </w:pPr>
    </w:p>
    <w:p w:rsidR="003C67CE" w:rsidRDefault="003C67CE" w:rsidP="008424DD">
      <w:pPr>
        <w:spacing w:after="0" w:line="240" w:lineRule="auto"/>
        <w:jc w:val="both"/>
        <w:rPr>
          <w:rFonts w:ascii="Arial" w:hAnsi="Arial" w:cs="Arial"/>
          <w:sz w:val="20"/>
          <w:szCs w:val="20"/>
        </w:rPr>
      </w:pPr>
    </w:p>
    <w:p w:rsidR="003C67CE" w:rsidRDefault="003C67CE" w:rsidP="008424DD">
      <w:pPr>
        <w:spacing w:after="0" w:line="240" w:lineRule="auto"/>
        <w:jc w:val="both"/>
        <w:rPr>
          <w:rFonts w:ascii="Arial" w:hAnsi="Arial" w:cs="Arial"/>
          <w:sz w:val="20"/>
          <w:szCs w:val="20"/>
        </w:rPr>
      </w:pPr>
    </w:p>
    <w:p w:rsidR="003C67CE" w:rsidRDefault="003C67CE" w:rsidP="008424DD">
      <w:pPr>
        <w:spacing w:after="0" w:line="240" w:lineRule="auto"/>
        <w:jc w:val="both"/>
        <w:rPr>
          <w:rFonts w:ascii="Arial" w:hAnsi="Arial" w:cs="Arial"/>
          <w:sz w:val="20"/>
          <w:szCs w:val="20"/>
        </w:rPr>
      </w:pPr>
    </w:p>
    <w:p w:rsidR="003C67CE" w:rsidRDefault="003C67CE" w:rsidP="008424DD">
      <w:pPr>
        <w:spacing w:after="0" w:line="240" w:lineRule="auto"/>
        <w:jc w:val="both"/>
        <w:rPr>
          <w:rFonts w:ascii="Arial" w:hAnsi="Arial" w:cs="Arial"/>
          <w:sz w:val="20"/>
          <w:szCs w:val="20"/>
        </w:rPr>
      </w:pPr>
    </w:p>
    <w:p w:rsidR="001B685A" w:rsidRDefault="001B685A" w:rsidP="008424DD">
      <w:pPr>
        <w:spacing w:after="0" w:line="240" w:lineRule="auto"/>
        <w:jc w:val="both"/>
        <w:rPr>
          <w:rFonts w:ascii="Arial" w:hAnsi="Arial" w:cs="Arial"/>
          <w:sz w:val="20"/>
          <w:szCs w:val="20"/>
        </w:rPr>
      </w:pPr>
    </w:p>
    <w:p w:rsidR="001B685A" w:rsidRPr="002051DE" w:rsidRDefault="001B685A" w:rsidP="008424DD">
      <w:pPr>
        <w:spacing w:after="0" w:line="240" w:lineRule="auto"/>
        <w:jc w:val="both"/>
        <w:rPr>
          <w:rFonts w:ascii="Arial" w:hAnsi="Arial" w:cs="Arial"/>
          <w:sz w:val="20"/>
          <w:szCs w:val="20"/>
        </w:rPr>
      </w:pPr>
    </w:p>
    <w:p w:rsidR="0098071B" w:rsidRDefault="0098071B" w:rsidP="00AB1B3B">
      <w:pPr>
        <w:pStyle w:val="NormalWeb"/>
        <w:shd w:val="clear" w:color="auto" w:fill="FFFFFF"/>
        <w:spacing w:before="0" w:beforeAutospacing="0" w:after="0" w:afterAutospacing="0"/>
        <w:ind w:left="284" w:hanging="284"/>
        <w:jc w:val="both"/>
        <w:rPr>
          <w:rFonts w:ascii="Arial" w:hAnsi="Arial" w:cs="Arial"/>
          <w:color w:val="000000"/>
          <w:sz w:val="20"/>
          <w:szCs w:val="20"/>
        </w:rPr>
      </w:pPr>
    </w:p>
    <w:p w:rsidR="007C395A" w:rsidRDefault="007C395A" w:rsidP="007C395A">
      <w:pPr>
        <w:pStyle w:val="NormalWeb"/>
        <w:shd w:val="clear" w:color="auto" w:fill="FFFFFF"/>
        <w:spacing w:before="0" w:beforeAutospacing="0" w:after="0" w:afterAutospacing="0"/>
        <w:jc w:val="both"/>
        <w:rPr>
          <w:rFonts w:ascii="Arial" w:hAnsi="Arial" w:cs="Arial"/>
          <w:color w:val="000000"/>
          <w:sz w:val="20"/>
          <w:szCs w:val="20"/>
        </w:rPr>
      </w:pPr>
    </w:p>
    <w:p w:rsidR="007C395A" w:rsidRDefault="007C395A" w:rsidP="007C395A">
      <w:pPr>
        <w:pStyle w:val="NormalWeb"/>
        <w:shd w:val="clear" w:color="auto" w:fill="FFFFFF"/>
        <w:spacing w:before="0" w:beforeAutospacing="0" w:after="0" w:afterAutospacing="0"/>
        <w:jc w:val="both"/>
        <w:rPr>
          <w:rFonts w:ascii="Arial" w:hAnsi="Arial" w:cs="Arial"/>
          <w:color w:val="000000"/>
          <w:sz w:val="20"/>
          <w:szCs w:val="20"/>
        </w:rPr>
        <w:sectPr w:rsidR="007C395A" w:rsidSect="002766D1">
          <w:type w:val="continuous"/>
          <w:pgSz w:w="11907" w:h="16840" w:code="9"/>
          <w:pgMar w:top="1701" w:right="1134" w:bottom="1701" w:left="1701" w:header="680" w:footer="680" w:gutter="0"/>
          <w:cols w:num="2" w:space="284"/>
          <w:titlePg/>
          <w:docGrid w:linePitch="360"/>
        </w:sectPr>
      </w:pPr>
    </w:p>
    <w:p w:rsidR="00250653" w:rsidRDefault="00047E55" w:rsidP="007C395A">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both"/>
        <w:rPr>
          <w:rFonts w:ascii="Arial" w:hAnsi="Arial" w:cs="Arial"/>
          <w:color w:val="000000"/>
        </w:rPr>
      </w:pPr>
      <w:r w:rsidRPr="00047E55">
        <w:rPr>
          <w:rFonts w:ascii="Arial" w:hAnsi="Arial" w:cs="Arial"/>
          <w:color w:val="000000"/>
        </w:rPr>
        <w:drawing>
          <wp:inline distT="0" distB="0" distL="0" distR="0">
            <wp:extent cx="5750752" cy="2967487"/>
            <wp:effectExtent l="19050" t="0" r="2348" b="0"/>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5756910" cy="2970665"/>
                    </a:xfrm>
                    <a:prstGeom prst="rect">
                      <a:avLst/>
                    </a:prstGeom>
                    <a:noFill/>
                    <a:ln w="9525">
                      <a:noFill/>
                      <a:miter lim="800000"/>
                      <a:headEnd/>
                      <a:tailEnd/>
                    </a:ln>
                  </pic:spPr>
                </pic:pic>
              </a:graphicData>
            </a:graphic>
          </wp:inline>
        </w:drawing>
      </w:r>
    </w:p>
    <w:p w:rsidR="004D4D42" w:rsidRDefault="004D4D42" w:rsidP="003C67CE">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center"/>
        <w:rPr>
          <w:rFonts w:ascii="Arial" w:hAnsi="Arial" w:cs="Arial"/>
          <w:color w:val="000000"/>
        </w:rPr>
      </w:pPr>
    </w:p>
    <w:p w:rsidR="003C67CE" w:rsidRDefault="00047E55" w:rsidP="003C67CE">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center"/>
        <w:rPr>
          <w:rFonts w:ascii="Arial" w:hAnsi="Arial" w:cs="Arial"/>
          <w:color w:val="000000"/>
        </w:rPr>
      </w:pPr>
      <w:r>
        <w:rPr>
          <w:rFonts w:ascii="Arial" w:hAnsi="Arial" w:cs="Arial"/>
          <w:color w:val="000000"/>
        </w:rPr>
        <w:t>F</w:t>
      </w:r>
      <w:r w:rsidR="003C67CE" w:rsidRPr="003C67CE">
        <w:rPr>
          <w:rFonts w:ascii="Arial" w:hAnsi="Arial" w:cs="Arial"/>
          <w:color w:val="000000"/>
        </w:rPr>
        <w:t>igure 6. Keyword Cluster</w:t>
      </w:r>
    </w:p>
    <w:p w:rsidR="003C67CE" w:rsidRDefault="003C67CE" w:rsidP="007C395A">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both"/>
        <w:rPr>
          <w:rFonts w:ascii="Arial" w:hAnsi="Arial" w:cs="Arial"/>
          <w:color w:val="000000"/>
        </w:rPr>
      </w:pPr>
      <w:r w:rsidRPr="003C67CE">
        <w:rPr>
          <w:rFonts w:ascii="Arial" w:hAnsi="Arial" w:cs="Arial"/>
          <w:color w:val="000000"/>
        </w:rPr>
        <w:drawing>
          <wp:inline distT="0" distB="0" distL="0" distR="0">
            <wp:extent cx="5757545" cy="3065145"/>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757545" cy="3065145"/>
                    </a:xfrm>
                    <a:prstGeom prst="rect">
                      <a:avLst/>
                    </a:prstGeom>
                    <a:noFill/>
                    <a:ln w="9525">
                      <a:noFill/>
                      <a:miter lim="800000"/>
                      <a:headEnd/>
                      <a:tailEnd/>
                    </a:ln>
                  </pic:spPr>
                </pic:pic>
              </a:graphicData>
            </a:graphic>
          </wp:inline>
        </w:drawing>
      </w:r>
    </w:p>
    <w:p w:rsidR="003C67CE" w:rsidRDefault="003C67CE" w:rsidP="003C67CE">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center"/>
        <w:rPr>
          <w:rFonts w:ascii="Arial" w:hAnsi="Arial" w:cs="Arial"/>
          <w:color w:val="000000"/>
        </w:rPr>
      </w:pPr>
      <w:r w:rsidRPr="003C67CE">
        <w:rPr>
          <w:rFonts w:ascii="Arial" w:hAnsi="Arial" w:cs="Arial"/>
          <w:color w:val="000000"/>
        </w:rPr>
        <w:t>Figure 7. Visual Density</w:t>
      </w:r>
    </w:p>
    <w:p w:rsidR="003C67CE" w:rsidRDefault="003C67CE" w:rsidP="003C67CE">
      <w:pPr>
        <w:spacing w:after="0" w:line="240" w:lineRule="auto"/>
        <w:rPr>
          <w:rFonts w:ascii="Arial" w:hAnsi="Arial" w:cs="Arial"/>
          <w:color w:val="000000"/>
          <w:sz w:val="20"/>
          <w:szCs w:val="20"/>
        </w:rPr>
      </w:pPr>
    </w:p>
    <w:p w:rsidR="003C67CE" w:rsidRPr="003C67CE" w:rsidRDefault="003C67CE" w:rsidP="003C67CE">
      <w:pPr>
        <w:spacing w:after="0" w:line="240" w:lineRule="auto"/>
        <w:rPr>
          <w:rFonts w:ascii="Arial" w:hAnsi="Arial" w:cs="Arial"/>
          <w:b/>
          <w:bCs/>
          <w:color w:val="1F4E79"/>
          <w:sz w:val="20"/>
          <w:szCs w:val="20"/>
        </w:rPr>
        <w:sectPr w:rsidR="003C67CE" w:rsidRPr="003C67CE" w:rsidSect="00E170F0">
          <w:type w:val="continuous"/>
          <w:pgSz w:w="11907" w:h="16840" w:code="9"/>
          <w:pgMar w:top="1701" w:right="1134" w:bottom="1701" w:left="1701" w:header="680" w:footer="680" w:gutter="0"/>
          <w:cols w:space="284"/>
          <w:docGrid w:linePitch="360"/>
        </w:sectPr>
      </w:pPr>
    </w:p>
    <w:p w:rsidR="009F0030" w:rsidRDefault="009F0030" w:rsidP="009F0030">
      <w:pPr>
        <w:spacing w:after="0" w:line="240" w:lineRule="auto"/>
        <w:jc w:val="both"/>
        <w:rPr>
          <w:rFonts w:ascii="Arial" w:hAnsi="Arial" w:cs="Arial"/>
          <w:b/>
          <w:bCs/>
          <w:color w:val="1F4E79"/>
          <w:sz w:val="20"/>
          <w:szCs w:val="20"/>
        </w:rPr>
      </w:pPr>
      <w:r w:rsidRPr="009F0030">
        <w:rPr>
          <w:rFonts w:ascii="Arial" w:hAnsi="Arial" w:cs="Arial"/>
          <w:b/>
          <w:bCs/>
          <w:color w:val="1F4E79"/>
          <w:sz w:val="20"/>
          <w:szCs w:val="20"/>
          <w:lang w:val="id-ID"/>
        </w:rPr>
        <w:t>Success Factors for Sustainable Competitiveness</w:t>
      </w:r>
    </w:p>
    <w:p w:rsidR="009F0030" w:rsidRDefault="007170A8" w:rsidP="00844432">
      <w:pPr>
        <w:spacing w:after="0" w:line="240" w:lineRule="auto"/>
        <w:ind w:firstLine="567"/>
        <w:jc w:val="both"/>
        <w:rPr>
          <w:rFonts w:ascii="Arial" w:hAnsi="Arial" w:cs="Arial"/>
          <w:bCs/>
          <w:sz w:val="20"/>
          <w:szCs w:val="20"/>
        </w:rPr>
      </w:pPr>
      <w:r w:rsidRPr="007170A8">
        <w:rPr>
          <w:rFonts w:ascii="Arial" w:hAnsi="Arial" w:cs="Arial"/>
          <w:bCs/>
          <w:sz w:val="20"/>
          <w:szCs w:val="20"/>
        </w:rPr>
        <w:t>Key success factors are factors that influence the achievement of achieving success such as in business, career, profession and so on. From the results of the literature review, the key success factors found in achieving sustainable competitiveness can be seen in table 2.</w:t>
      </w:r>
      <w:r w:rsidR="00844432">
        <w:rPr>
          <w:rFonts w:ascii="Arial" w:hAnsi="Arial" w:cs="Arial"/>
          <w:bCs/>
          <w:sz w:val="20"/>
          <w:szCs w:val="20"/>
        </w:rPr>
        <w:t xml:space="preserve"> </w:t>
      </w:r>
      <w:r w:rsidRPr="007170A8">
        <w:rPr>
          <w:rFonts w:ascii="Arial" w:hAnsi="Arial" w:cs="Arial"/>
          <w:bCs/>
          <w:sz w:val="20"/>
          <w:szCs w:val="20"/>
        </w:rPr>
        <w:t>Key success factors in helping SMEs adapt to changing consumer needs and expectations will result in increased competitive value and competitiveness for SMEs</w:t>
      </w:r>
      <w:r w:rsidR="00071A8E">
        <w:rPr>
          <w:rFonts w:ascii="Arial" w:hAnsi="Arial" w:cs="Arial"/>
          <w:bCs/>
          <w:sz w:val="20"/>
          <w:szCs w:val="20"/>
        </w:rPr>
        <w:t xml:space="preserve"> </w:t>
      </w:r>
      <w:r w:rsidR="00071A8E">
        <w:rPr>
          <w:rFonts w:ascii="Arial" w:eastAsia="Arial" w:hAnsi="Arial" w:cs="Arial"/>
          <w:sz w:val="20"/>
          <w:szCs w:val="20"/>
        </w:rPr>
        <w:fldChar w:fldCharType="begin" w:fldLock="1"/>
      </w:r>
      <w:r w:rsidR="00071A8E">
        <w:rPr>
          <w:rFonts w:ascii="Arial" w:eastAsia="Arial" w:hAnsi="Arial" w:cs="Arial"/>
          <w:sz w:val="20"/>
          <w:szCs w:val="20"/>
        </w:rPr>
        <w:instrText>ADDIN CSL_CITATION {"citationItems":[{"id":"ITEM-1","itemData":{"DOI":"https://doi.org/10.3390/su17051953","ISSN":"20711050","abstract":"The concept of sustainable competitiveness is becoming increasingly relevant, as it combines the investigation of the factors that determine the competitive advantages of economic entities, as well as management strategies that ensure economic and environmental efficiency in the face of modern global requirements and challenges. The main hypothesis of the research is that technological innovations are key determinants of the sustainable competitiveness of economic entities, increase their resilience to various challenges and threats, and therefore contribute to sustainable competitiveness in the long run. Accordingly, the object of the research is a comprehensive science literature review at the intersection of the issues of competitiveness, technological innovations, and sustainable development using the Scopus database and PRISMA statement in order to substantiate the importance of technological innovation in ensuring sustainable competitiveness. The scientific research pinpoints three key questions shaping the scientific discussion: Are technological innovations key determinants of sustainable competitiveness? How do advanced technologies contribute across sectors? What strategies and measures stimulate sustainable competitiveness? By answering the research questions based on the methodology of nonempirical systematic scientific analysis, this review article provides scientific and practical insights for businesses and policymakers aiming to harness technological advancements to sustain their business in the long run.","author":[{"dropping-particle":"","family":"Hamdouna","given":"Muntaser","non-dropping-particle":"","parse-names":false,"suffix":""},{"dropping-particle":"","family":"Khmelyarchuk","given":"Mariya","non-dropping-particle":"","parse-names":false,"suffix":""}],"container-title":"Sustainability (Switzerland)","id":"ITEM-1","issue":"5","issued":{"date-parts":[["2025"]]},"title":"Technological Innovations Shaping Sustainable Competitiveness—A Systematic Review","type":"article-journal","volume":"17"},"uris":["http://www.mendeley.com/documents/?uuid=b7051412-47d9-4742-90a0-a30e350c0a12"]}],"mendeley":{"formattedCitation":"[16]","plainTextFormattedCitation":"[16]","previouslyFormattedCitation":"[16]"},"properties":{"noteIndex":0},"schema":"https://github.com/citation-style-language/schema/raw/master/csl-citation.json"}</w:instrText>
      </w:r>
      <w:r w:rsidR="00071A8E">
        <w:rPr>
          <w:rFonts w:ascii="Arial" w:eastAsia="Arial" w:hAnsi="Arial" w:cs="Arial"/>
          <w:sz w:val="20"/>
          <w:szCs w:val="20"/>
        </w:rPr>
        <w:fldChar w:fldCharType="separate"/>
      </w:r>
      <w:r w:rsidR="00071A8E" w:rsidRPr="00E64F19">
        <w:rPr>
          <w:rFonts w:ascii="Arial" w:eastAsia="Arial" w:hAnsi="Arial" w:cs="Arial"/>
          <w:noProof/>
          <w:sz w:val="20"/>
          <w:szCs w:val="20"/>
        </w:rPr>
        <w:t>[16]</w:t>
      </w:r>
      <w:r w:rsidR="00071A8E">
        <w:rPr>
          <w:rFonts w:ascii="Arial" w:eastAsia="Arial" w:hAnsi="Arial" w:cs="Arial"/>
          <w:sz w:val="20"/>
          <w:szCs w:val="20"/>
        </w:rPr>
        <w:fldChar w:fldCharType="end"/>
      </w:r>
      <w:r w:rsidRPr="007170A8">
        <w:rPr>
          <w:rFonts w:ascii="Arial" w:hAnsi="Arial" w:cs="Arial"/>
          <w:bCs/>
          <w:sz w:val="20"/>
          <w:szCs w:val="20"/>
        </w:rPr>
        <w:t>.</w:t>
      </w:r>
    </w:p>
    <w:p w:rsidR="00844432" w:rsidRDefault="00844432" w:rsidP="003C67CE">
      <w:pPr>
        <w:spacing w:after="0" w:line="240" w:lineRule="auto"/>
        <w:rPr>
          <w:rFonts w:ascii="Arial" w:hAnsi="Arial" w:cs="Arial"/>
          <w:bCs/>
          <w:sz w:val="20"/>
          <w:szCs w:val="20"/>
        </w:rPr>
        <w:sectPr w:rsidR="00844432" w:rsidSect="00844432">
          <w:type w:val="continuous"/>
          <w:pgSz w:w="11907" w:h="16840" w:code="9"/>
          <w:pgMar w:top="1701" w:right="1134" w:bottom="1701" w:left="1701" w:header="680" w:footer="680" w:gutter="0"/>
          <w:cols w:num="2" w:space="284"/>
          <w:docGrid w:linePitch="360"/>
        </w:sectPr>
      </w:pPr>
    </w:p>
    <w:p w:rsidR="00844432" w:rsidRDefault="00844432" w:rsidP="00844432">
      <w:pPr>
        <w:spacing w:after="0" w:line="240" w:lineRule="auto"/>
        <w:jc w:val="center"/>
        <w:rPr>
          <w:rFonts w:ascii="Arial" w:hAnsi="Arial" w:cs="Arial"/>
          <w:bCs/>
          <w:sz w:val="20"/>
          <w:szCs w:val="20"/>
        </w:rPr>
      </w:pPr>
    </w:p>
    <w:p w:rsidR="00844432" w:rsidRDefault="00844432" w:rsidP="00844432">
      <w:pPr>
        <w:spacing w:after="0" w:line="240" w:lineRule="auto"/>
        <w:jc w:val="center"/>
        <w:rPr>
          <w:rFonts w:ascii="Arial" w:hAnsi="Arial" w:cs="Arial"/>
          <w:bCs/>
          <w:sz w:val="20"/>
          <w:szCs w:val="20"/>
        </w:rPr>
      </w:pPr>
      <w:r w:rsidRPr="00844432">
        <w:rPr>
          <w:rFonts w:ascii="Arial" w:hAnsi="Arial" w:cs="Arial"/>
          <w:bCs/>
          <w:sz w:val="20"/>
          <w:szCs w:val="20"/>
        </w:rPr>
        <w:t>Table 2. Key Success Factors</w:t>
      </w:r>
    </w:p>
    <w:tbl>
      <w:tblPr>
        <w:tblW w:w="9091" w:type="dxa"/>
        <w:tblBorders>
          <w:top w:val="single" w:sz="4" w:space="0" w:color="auto"/>
          <w:bottom w:val="single" w:sz="4" w:space="0" w:color="auto"/>
        </w:tblBorders>
        <w:tblLook w:val="04A0"/>
      </w:tblPr>
      <w:tblGrid>
        <w:gridCol w:w="1660"/>
        <w:gridCol w:w="1569"/>
        <w:gridCol w:w="1813"/>
        <w:gridCol w:w="2743"/>
        <w:gridCol w:w="1306"/>
      </w:tblGrid>
      <w:tr w:rsidR="00844432" w:rsidRPr="00844432" w:rsidTr="00844432">
        <w:trPr>
          <w:trHeight w:val="600"/>
          <w:tblHeader/>
        </w:trPr>
        <w:tc>
          <w:tcPr>
            <w:tcW w:w="1660" w:type="dxa"/>
            <w:tcBorders>
              <w:top w:val="single" w:sz="4" w:space="0" w:color="auto"/>
              <w:bottom w:val="single" w:sz="4" w:space="0" w:color="auto"/>
            </w:tcBorders>
            <w:shd w:val="clear" w:color="000000" w:fill="FFFFFF"/>
            <w:vAlign w:val="center"/>
            <w:hideMark/>
          </w:tcPr>
          <w:p w:rsidR="00844432" w:rsidRPr="00844432" w:rsidRDefault="00844432" w:rsidP="00844432">
            <w:pPr>
              <w:spacing w:after="0" w:line="240" w:lineRule="auto"/>
              <w:jc w:val="center"/>
              <w:rPr>
                <w:rFonts w:ascii="Arial" w:hAnsi="Arial" w:cs="Arial"/>
                <w:b/>
                <w:sz w:val="20"/>
                <w:szCs w:val="20"/>
              </w:rPr>
            </w:pPr>
            <w:r w:rsidRPr="00844432">
              <w:rPr>
                <w:rFonts w:ascii="Arial" w:hAnsi="Arial" w:cs="Arial"/>
                <w:b/>
                <w:sz w:val="20"/>
                <w:szCs w:val="20"/>
              </w:rPr>
              <w:t>Sector</w:t>
            </w:r>
          </w:p>
        </w:tc>
        <w:tc>
          <w:tcPr>
            <w:tcW w:w="1569" w:type="dxa"/>
            <w:tcBorders>
              <w:top w:val="single" w:sz="4" w:space="0" w:color="auto"/>
              <w:bottom w:val="single" w:sz="4" w:space="0" w:color="auto"/>
            </w:tcBorders>
            <w:shd w:val="clear" w:color="000000" w:fill="FFFFFF"/>
            <w:vAlign w:val="center"/>
            <w:hideMark/>
          </w:tcPr>
          <w:p w:rsidR="00844432" w:rsidRPr="00844432" w:rsidRDefault="00844432" w:rsidP="00844432">
            <w:pPr>
              <w:spacing w:after="0" w:line="240" w:lineRule="auto"/>
              <w:jc w:val="center"/>
              <w:rPr>
                <w:rFonts w:ascii="Arial" w:hAnsi="Arial" w:cs="Arial"/>
                <w:b/>
                <w:sz w:val="20"/>
                <w:szCs w:val="20"/>
              </w:rPr>
            </w:pPr>
            <w:r w:rsidRPr="00844432">
              <w:rPr>
                <w:rFonts w:ascii="Arial" w:hAnsi="Arial" w:cs="Arial"/>
                <w:b/>
                <w:sz w:val="20"/>
                <w:szCs w:val="20"/>
              </w:rPr>
              <w:t>Journal Publication</w:t>
            </w:r>
          </w:p>
        </w:tc>
        <w:tc>
          <w:tcPr>
            <w:tcW w:w="1813" w:type="dxa"/>
            <w:tcBorders>
              <w:top w:val="single" w:sz="4" w:space="0" w:color="auto"/>
              <w:bottom w:val="single" w:sz="4" w:space="0" w:color="auto"/>
            </w:tcBorders>
            <w:shd w:val="clear" w:color="000000" w:fill="FFFFFF"/>
            <w:vAlign w:val="center"/>
            <w:hideMark/>
          </w:tcPr>
          <w:p w:rsidR="00844432" w:rsidRPr="00844432" w:rsidRDefault="00844432" w:rsidP="00844432">
            <w:pPr>
              <w:spacing w:after="0" w:line="240" w:lineRule="auto"/>
              <w:jc w:val="center"/>
              <w:rPr>
                <w:rFonts w:ascii="Arial" w:hAnsi="Arial" w:cs="Arial"/>
                <w:b/>
                <w:sz w:val="20"/>
                <w:szCs w:val="20"/>
              </w:rPr>
            </w:pPr>
            <w:r w:rsidRPr="00844432">
              <w:rPr>
                <w:rFonts w:ascii="Arial" w:hAnsi="Arial" w:cs="Arial"/>
                <w:b/>
                <w:sz w:val="20"/>
                <w:szCs w:val="20"/>
              </w:rPr>
              <w:t>Method</w:t>
            </w:r>
          </w:p>
        </w:tc>
        <w:tc>
          <w:tcPr>
            <w:tcW w:w="2743" w:type="dxa"/>
            <w:tcBorders>
              <w:top w:val="single" w:sz="4" w:space="0" w:color="auto"/>
              <w:bottom w:val="single" w:sz="4" w:space="0" w:color="auto"/>
            </w:tcBorders>
            <w:shd w:val="clear" w:color="000000" w:fill="FFFFFF"/>
            <w:vAlign w:val="center"/>
            <w:hideMark/>
          </w:tcPr>
          <w:p w:rsidR="00844432" w:rsidRPr="00844432" w:rsidRDefault="00844432" w:rsidP="00844432">
            <w:pPr>
              <w:spacing w:after="0" w:line="240" w:lineRule="auto"/>
              <w:jc w:val="center"/>
              <w:rPr>
                <w:rFonts w:ascii="Arial" w:hAnsi="Arial" w:cs="Arial"/>
                <w:b/>
                <w:sz w:val="20"/>
                <w:szCs w:val="20"/>
              </w:rPr>
            </w:pPr>
            <w:r w:rsidRPr="00844432">
              <w:rPr>
                <w:rFonts w:ascii="Arial" w:hAnsi="Arial" w:cs="Arial"/>
                <w:b/>
                <w:sz w:val="20"/>
                <w:szCs w:val="20"/>
              </w:rPr>
              <w:t xml:space="preserve">Key Success Factors </w:t>
            </w:r>
          </w:p>
          <w:p w:rsidR="00844432" w:rsidRPr="00844432" w:rsidRDefault="00844432" w:rsidP="00844432">
            <w:pPr>
              <w:spacing w:after="0" w:line="240" w:lineRule="auto"/>
              <w:jc w:val="center"/>
              <w:rPr>
                <w:rFonts w:ascii="Arial" w:hAnsi="Arial" w:cs="Arial"/>
                <w:b/>
                <w:sz w:val="20"/>
                <w:szCs w:val="20"/>
              </w:rPr>
            </w:pPr>
            <w:r w:rsidRPr="00844432">
              <w:rPr>
                <w:rFonts w:ascii="Arial" w:hAnsi="Arial" w:cs="Arial"/>
                <w:b/>
                <w:sz w:val="20"/>
                <w:szCs w:val="20"/>
              </w:rPr>
              <w:t>for Sustainable competitiveness of SMEs</w:t>
            </w:r>
          </w:p>
        </w:tc>
        <w:tc>
          <w:tcPr>
            <w:tcW w:w="1306" w:type="dxa"/>
            <w:tcBorders>
              <w:top w:val="single" w:sz="4" w:space="0" w:color="auto"/>
              <w:bottom w:val="single" w:sz="4" w:space="0" w:color="auto"/>
            </w:tcBorders>
            <w:shd w:val="clear" w:color="000000" w:fill="FFFFFF"/>
            <w:vAlign w:val="center"/>
            <w:hideMark/>
          </w:tcPr>
          <w:p w:rsidR="00844432" w:rsidRPr="00844432" w:rsidRDefault="00844432" w:rsidP="00844432">
            <w:pPr>
              <w:spacing w:after="0" w:line="240" w:lineRule="auto"/>
              <w:jc w:val="center"/>
              <w:rPr>
                <w:rFonts w:ascii="Arial" w:hAnsi="Arial" w:cs="Arial"/>
                <w:b/>
                <w:sz w:val="20"/>
                <w:szCs w:val="20"/>
              </w:rPr>
            </w:pPr>
            <w:r w:rsidRPr="00844432">
              <w:rPr>
                <w:rFonts w:ascii="Arial" w:hAnsi="Arial" w:cs="Arial"/>
                <w:b/>
                <w:sz w:val="20"/>
                <w:szCs w:val="20"/>
              </w:rPr>
              <w:t>Reference</w:t>
            </w:r>
          </w:p>
        </w:tc>
      </w:tr>
      <w:tr w:rsidR="00844432" w:rsidRPr="00844432" w:rsidTr="00B0441B">
        <w:trPr>
          <w:trHeight w:val="885"/>
        </w:trPr>
        <w:tc>
          <w:tcPr>
            <w:tcW w:w="1660" w:type="dxa"/>
            <w:tcBorders>
              <w:top w:val="single" w:sz="4" w:space="0" w:color="auto"/>
            </w:tcBorders>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Agriculture</w:t>
            </w:r>
          </w:p>
        </w:tc>
        <w:tc>
          <w:tcPr>
            <w:tcW w:w="1569" w:type="dxa"/>
            <w:tcBorders>
              <w:top w:val="single" w:sz="4" w:space="0" w:color="auto"/>
            </w:tcBorders>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Sustainability</w:t>
            </w:r>
          </w:p>
        </w:tc>
        <w:tc>
          <w:tcPr>
            <w:tcW w:w="1813" w:type="dxa"/>
            <w:tcBorders>
              <w:top w:val="single" w:sz="4" w:space="0" w:color="auto"/>
            </w:tcBorders>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system-based approach, comparative analysis approach</w:t>
            </w:r>
          </w:p>
        </w:tc>
        <w:tc>
          <w:tcPr>
            <w:tcW w:w="2743" w:type="dxa"/>
            <w:tcBorders>
              <w:top w:val="single" w:sz="4" w:space="0" w:color="auto"/>
            </w:tcBorders>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Utilization of information and data developments, Use of digital platforms, Involvement of various stakeholders and institutions.</w:t>
            </w:r>
          </w:p>
        </w:tc>
        <w:tc>
          <w:tcPr>
            <w:tcW w:w="1306" w:type="dxa"/>
            <w:tcBorders>
              <w:top w:val="single" w:sz="4" w:space="0" w:color="auto"/>
            </w:tcBorders>
            <w:shd w:val="clear" w:color="000000" w:fill="FFFFFF"/>
            <w:hideMark/>
          </w:tcPr>
          <w:p w:rsidR="00844432" w:rsidRPr="00844432" w:rsidRDefault="00844432" w:rsidP="00844432">
            <w:pPr>
              <w:spacing w:after="0" w:line="240" w:lineRule="auto"/>
              <w:jc w:val="center"/>
              <w:rPr>
                <w:rFonts w:ascii="Arial" w:hAnsi="Arial" w:cs="Arial"/>
                <w:sz w:val="20"/>
                <w:szCs w:val="20"/>
              </w:rPr>
            </w:pPr>
            <w:r w:rsidRPr="00844432">
              <w:rPr>
                <w:rFonts w:ascii="Arial" w:hAnsi="Arial" w:cs="Arial"/>
                <w:sz w:val="20"/>
                <w:szCs w:val="20"/>
              </w:rPr>
              <w:fldChar w:fldCharType="begin" w:fldLock="1"/>
            </w:r>
            <w:r w:rsidRPr="00844432">
              <w:rPr>
                <w:rFonts w:ascii="Arial" w:hAnsi="Arial" w:cs="Arial"/>
                <w:sz w:val="20"/>
                <w:szCs w:val="20"/>
              </w:rPr>
              <w:instrText>ADDIN CSL_CITATION {"citationItems":[{"id":"ITEM-1","itemData":{"DOI":"https://doi.org/10.3390/ su15129387 Academic","ISSN":"20711050","abstract":"The primary objective of this study is the development of an integrated framework for sustainable development in agri-food Small and Medium Enterprises (SMEs) with a variety of production types. Dealing with the significant research problem of defining a successful record-keeping system, as this is the foundation of an integrated information framework in agri-food SMEs, this research identifies and explicates the several conceptual, methodological, organizational, and technical concerns related to the data collection, processing, and recording, as well as information generation in agri-food SMEs. Two main fields of research are distinguished: the micro-level, which is related to the monitoring of agri-food SMEs, and the macro-level, which relates to the collection, processing, and collective interpretation of different types of data. The findings show how the creation of a database for all levels of analysis, primarily business analyses, followed by an analysis of the development of the agri-food sector, as a whole and by individual regions and branches, etc., constitutes the basis for the effective operation and ongoing improvement of an integrated framework for the sustainable development of agri-food SMEs. Methodologically, this study employs the system approach, system analysis, and synthesis sequence to produce business, economic, and social findings of theoretical and practicable worth to scholars, executives, and decision makers.","author":[{"dropping-particle":"","family":"Figurek","given":"Aleksandra","non-dropping-particle":"","parse-names":false,"suffix":""},{"dropping-particle":"","family":"Thrassou","given":"Alkis","non-dropping-particle":"","parse-names":false,"suffix":""}],"container-title":"Sustainability (Switzerland)","id":"ITEM-1","issue":"12","issued":{"date-parts":[["2023"]]},"title":"An Integrated Framework for Sustainable Development in Agri-Food SMEs","type":"article-journal","volume":"15"},"uris":["http://www.mendeley.com/documents/?uuid=8c046342-98a6-4a93-b7ac-8e8b9a62a81d"]}],"mendeley":{"formattedCitation":"[17]","plainTextFormattedCitation":"[17]","previouslyFormattedCitation":"[17]"},"properties":{"noteIndex":0},"schema":"https://github.com/citation-style-language/schema/raw/master/csl-citation.json"}</w:instrText>
            </w:r>
            <w:r w:rsidRPr="00844432">
              <w:rPr>
                <w:rFonts w:ascii="Arial" w:hAnsi="Arial" w:cs="Arial"/>
                <w:sz w:val="20"/>
                <w:szCs w:val="20"/>
              </w:rPr>
              <w:fldChar w:fldCharType="separate"/>
            </w:r>
            <w:r w:rsidRPr="00844432">
              <w:rPr>
                <w:rFonts w:ascii="Arial" w:hAnsi="Arial" w:cs="Arial"/>
                <w:noProof/>
                <w:sz w:val="20"/>
                <w:szCs w:val="20"/>
              </w:rPr>
              <w:t>[17]</w:t>
            </w:r>
            <w:r w:rsidRPr="00844432">
              <w:rPr>
                <w:rFonts w:ascii="Arial" w:hAnsi="Arial" w:cs="Arial"/>
                <w:sz w:val="20"/>
                <w:szCs w:val="20"/>
              </w:rPr>
              <w:fldChar w:fldCharType="end"/>
            </w:r>
          </w:p>
        </w:tc>
      </w:tr>
      <w:tr w:rsidR="00844432" w:rsidRPr="00844432" w:rsidTr="00B0441B">
        <w:trPr>
          <w:trHeight w:val="1230"/>
        </w:trPr>
        <w:tc>
          <w:tcPr>
            <w:tcW w:w="1660"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Accommodation</w:t>
            </w:r>
          </w:p>
        </w:tc>
        <w:tc>
          <w:tcPr>
            <w:tcW w:w="1569"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International Journal of Business Ecosystem &amp; Strategy</w:t>
            </w:r>
          </w:p>
        </w:tc>
        <w:tc>
          <w:tcPr>
            <w:tcW w:w="181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Qualitative with interviews, thematic analysis, TOE and RBV</w:t>
            </w:r>
          </w:p>
        </w:tc>
        <w:tc>
          <w:tcPr>
            <w:tcW w:w="274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Technology Sustainability, Executive Support, Resources and Organizational Capacity, Regulations that support sustainability Support from local communities for sustainable practices.</w:t>
            </w:r>
          </w:p>
        </w:tc>
        <w:tc>
          <w:tcPr>
            <w:tcW w:w="1306" w:type="dxa"/>
            <w:shd w:val="clear" w:color="000000" w:fill="FFFFFF"/>
            <w:hideMark/>
          </w:tcPr>
          <w:p w:rsidR="00844432" w:rsidRPr="00844432" w:rsidRDefault="00844432" w:rsidP="00844432">
            <w:pPr>
              <w:spacing w:after="0" w:line="240" w:lineRule="auto"/>
              <w:jc w:val="center"/>
              <w:rPr>
                <w:rFonts w:ascii="Arial" w:hAnsi="Arial" w:cs="Arial"/>
                <w:sz w:val="20"/>
                <w:szCs w:val="20"/>
              </w:rPr>
            </w:pPr>
            <w:r w:rsidRPr="00844432">
              <w:rPr>
                <w:rFonts w:ascii="Arial" w:hAnsi="Arial" w:cs="Arial"/>
                <w:sz w:val="20"/>
                <w:szCs w:val="20"/>
              </w:rPr>
              <w:fldChar w:fldCharType="begin" w:fldLock="1"/>
            </w:r>
            <w:r w:rsidRPr="00844432">
              <w:rPr>
                <w:rFonts w:ascii="Arial" w:hAnsi="Arial" w:cs="Arial"/>
                <w:sz w:val="20"/>
                <w:szCs w:val="20"/>
              </w:rPr>
              <w:instrText>ADDIN CSL_CITATION {"citationItems":[{"id":"ITEM-1","itemData":{"DOI":"http://dx.doi.org/10.36096/ijbes.v6i1.465","abstract":"This study aims to explore key drivers of tourism sustainability practices and their impact on the sustainable competitive performance of the tourism accommodation industry. The study adopts an exploratory research design under qualitative research, using semi-structured interviewing of owners and managers of tourism accommodation firms using the TOE framework and RBV theory. The findings reveal that technological sustainability expertise, executive sustainability support, organizational resources and capability, service intermediary sustainability practices, collaborative innovation adoption capability, tourism sustainability regulatory policy, and sustainability practices perceived by residents are the key drivers of TSP. The outcomes also show that tourism sustainability practices have a positive impact on the SCP of accommodation firms. This study makes a theoretical contribution to the literature on tourism sustainability by exploring how TOE antecedents motivate firms to adopt sustainability practices as product innovation, which in turn enhance SCP. Also, this study provides strong backing for the premises of the TOE framework, and RBV theory offers valuable practical insights for managers and owners. This will aid in identifying the pivotal factors influencing TSP and SCP, enabling the implementation of innovative strategies to enhance firm competitiveness. Also, the research can help the government and policymakers formulate sustainable tourism policies to promote tourism innovations. The adoption of sustainable practices has been a focal point for both academic researchers and professionals in the tourism industry. However, there has been insufficient exploration of the TOE drivers that facilitate the integration of tourism sustainability within the context of TAFs in a developing country. Therefore, this study aims to fill this gap in knowledge.","author":[{"dropping-particle":"","family":"Islam","given":"Md Farijul","non-dropping-particle":"","parse-names":false,"suffix":""}],"container-title":"International Journal of Business Ecosystem &amp; Strategy (2687-2293)","id":"ITEM-1","issue":"1","issued":{"date-parts":[["2024"]]},"page":"28-44","title":"Exploring key drivers of tourism sustainability practices and their impact on sustainable competitive performance in the accommodation industry","type":"article-journal","volume":"6"},"uris":["http://www.mendeley.com/documents/?uuid=97152403-85ae-4c1a-803b-922b1defc716"]}],"mendeley":{"formattedCitation":"[18]","plainTextFormattedCitation":"[18]","previouslyFormattedCitation":"[18]"},"properties":{"noteIndex":0},"schema":"https://github.com/citation-style-language/schema/raw/master/csl-citation.json"}</w:instrText>
            </w:r>
            <w:r w:rsidRPr="00844432">
              <w:rPr>
                <w:rFonts w:ascii="Arial" w:hAnsi="Arial" w:cs="Arial"/>
                <w:sz w:val="20"/>
                <w:szCs w:val="20"/>
              </w:rPr>
              <w:fldChar w:fldCharType="separate"/>
            </w:r>
            <w:r w:rsidRPr="00844432">
              <w:rPr>
                <w:rFonts w:ascii="Arial" w:hAnsi="Arial" w:cs="Arial"/>
                <w:noProof/>
                <w:sz w:val="20"/>
                <w:szCs w:val="20"/>
              </w:rPr>
              <w:t>[18]</w:t>
            </w:r>
            <w:r w:rsidRPr="00844432">
              <w:rPr>
                <w:rFonts w:ascii="Arial" w:hAnsi="Arial" w:cs="Arial"/>
                <w:sz w:val="20"/>
                <w:szCs w:val="20"/>
              </w:rPr>
              <w:fldChar w:fldCharType="end"/>
            </w:r>
          </w:p>
        </w:tc>
      </w:tr>
      <w:tr w:rsidR="00844432" w:rsidRPr="00844432" w:rsidTr="00B0441B">
        <w:trPr>
          <w:trHeight w:val="900"/>
        </w:trPr>
        <w:tc>
          <w:tcPr>
            <w:tcW w:w="1660"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Accommodation</w:t>
            </w:r>
          </w:p>
        </w:tc>
        <w:tc>
          <w:tcPr>
            <w:tcW w:w="1569"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Sustainability</w:t>
            </w:r>
          </w:p>
        </w:tc>
        <w:tc>
          <w:tcPr>
            <w:tcW w:w="181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 xml:space="preserve">Partial Least Squares Structural Equation Modeling (PLS-SEM), </w:t>
            </w:r>
          </w:p>
        </w:tc>
        <w:tc>
          <w:tcPr>
            <w:tcW w:w="274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Flexibility, technological innovation, new knowledge and developing resources, Strong network with business associations or partners</w:t>
            </w:r>
          </w:p>
        </w:tc>
        <w:tc>
          <w:tcPr>
            <w:tcW w:w="1306" w:type="dxa"/>
            <w:shd w:val="clear" w:color="000000" w:fill="FFFFFF"/>
            <w:hideMark/>
          </w:tcPr>
          <w:p w:rsidR="00844432" w:rsidRPr="00844432" w:rsidRDefault="00844432" w:rsidP="00844432">
            <w:pPr>
              <w:spacing w:after="0" w:line="240" w:lineRule="auto"/>
              <w:jc w:val="center"/>
              <w:rPr>
                <w:rFonts w:ascii="Arial" w:hAnsi="Arial" w:cs="Arial"/>
                <w:sz w:val="20"/>
                <w:szCs w:val="20"/>
              </w:rPr>
            </w:pPr>
            <w:r w:rsidRPr="00844432">
              <w:rPr>
                <w:rFonts w:ascii="Arial" w:hAnsi="Arial" w:cs="Arial"/>
                <w:sz w:val="20"/>
                <w:szCs w:val="20"/>
              </w:rPr>
              <w:fldChar w:fldCharType="begin" w:fldLock="1"/>
            </w:r>
            <w:r w:rsidRPr="00844432">
              <w:rPr>
                <w:rFonts w:ascii="Arial" w:hAnsi="Arial" w:cs="Arial"/>
                <w:sz w:val="20"/>
                <w:szCs w:val="20"/>
              </w:rPr>
              <w:instrText>ADDIN CSL_CITATION {"citationItems":[{"id":"ITEM-1","itemData":{"DOI":"https://doi.org/10.3390/ su16083267 Academic","author":[{"dropping-particle":"","family":"Rienda","given":"Laura","non-dropping-particle":"","parse-names":false,"suffix":""},{"dropping-particle":"","family":"Ruiz-fern","given":"Lorena","non-dropping-particle":"","parse-names":false,"suffix":""}],"container-title":"Sustainability","id":"ITEM-1","issue":"3267","issued":{"date-parts":[["2024"]]},"page":"1-12","title":"Internationalization and Sustainable Hotel Competitiveness : Resilience and Network Ties to Increase Tourism Sustainability","type":"article-journal","volume":"16"},"uris":["http://www.mendeley.com/documents/?uuid=3c54e9c9-bd76-4985-8002-749b7e9befe4"]}],"mendeley":{"formattedCitation":"[19]","plainTextFormattedCitation":"[19]","previouslyFormattedCitation":"[19]"},"properties":{"noteIndex":0},"schema":"https://github.com/citation-style-language/schema/raw/master/csl-citation.json"}</w:instrText>
            </w:r>
            <w:r w:rsidRPr="00844432">
              <w:rPr>
                <w:rFonts w:ascii="Arial" w:hAnsi="Arial" w:cs="Arial"/>
                <w:sz w:val="20"/>
                <w:szCs w:val="20"/>
              </w:rPr>
              <w:fldChar w:fldCharType="separate"/>
            </w:r>
            <w:r w:rsidRPr="00844432">
              <w:rPr>
                <w:rFonts w:ascii="Arial" w:hAnsi="Arial" w:cs="Arial"/>
                <w:noProof/>
                <w:sz w:val="20"/>
                <w:szCs w:val="20"/>
              </w:rPr>
              <w:t>[19]</w:t>
            </w:r>
            <w:r w:rsidRPr="00844432">
              <w:rPr>
                <w:rFonts w:ascii="Arial" w:hAnsi="Arial" w:cs="Arial"/>
                <w:sz w:val="20"/>
                <w:szCs w:val="20"/>
              </w:rPr>
              <w:fldChar w:fldCharType="end"/>
            </w:r>
          </w:p>
        </w:tc>
      </w:tr>
      <w:tr w:rsidR="00844432" w:rsidRPr="00844432" w:rsidTr="00B0441B">
        <w:trPr>
          <w:trHeight w:val="600"/>
        </w:trPr>
        <w:tc>
          <w:tcPr>
            <w:tcW w:w="1660"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Non-Specific</w:t>
            </w:r>
          </w:p>
        </w:tc>
        <w:tc>
          <w:tcPr>
            <w:tcW w:w="1569"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Sustainability</w:t>
            </w:r>
          </w:p>
        </w:tc>
        <w:tc>
          <w:tcPr>
            <w:tcW w:w="181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Simple linear regression, one-way ANOVA, and T-test</w:t>
            </w:r>
          </w:p>
        </w:tc>
        <w:tc>
          <w:tcPr>
            <w:tcW w:w="274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Proper human resource management, continuous innovation, and increased investment in ICT</w:t>
            </w:r>
          </w:p>
        </w:tc>
        <w:tc>
          <w:tcPr>
            <w:tcW w:w="1306" w:type="dxa"/>
            <w:shd w:val="clear" w:color="000000" w:fill="FFFFFF"/>
            <w:hideMark/>
          </w:tcPr>
          <w:p w:rsidR="00844432" w:rsidRPr="00844432" w:rsidRDefault="00844432" w:rsidP="00844432">
            <w:pPr>
              <w:spacing w:after="0" w:line="240" w:lineRule="auto"/>
              <w:jc w:val="center"/>
              <w:rPr>
                <w:rFonts w:ascii="Arial" w:hAnsi="Arial" w:cs="Arial"/>
                <w:sz w:val="20"/>
                <w:szCs w:val="20"/>
              </w:rPr>
            </w:pPr>
            <w:r w:rsidRPr="00844432">
              <w:rPr>
                <w:rFonts w:ascii="Arial" w:hAnsi="Arial" w:cs="Arial"/>
                <w:sz w:val="20"/>
                <w:szCs w:val="20"/>
              </w:rPr>
              <w:fldChar w:fldCharType="begin" w:fldLock="1"/>
            </w:r>
            <w:r w:rsidRPr="00844432">
              <w:rPr>
                <w:rFonts w:ascii="Arial" w:hAnsi="Arial" w:cs="Arial"/>
                <w:sz w:val="20"/>
                <w:szCs w:val="20"/>
              </w:rPr>
              <w:instrText>ADDIN CSL_CITATION {"citationItems":[{"id":"ITEM-1","itemData":{"DOI":"https://doi.org/10.3390/su152316325","abstract":"The main purpose of this research paper is to investigate the role of information and communication technology (ICT) in providing small and medium-sized enterprises (SMEs) with a competitive advantage. To do this, we propose five dimensions to detect ICT (human resources, equipment and devices, databases, software, and networks) and four dimensions (service quality, market control, creativity and development, and operational efficiency) to decide competitive advantage. To achieve this paper’s purposes, a questionnaire was developed to collect data from respondents to a sample of 128 subjects by using the Statistical Package for Social Sciences (SPSS) for the survey data analysis. Several methods have been used in the statistical analysis of the data, including descriptive statistics tests, a normal distribution test (one-sample Kolmogorov–Smirnov test), simple linear regression coefficient (simple regression), variance analysis (one-way ANOVA), and a T-test for independent samples. This study reports a series of findings, underlined by the significant role of ICT with its various dimensions and the competitive advantage of SMEs. This study concludes with several suggestions including that SMEs must increase their investments in ICT components and take more care of creativity and development for the preemption to create new services.","author":[{"dropping-particle":"","family":"Kahouli","given":"Bassem","non-dropping-particle":"","parse-names":false,"suffix":""},{"dropping-particle":"","family":"Nafla","given":"Amine","non-dropping-particle":"","parse-names":false,"suffix":""},{"dropping-particle":"","family":"Chaaben","given":"Nahla","non-dropping-particle":"","parse-names":false,"suffix":""}],"container-title":"Sustainability","id":"ITEM-1","issue":"16325","issued":{"date-parts":[["2023"]]},"page":"1-19","title":"Exploring the Influence of the Information and Communication Technology Dimensions on the Sustainability of Competitiveness in Small and Medium-sized Enterprises in the Hail Region","type":"article-journal","volume":"15"},"uris":["http://www.mendeley.com/documents/?uuid=043dbef2-37b9-4610-8f19-1d2b1bdba940"]}],"mendeley":{"formattedCitation":"[1]","plainTextFormattedCitation":"[1]","previouslyFormattedCitation":"[1]"},"properties":{"noteIndex":0},"schema":"https://github.com/citation-style-language/schema/raw/master/csl-citation.json"}</w:instrText>
            </w:r>
            <w:r w:rsidRPr="00844432">
              <w:rPr>
                <w:rFonts w:ascii="Arial" w:hAnsi="Arial" w:cs="Arial"/>
                <w:sz w:val="20"/>
                <w:szCs w:val="20"/>
              </w:rPr>
              <w:fldChar w:fldCharType="separate"/>
            </w:r>
            <w:r w:rsidRPr="00844432">
              <w:rPr>
                <w:rFonts w:ascii="Arial" w:hAnsi="Arial" w:cs="Arial"/>
                <w:noProof/>
                <w:sz w:val="20"/>
                <w:szCs w:val="20"/>
              </w:rPr>
              <w:t>[1]</w:t>
            </w:r>
            <w:r w:rsidRPr="00844432">
              <w:rPr>
                <w:rFonts w:ascii="Arial" w:hAnsi="Arial" w:cs="Arial"/>
                <w:sz w:val="20"/>
                <w:szCs w:val="20"/>
              </w:rPr>
              <w:fldChar w:fldCharType="end"/>
            </w:r>
          </w:p>
        </w:tc>
      </w:tr>
      <w:tr w:rsidR="00844432" w:rsidRPr="00844432" w:rsidTr="00B0441B">
        <w:trPr>
          <w:trHeight w:val="960"/>
        </w:trPr>
        <w:tc>
          <w:tcPr>
            <w:tcW w:w="1660"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Service</w:t>
            </w:r>
          </w:p>
        </w:tc>
        <w:tc>
          <w:tcPr>
            <w:tcW w:w="1569"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International Review of Management and Marketing</w:t>
            </w:r>
          </w:p>
        </w:tc>
        <w:tc>
          <w:tcPr>
            <w:tcW w:w="181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Quantitative and qualitative methods, including analysis of variance (ANOVA) and thematic analysis for interviews</w:t>
            </w:r>
          </w:p>
        </w:tc>
        <w:tc>
          <w:tcPr>
            <w:tcW w:w="274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Managerial Capacity, Funding and Financial Resources, Technology Infrastructure, Accessibility and Infrastructure, Partnerships and Collaboration</w:t>
            </w:r>
          </w:p>
        </w:tc>
        <w:tc>
          <w:tcPr>
            <w:tcW w:w="1306" w:type="dxa"/>
            <w:shd w:val="clear" w:color="000000" w:fill="FFFFFF"/>
            <w:hideMark/>
          </w:tcPr>
          <w:p w:rsidR="00844432" w:rsidRPr="00844432" w:rsidRDefault="00844432" w:rsidP="00844432">
            <w:pPr>
              <w:spacing w:after="0" w:line="240" w:lineRule="auto"/>
              <w:jc w:val="center"/>
              <w:rPr>
                <w:rFonts w:ascii="Arial" w:hAnsi="Arial" w:cs="Arial"/>
                <w:sz w:val="20"/>
                <w:szCs w:val="20"/>
              </w:rPr>
            </w:pPr>
            <w:r w:rsidRPr="00844432">
              <w:rPr>
                <w:rFonts w:ascii="Arial" w:hAnsi="Arial" w:cs="Arial"/>
                <w:sz w:val="20"/>
                <w:szCs w:val="20"/>
              </w:rPr>
              <w:fldChar w:fldCharType="begin" w:fldLock="1"/>
            </w:r>
            <w:r w:rsidRPr="00844432">
              <w:rPr>
                <w:rFonts w:ascii="Arial" w:hAnsi="Arial" w:cs="Arial"/>
                <w:sz w:val="20"/>
                <w:szCs w:val="20"/>
              </w:rPr>
              <w:instrText>ADDIN CSL_CITATION {"citationItems":[{"id":"ITEM-1","itemData":{"DOI":"https://doi.org/10.32479/irmm.16103","ISSN":"21464405","abstract":"This study investigates the impact and operational challenges of the Shared Service Facility (SSF) for Micro, Small, and Medium Enterprises (MSMEs) in the Philippines, focusing on enhancing MSME competitiveness and sustainability. Through a mixed-methods approach, including surveys, interviews, and data analysis, the study assesses the SSF’s effectiveness in supporting MSMEs and identifies key challenges hindering its operation. The findings reveal significant improvements in MSMEs’ access to resources, innovation capacity, and market competitiveness following SSF assistance. However, logistical, managerial, and resource-related challenges pose significant hurdles to the SSF’s operational efficiency and effectiveness. To address these challenges, a comprehensive Strategic Plan is formulated, outlining key actions to improve logistical efficiency, enhance managerial effectiveness, strengthen financial sustainability, upgrade technological infrastructure, and foster collaboration and partnerships. Implementation of these strategic initiatives is crucial for optimizing the SSF’s operation, enhancing its impact on MSME competitiveness, and ensuring long-term sustainability. Overall, this study contributes valuable insights into the role of the SSF in fostering MSME development and economic growth in the Philippines, highlighting the importance of targeted interventions and collaborative efforts to support inclusive and sustainable development.","author":[{"dropping-particle":"","family":"Armas","given":"Kenneth L.","non-dropping-particle":"","parse-names":false,"suffix":""},{"dropping-particle":"Dela","family":"Cruz","given":"Catherine","non-dropping-particle":"","parse-names":false,"suffix":""},{"dropping-particle":"","family":"Navarro","given":"Jonas Emmanuel","non-dropping-particle":"","parse-names":false,"suffix":""},{"dropping-particle":"","family":"Viloria","given":"Vivien","non-dropping-particle":"","parse-names":false,"suffix":""}],"container-title":"International Review of Management and Marketing","id":"ITEM-1","issue":"3","issued":{"date-parts":[["2024"]]},"page":"65-73","title":"Triple Helix for Sustainable Development Goals: An Impact Assessment of Shared Service Facility for Micro, Small, and Medium Enterprises Competitiveness in the Philippines","type":"article-journal","volume":"14"},"uris":["http://www.mendeley.com/documents/?uuid=f1d1f46c-5bd6-4eff-b6f5-09bb992f0dee"]}],"mendeley":{"formattedCitation":"[20]","plainTextFormattedCitation":"[20]","previouslyFormattedCitation":"[20]"},"properties":{"noteIndex":0},"schema":"https://github.com/citation-style-language/schema/raw/master/csl-citation.json"}</w:instrText>
            </w:r>
            <w:r w:rsidRPr="00844432">
              <w:rPr>
                <w:rFonts w:ascii="Arial" w:hAnsi="Arial" w:cs="Arial"/>
                <w:sz w:val="20"/>
                <w:szCs w:val="20"/>
              </w:rPr>
              <w:fldChar w:fldCharType="separate"/>
            </w:r>
            <w:r w:rsidRPr="00844432">
              <w:rPr>
                <w:rFonts w:ascii="Arial" w:hAnsi="Arial" w:cs="Arial"/>
                <w:noProof/>
                <w:sz w:val="20"/>
                <w:szCs w:val="20"/>
              </w:rPr>
              <w:t>[20]</w:t>
            </w:r>
            <w:r w:rsidRPr="00844432">
              <w:rPr>
                <w:rFonts w:ascii="Arial" w:hAnsi="Arial" w:cs="Arial"/>
                <w:sz w:val="20"/>
                <w:szCs w:val="20"/>
              </w:rPr>
              <w:fldChar w:fldCharType="end"/>
            </w:r>
          </w:p>
        </w:tc>
      </w:tr>
      <w:tr w:rsidR="00844432" w:rsidRPr="00844432" w:rsidTr="00B0441B">
        <w:trPr>
          <w:trHeight w:val="1230"/>
        </w:trPr>
        <w:tc>
          <w:tcPr>
            <w:tcW w:w="1660"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Food Processing</w:t>
            </w:r>
          </w:p>
        </w:tc>
        <w:tc>
          <w:tcPr>
            <w:tcW w:w="1569"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Food Research</w:t>
            </w:r>
          </w:p>
        </w:tc>
        <w:tc>
          <w:tcPr>
            <w:tcW w:w="1813"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matrix IFE (Internal Factor Evaluation) and  EFE (External Factor Evaluation).</w:t>
            </w:r>
          </w:p>
        </w:tc>
        <w:tc>
          <w:tcPr>
            <w:tcW w:w="2743"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Product quality, innovation, and competitive prices, development of tourism areas, government support and technology, Support from business partners, training programs, and access to funding</w:t>
            </w:r>
          </w:p>
        </w:tc>
        <w:tc>
          <w:tcPr>
            <w:tcW w:w="1306" w:type="dxa"/>
            <w:shd w:val="clear" w:color="000000" w:fill="FFFFFF"/>
            <w:hideMark/>
          </w:tcPr>
          <w:p w:rsidR="00844432" w:rsidRPr="00844432" w:rsidRDefault="00844432" w:rsidP="00844432">
            <w:pPr>
              <w:spacing w:after="0" w:line="240" w:lineRule="auto"/>
              <w:jc w:val="center"/>
              <w:rPr>
                <w:rFonts w:ascii="Arial" w:hAnsi="Arial" w:cs="Arial"/>
                <w:sz w:val="20"/>
                <w:szCs w:val="20"/>
              </w:rPr>
            </w:pPr>
            <w:r w:rsidRPr="00844432">
              <w:rPr>
                <w:rFonts w:ascii="Arial" w:hAnsi="Arial" w:cs="Arial"/>
                <w:sz w:val="20"/>
                <w:szCs w:val="20"/>
              </w:rPr>
              <w:fldChar w:fldCharType="begin" w:fldLock="1"/>
            </w:r>
            <w:r w:rsidRPr="00844432">
              <w:rPr>
                <w:rFonts w:ascii="Arial" w:hAnsi="Arial" w:cs="Arial"/>
                <w:sz w:val="20"/>
                <w:szCs w:val="20"/>
              </w:rPr>
              <w:instrText>ADDIN CSL_CITATION {"citationItems":[{"id":"ITEM-1","itemData":{"DOI":"https://doi.org/10.26656/fr.2017.8(5).639R","ISSN":"25502166","abstract":"Jackfruit chips small and medium enterprises (SMEs) in Malang Regency play an important role in national economic growth. The purpose of this study was to find a strategy to improve the competitiveness of jackfruit chips in Malang Regency. Technical analysis of research data was conducted using analysis of external and internal factors and the concept of the house model for determining strategies for increasing the competitiveness of jackfruit chips SMEs in Malang Regency. The results showed that by increasing product variables, improving human resources and marketing institutions could be a strengthening strategy for increasing the sustainable competitiveness of jackfruit chips SMEs.","author":[{"dropping-particle":"","family":"Novia","given":"C.","non-dropping-particle":"","parse-names":false,"suffix":""},{"dropping-particle":"","family":"Syaiful","given":"S.","non-dropping-particle":"","parse-names":false,"suffix":""},{"dropping-particle":"","family":"Utomo","given":"D.","non-dropping-particle":"","parse-names":false,"suffix":""}],"container-title":"Food Research","id":"ITEM-1","issue":"5","issued":{"date-parts":[["2024"]]},"page":"303-309","title":"Analysis of strategies for increasing the competitiveness of jackfruit chips small medium enterprises in Malang Regency, Indonesia","type":"article-journal","volume":"8"},"uris":["http://www.mendeley.com/documents/?uuid=ef4deb0f-97a5-4056-86a3-c6a3fc8e68c6"]}],"mendeley":{"formattedCitation":"[21]","plainTextFormattedCitation":"[21]","previouslyFormattedCitation":"[21]"},"properties":{"noteIndex":0},"schema":"https://github.com/citation-style-language/schema/raw/master/csl-citation.json"}</w:instrText>
            </w:r>
            <w:r w:rsidRPr="00844432">
              <w:rPr>
                <w:rFonts w:ascii="Arial" w:hAnsi="Arial" w:cs="Arial"/>
                <w:sz w:val="20"/>
                <w:szCs w:val="20"/>
              </w:rPr>
              <w:fldChar w:fldCharType="separate"/>
            </w:r>
            <w:r w:rsidRPr="00844432">
              <w:rPr>
                <w:rFonts w:ascii="Arial" w:hAnsi="Arial" w:cs="Arial"/>
                <w:noProof/>
                <w:sz w:val="20"/>
                <w:szCs w:val="20"/>
              </w:rPr>
              <w:t>[21]</w:t>
            </w:r>
            <w:r w:rsidRPr="00844432">
              <w:rPr>
                <w:rFonts w:ascii="Arial" w:hAnsi="Arial" w:cs="Arial"/>
                <w:sz w:val="20"/>
                <w:szCs w:val="20"/>
              </w:rPr>
              <w:fldChar w:fldCharType="end"/>
            </w:r>
          </w:p>
        </w:tc>
      </w:tr>
      <w:tr w:rsidR="00844432" w:rsidRPr="00844432" w:rsidTr="00B0441B">
        <w:trPr>
          <w:trHeight w:val="1800"/>
        </w:trPr>
        <w:tc>
          <w:tcPr>
            <w:tcW w:w="1660"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Agriculture</w:t>
            </w:r>
          </w:p>
        </w:tc>
        <w:tc>
          <w:tcPr>
            <w:tcW w:w="1569"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Journal of Environmental Management and Tourism</w:t>
            </w:r>
          </w:p>
        </w:tc>
        <w:tc>
          <w:tcPr>
            <w:tcW w:w="181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Regression analysis, Forecasting</w:t>
            </w:r>
          </w:p>
        </w:tc>
        <w:tc>
          <w:tcPr>
            <w:tcW w:w="274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Financial Stability, Supportive Infrastructure, Conducive Policy Environment, Adaptation to Changes in the External Environment, Collaboration with Financial Institutions, Human Resources Competency Improvement, Operational Digitalization.</w:t>
            </w:r>
          </w:p>
        </w:tc>
        <w:tc>
          <w:tcPr>
            <w:tcW w:w="1306" w:type="dxa"/>
            <w:shd w:val="clear" w:color="000000" w:fill="FFFFFF"/>
            <w:hideMark/>
          </w:tcPr>
          <w:p w:rsidR="00844432" w:rsidRPr="00844432" w:rsidRDefault="00844432" w:rsidP="00844432">
            <w:pPr>
              <w:spacing w:after="0" w:line="240" w:lineRule="auto"/>
              <w:jc w:val="center"/>
              <w:rPr>
                <w:rFonts w:ascii="Arial" w:hAnsi="Arial" w:cs="Arial"/>
                <w:sz w:val="20"/>
                <w:szCs w:val="20"/>
              </w:rPr>
            </w:pPr>
            <w:r w:rsidRPr="00844432">
              <w:rPr>
                <w:rFonts w:ascii="Arial" w:hAnsi="Arial" w:cs="Arial"/>
                <w:sz w:val="20"/>
                <w:szCs w:val="20"/>
              </w:rPr>
              <w:fldChar w:fldCharType="begin" w:fldLock="1"/>
            </w:r>
            <w:r w:rsidRPr="00844432">
              <w:rPr>
                <w:rFonts w:ascii="Arial" w:hAnsi="Arial" w:cs="Arial"/>
                <w:sz w:val="20"/>
                <w:szCs w:val="20"/>
              </w:rPr>
              <w:instrText>ADDIN CSL_CITATION {"citationItems":[{"id":"ITEM-1","itemData":{"DOI":"https://doi.org/10.14505/jemt.v13.3(59).09","author":[{"dropping-particle":"","family":"Belgibayeva","given":"Anargul","non-dropping-particle":"","parse-names":false,"suffix":""},{"dropping-particle":"","family":"Denissova","given":"Oxana","non-dropping-particle":"","parse-names":false,"suffix":""},{"dropping-particle":"","family":"Kozlova","given":"Marina","non-dropping-particle":"","parse-names":false,"suffix":""},{"dropping-particle":"","family":"Savchenko","given":"Irina","non-dropping-particle":"","parse-names":false,"suffix":""},{"dropping-particle":"","family":"Tleubayev","given":"Azat","non-dropping-particle":"","parse-names":false,"suffix":""},{"dropping-particle":"","family":"Siximbayeva","given":"Gaukhar","non-dropping-particle":"","parse-names":false,"suffix":""}],"container-title":"Journal of Environmental Management and Tourism","id":"ITEM-1","issue":"4","issued":{"date-parts":[["2022"]]},"title":"Analysis of Sustainable Development of SMEs in Agriculture","type":"article-journal","volume":"VII"},"uris":["http://www.mendeley.com/documents/?uuid=e2d74feb-4f38-49e8-9ce5-26daa9470ad7"]}],"mendeley":{"formattedCitation":"[22]","plainTextFormattedCitation":"[22]","previouslyFormattedCitation":"[22]"},"properties":{"noteIndex":0},"schema":"https://github.com/citation-style-language/schema/raw/master/csl-citation.json"}</w:instrText>
            </w:r>
            <w:r w:rsidRPr="00844432">
              <w:rPr>
                <w:rFonts w:ascii="Arial" w:hAnsi="Arial" w:cs="Arial"/>
                <w:sz w:val="20"/>
                <w:szCs w:val="20"/>
              </w:rPr>
              <w:fldChar w:fldCharType="separate"/>
            </w:r>
            <w:r w:rsidRPr="00844432">
              <w:rPr>
                <w:rFonts w:ascii="Arial" w:hAnsi="Arial" w:cs="Arial"/>
                <w:noProof/>
                <w:sz w:val="20"/>
                <w:szCs w:val="20"/>
              </w:rPr>
              <w:t>[22]</w:t>
            </w:r>
            <w:r w:rsidRPr="00844432">
              <w:rPr>
                <w:rFonts w:ascii="Arial" w:hAnsi="Arial" w:cs="Arial"/>
                <w:sz w:val="20"/>
                <w:szCs w:val="20"/>
              </w:rPr>
              <w:fldChar w:fldCharType="end"/>
            </w:r>
          </w:p>
        </w:tc>
      </w:tr>
      <w:tr w:rsidR="00844432" w:rsidRPr="00844432" w:rsidTr="00B0441B">
        <w:trPr>
          <w:trHeight w:val="1500"/>
        </w:trPr>
        <w:tc>
          <w:tcPr>
            <w:tcW w:w="1660"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Non-Specific</w:t>
            </w:r>
          </w:p>
        </w:tc>
        <w:tc>
          <w:tcPr>
            <w:tcW w:w="1569"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Sustainability</w:t>
            </w:r>
          </w:p>
        </w:tc>
        <w:tc>
          <w:tcPr>
            <w:tcW w:w="181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Structural Equation Modeling (SEM), Principal Component Analysis (PCA).</w:t>
            </w:r>
          </w:p>
        </w:tc>
        <w:tc>
          <w:tcPr>
            <w:tcW w:w="274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Collaboration, Availability of competent and trained human resources, Leadership that supports sustainability and innovation, Knowledge Infrastructure, Organizational Culture, Use of Technology.</w:t>
            </w:r>
          </w:p>
        </w:tc>
        <w:tc>
          <w:tcPr>
            <w:tcW w:w="1306" w:type="dxa"/>
            <w:shd w:val="clear" w:color="000000" w:fill="FFFFFF"/>
            <w:hideMark/>
          </w:tcPr>
          <w:p w:rsidR="00844432" w:rsidRPr="00844432" w:rsidRDefault="00844432" w:rsidP="00844432">
            <w:pPr>
              <w:spacing w:after="0" w:line="240" w:lineRule="auto"/>
              <w:jc w:val="center"/>
              <w:rPr>
                <w:rFonts w:ascii="Arial" w:hAnsi="Arial" w:cs="Arial"/>
                <w:sz w:val="20"/>
                <w:szCs w:val="20"/>
              </w:rPr>
            </w:pPr>
            <w:r w:rsidRPr="00844432">
              <w:rPr>
                <w:rFonts w:ascii="Arial" w:hAnsi="Arial" w:cs="Arial"/>
                <w:sz w:val="20"/>
                <w:szCs w:val="20"/>
              </w:rPr>
              <w:fldChar w:fldCharType="begin" w:fldLock="1"/>
            </w:r>
            <w:r w:rsidRPr="00844432">
              <w:rPr>
                <w:rFonts w:ascii="Arial" w:hAnsi="Arial" w:cs="Arial"/>
                <w:sz w:val="20"/>
                <w:szCs w:val="20"/>
              </w:rPr>
              <w:instrText>ADDIN CSL_CITATION {"citationItems":[{"id":"ITEM-1","itemData":{"DOI":"https://doi.org/10.3390/su141711036","author":[{"dropping-particle":"","family":"Acosta-Velásquez","given":"Rubén Dario","non-dropping-particle":"","parse-names":false,"suffix":""},{"dropping-particle":"","family":"León-Pulido","given":"Jeffrey","non-dropping-particle":"","parse-names":false,"suffix":""},{"dropping-particle":"","family":"García-Pérez","given":"Alexander","non-dropping-particle":"","parse-names":false,"suffix":""},{"dropping-particle":"","family":"Fajardo-Moreno","given":"William Stive","non-dropping-particle":"","parse-names":false,"suffix":""},{"dropping-particle":"","family":"Espinosa-Leal","given":"Leonardo","non-dropping-particle":"","parse-names":false,"suffix":""}],"container-title":"Sustainability","id":"ITEM-1","issue":"11036","issued":{"date-parts":[["2022"]]},"page":"1-12","title":"Contemporary Management Practice Applying the Dynamic Absorptive Capacity Measurement Model ( PM 4 AC ) for Improved Business Sustainability","type":"article-journal","volume":"14"},"uris":["http://www.mendeley.com/documents/?uuid=92a60348-40f5-48c9-a7fe-e61af01c4a3c"]}],"mendeley":{"formattedCitation":"[23]","plainTextFormattedCitation":"[23]","previouslyFormattedCitation":"[23]"},"properties":{"noteIndex":0},"schema":"https://github.com/citation-style-language/schema/raw/master/csl-citation.json"}</w:instrText>
            </w:r>
            <w:r w:rsidRPr="00844432">
              <w:rPr>
                <w:rFonts w:ascii="Arial" w:hAnsi="Arial" w:cs="Arial"/>
                <w:sz w:val="20"/>
                <w:szCs w:val="20"/>
              </w:rPr>
              <w:fldChar w:fldCharType="separate"/>
            </w:r>
            <w:r w:rsidRPr="00844432">
              <w:rPr>
                <w:rFonts w:ascii="Arial" w:hAnsi="Arial" w:cs="Arial"/>
                <w:noProof/>
                <w:sz w:val="20"/>
                <w:szCs w:val="20"/>
              </w:rPr>
              <w:t>[23]</w:t>
            </w:r>
            <w:r w:rsidRPr="00844432">
              <w:rPr>
                <w:rFonts w:ascii="Arial" w:hAnsi="Arial" w:cs="Arial"/>
                <w:sz w:val="20"/>
                <w:szCs w:val="20"/>
              </w:rPr>
              <w:fldChar w:fldCharType="end"/>
            </w:r>
          </w:p>
        </w:tc>
      </w:tr>
      <w:tr w:rsidR="00844432" w:rsidRPr="00844432" w:rsidTr="00B0441B">
        <w:trPr>
          <w:trHeight w:val="1500"/>
        </w:trPr>
        <w:tc>
          <w:tcPr>
            <w:tcW w:w="1660"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Food Processing</w:t>
            </w:r>
          </w:p>
        </w:tc>
        <w:tc>
          <w:tcPr>
            <w:tcW w:w="1569"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 xml:space="preserve"> International Journal of Emerging Markets</w:t>
            </w:r>
          </w:p>
        </w:tc>
        <w:tc>
          <w:tcPr>
            <w:tcW w:w="181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Smart PLS-SEM</w:t>
            </w:r>
          </w:p>
        </w:tc>
        <w:tc>
          <w:tcPr>
            <w:tcW w:w="274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Relationships with Customers and Stakeholders, Leadership Involvement, Balance of Interests, CSR Awareness and Consistency, Adequate Infrastructure and Technology, Appropriate Performance Measurement System</w:t>
            </w:r>
          </w:p>
        </w:tc>
        <w:tc>
          <w:tcPr>
            <w:tcW w:w="1306" w:type="dxa"/>
            <w:shd w:val="clear" w:color="000000" w:fill="FFFFFF"/>
            <w:hideMark/>
          </w:tcPr>
          <w:p w:rsidR="00844432" w:rsidRPr="00844432" w:rsidRDefault="00844432" w:rsidP="00844432">
            <w:pPr>
              <w:spacing w:after="0" w:line="240" w:lineRule="auto"/>
              <w:jc w:val="center"/>
              <w:rPr>
                <w:rFonts w:ascii="Arial" w:hAnsi="Arial" w:cs="Arial"/>
                <w:sz w:val="20"/>
                <w:szCs w:val="20"/>
              </w:rPr>
            </w:pPr>
            <w:r w:rsidRPr="00844432">
              <w:rPr>
                <w:rFonts w:ascii="Arial" w:hAnsi="Arial" w:cs="Arial"/>
                <w:sz w:val="20"/>
                <w:szCs w:val="20"/>
              </w:rPr>
              <w:fldChar w:fldCharType="begin" w:fldLock="1"/>
            </w:r>
            <w:r w:rsidR="008516C5">
              <w:rPr>
                <w:rFonts w:ascii="Arial" w:hAnsi="Arial" w:cs="Arial"/>
                <w:sz w:val="20"/>
                <w:szCs w:val="20"/>
              </w:rPr>
              <w:instrText>ADDIN CSL_CITATION {"citationItems":[{"id":"ITEM-1","itemData":{"DOI":"https://doi.org/10.1108/IJOEM-07-2021-1164","author":[{"dropping-particle":"","family":"Le","given":"Thanh Tiep","non-dropping-particle":"","parse-names":false,"suffix":""}],"container-title":"International Journal of Emerging Markets","id":"ITEM-1","issue":"10","issued":{"date-parts":[["2023"]]},"page":"4565-4590","title":"Corporate social responsibility and SMEs ’ performance : mediating role of corporate image , corporate reputation and customer loyalty","type":"article-journal","volume":"18"},"uris":["http://www.mendeley.com/documents/?uuid=72811685-9f18-4e0f-a2df-c6d8223b9fcb"]}],"mendeley":{"formattedCitation":"[24]","plainTextFormattedCitation":"[24]","previouslyFormattedCitation":"[24]"},"properties":{"noteIndex":0},"schema":"https://github.com/citation-style-language/schema/raw/master/csl-citation.json"}</w:instrText>
            </w:r>
            <w:r w:rsidRPr="00844432">
              <w:rPr>
                <w:rFonts w:ascii="Arial" w:hAnsi="Arial" w:cs="Arial"/>
                <w:sz w:val="20"/>
                <w:szCs w:val="20"/>
              </w:rPr>
              <w:fldChar w:fldCharType="separate"/>
            </w:r>
            <w:r w:rsidRPr="00844432">
              <w:rPr>
                <w:rFonts w:ascii="Arial" w:hAnsi="Arial" w:cs="Arial"/>
                <w:noProof/>
                <w:sz w:val="20"/>
                <w:szCs w:val="20"/>
              </w:rPr>
              <w:t>[24]</w:t>
            </w:r>
            <w:r w:rsidRPr="00844432">
              <w:rPr>
                <w:rFonts w:ascii="Arial" w:hAnsi="Arial" w:cs="Arial"/>
                <w:sz w:val="20"/>
                <w:szCs w:val="20"/>
              </w:rPr>
              <w:fldChar w:fldCharType="end"/>
            </w:r>
          </w:p>
        </w:tc>
      </w:tr>
      <w:tr w:rsidR="00844432" w:rsidRPr="00844432" w:rsidTr="00B0441B">
        <w:trPr>
          <w:trHeight w:val="900"/>
        </w:trPr>
        <w:tc>
          <w:tcPr>
            <w:tcW w:w="1660"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Manufacturing</w:t>
            </w:r>
          </w:p>
        </w:tc>
        <w:tc>
          <w:tcPr>
            <w:tcW w:w="1569"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Cogent Business &amp; Management</w:t>
            </w:r>
          </w:p>
        </w:tc>
        <w:tc>
          <w:tcPr>
            <w:tcW w:w="181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Qualitative and Quantitative methods. Covariance-Based Structural Equation Model (CB-SEM).</w:t>
            </w:r>
          </w:p>
        </w:tc>
        <w:tc>
          <w:tcPr>
            <w:tcW w:w="274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External Support, Intangible Assets, Flexibility, Speed ​​and Quality of Innovation. Human Resource Management, CSR Implementation.</w:t>
            </w:r>
          </w:p>
        </w:tc>
        <w:tc>
          <w:tcPr>
            <w:tcW w:w="1306" w:type="dxa"/>
            <w:shd w:val="clear" w:color="000000" w:fill="FFFFFF"/>
            <w:hideMark/>
          </w:tcPr>
          <w:p w:rsidR="00844432" w:rsidRPr="00844432" w:rsidRDefault="00844432" w:rsidP="00844432">
            <w:pPr>
              <w:spacing w:after="0" w:line="240" w:lineRule="auto"/>
              <w:jc w:val="center"/>
              <w:rPr>
                <w:rFonts w:ascii="Arial" w:hAnsi="Arial" w:cs="Arial"/>
                <w:sz w:val="20"/>
                <w:szCs w:val="20"/>
              </w:rPr>
            </w:pPr>
            <w:r w:rsidRPr="00844432">
              <w:rPr>
                <w:rFonts w:ascii="Arial" w:hAnsi="Arial" w:cs="Arial"/>
                <w:sz w:val="20"/>
                <w:szCs w:val="20"/>
              </w:rPr>
              <w:fldChar w:fldCharType="begin" w:fldLock="1"/>
            </w:r>
            <w:r w:rsidRPr="00844432">
              <w:rPr>
                <w:rFonts w:ascii="Arial" w:hAnsi="Arial" w:cs="Arial"/>
                <w:sz w:val="20"/>
                <w:szCs w:val="20"/>
              </w:rPr>
              <w:instrText>ADDIN CSL_CITATION {"citationItems":[{"id":"ITEM-1","itemData":{"DOI":"https://doi.org/10.1080/23311975.2021.1893246","author":[{"dropping-particle":"Le","family":"Thanh","given":"Tiep","non-dropping-particle":"","parse-names":false,"suffix":""},{"dropping-particle":"","family":"Huan","given":"Ngo Quang","non-dropping-particle":"","parse-names":false,"suffix":""},{"dropping-particle":"","family":"Thi","given":"Tran","non-dropping-particle":"","parse-names":false,"suffix":""},{"dropping-particle":"","family":"Hong","given":"Thuy","non-dropping-particle":"","parse-names":false,"suffix":""}],"container-title":"Cogent Business &amp; Management","id":"ITEM-1","issue":"1","issued":{"date-parts":[["2021"]]},"publisher":"Cogent","title":"Determinants for competitiveness in the context of international integration pressure : Case of small and medium enterprises in emerging economy – Vietnam","type":"article-journal","volume":"8"},"uris":["http://www.mendeley.com/documents/?uuid=e02f0b10-24be-4c80-bd3f-9411fc84d856"]}],"mendeley":{"formattedCitation":"[25]","plainTextFormattedCitation":"[25]","previouslyFormattedCitation":"[25]"},"properties":{"noteIndex":0},"schema":"https://github.com/citation-style-language/schema/raw/master/csl-citation.json"}</w:instrText>
            </w:r>
            <w:r w:rsidRPr="00844432">
              <w:rPr>
                <w:rFonts w:ascii="Arial" w:hAnsi="Arial" w:cs="Arial"/>
                <w:sz w:val="20"/>
                <w:szCs w:val="20"/>
              </w:rPr>
              <w:fldChar w:fldCharType="separate"/>
            </w:r>
            <w:r w:rsidRPr="00844432">
              <w:rPr>
                <w:rFonts w:ascii="Arial" w:hAnsi="Arial" w:cs="Arial"/>
                <w:noProof/>
                <w:sz w:val="20"/>
                <w:szCs w:val="20"/>
              </w:rPr>
              <w:t>[25]</w:t>
            </w:r>
            <w:r w:rsidRPr="00844432">
              <w:rPr>
                <w:rFonts w:ascii="Arial" w:hAnsi="Arial" w:cs="Arial"/>
                <w:sz w:val="20"/>
                <w:szCs w:val="20"/>
              </w:rPr>
              <w:fldChar w:fldCharType="end"/>
            </w:r>
          </w:p>
        </w:tc>
      </w:tr>
      <w:tr w:rsidR="00844432" w:rsidRPr="00844432" w:rsidTr="00B0441B">
        <w:trPr>
          <w:trHeight w:val="1500"/>
        </w:trPr>
        <w:tc>
          <w:tcPr>
            <w:tcW w:w="1660"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Manufacturing</w:t>
            </w:r>
          </w:p>
        </w:tc>
        <w:tc>
          <w:tcPr>
            <w:tcW w:w="1569"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Frontiers in Environmental Science</w:t>
            </w:r>
          </w:p>
        </w:tc>
        <w:tc>
          <w:tcPr>
            <w:tcW w:w="181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Partial Least Squares Structural Equation Modeling (PLS-SEM)</w:t>
            </w:r>
          </w:p>
        </w:tc>
        <w:tc>
          <w:tcPr>
            <w:tcW w:w="274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Environmental Regulatory Support, Collaboration, Investment in Green Intellectual Capital (GIC), Absorptive Capacity (AC), Commitment to Green Innovation (GI).</w:t>
            </w:r>
          </w:p>
        </w:tc>
        <w:tc>
          <w:tcPr>
            <w:tcW w:w="1306" w:type="dxa"/>
            <w:shd w:val="clear" w:color="000000" w:fill="FFFFFF"/>
            <w:hideMark/>
          </w:tcPr>
          <w:p w:rsidR="00844432" w:rsidRPr="00844432" w:rsidRDefault="00844432" w:rsidP="00844432">
            <w:pPr>
              <w:spacing w:after="0" w:line="240" w:lineRule="auto"/>
              <w:jc w:val="center"/>
              <w:rPr>
                <w:rFonts w:ascii="Arial" w:hAnsi="Arial" w:cs="Arial"/>
                <w:sz w:val="20"/>
                <w:szCs w:val="20"/>
              </w:rPr>
            </w:pPr>
            <w:r w:rsidRPr="00844432">
              <w:rPr>
                <w:rFonts w:ascii="Arial" w:hAnsi="Arial" w:cs="Arial"/>
                <w:sz w:val="20"/>
                <w:szCs w:val="20"/>
              </w:rPr>
              <w:fldChar w:fldCharType="begin" w:fldLock="1"/>
            </w:r>
            <w:r w:rsidR="008516C5">
              <w:rPr>
                <w:rFonts w:ascii="Arial" w:hAnsi="Arial" w:cs="Arial"/>
                <w:sz w:val="20"/>
                <w:szCs w:val="20"/>
              </w:rPr>
              <w:instrText>ADDIN CSL_CITATION {"citationItems":[{"id":"ITEM-1","itemData":{"DOI":"https://doi.org/10.3389/fenvs.2024.1348994","author":[{"dropping-particle":"","family":"Sohu","given":"Jan Muhammad","non-dropping-particle":"","parse-names":false,"suffix":""},{"dropping-particle":"","family":"Hongyun","given":"Tian","non-dropping-particle":"","parse-names":false,"suffix":""},{"dropping-particle":"","family":"Junejo","given":"Ikramuddin","non-dropping-particle":"","parse-names":false,"suffix":""},{"dropping-particle":"","family":"Akhtar","given":"Sadaf","non-dropping-particle":"","parse-names":false,"suffix":""},{"dropping-particle":"","family":"Ejaz","given":"Faisal","non-dropping-particle":"","parse-names":false,"suffix":""},{"dropping-particle":"","family":"Dunay","given":"Anna","non-dropping-particle":"","parse-names":false,"suffix":""},{"dropping-particle":"","family":"Hossain","given":"Billal","non-dropping-particle":"","parse-names":false,"suffix":""}],"container-title":"Frontiers in Environmental Science","id":"ITEM-1","issue":"February","issued":{"date-parts":[["2024"]]},"page":"1-13","title":"Driving sustainable competitiveness : unveiling the nexus of green intellectual capital and environmental regulations on greening SME performance","type":"article-journal"},"uris":["http://www.mendeley.com/documents/?uuid=902f3cdc-9d05-44e9-9926-cf5ae89292ca"]}],"mendeley":{"formattedCitation":"[2]","plainTextFormattedCitation":"[2]","previouslyFormattedCitation":"[2]"},"properties":{"noteIndex":0},"schema":"https://github.com/citation-style-language/schema/raw/master/csl-citation.json"}</w:instrText>
            </w:r>
            <w:r w:rsidRPr="00844432">
              <w:rPr>
                <w:rFonts w:ascii="Arial" w:hAnsi="Arial" w:cs="Arial"/>
                <w:sz w:val="20"/>
                <w:szCs w:val="20"/>
              </w:rPr>
              <w:fldChar w:fldCharType="separate"/>
            </w:r>
            <w:r w:rsidRPr="00844432">
              <w:rPr>
                <w:rFonts w:ascii="Arial" w:hAnsi="Arial" w:cs="Arial"/>
                <w:noProof/>
                <w:sz w:val="20"/>
                <w:szCs w:val="20"/>
              </w:rPr>
              <w:t>[2]</w:t>
            </w:r>
            <w:r w:rsidRPr="00844432">
              <w:rPr>
                <w:rFonts w:ascii="Arial" w:hAnsi="Arial" w:cs="Arial"/>
                <w:sz w:val="20"/>
                <w:szCs w:val="20"/>
              </w:rPr>
              <w:fldChar w:fldCharType="end"/>
            </w:r>
          </w:p>
        </w:tc>
      </w:tr>
      <w:tr w:rsidR="00844432" w:rsidRPr="00844432" w:rsidTr="00B0441B">
        <w:trPr>
          <w:trHeight w:val="1200"/>
        </w:trPr>
        <w:tc>
          <w:tcPr>
            <w:tcW w:w="1660"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Non spesific</w:t>
            </w:r>
          </w:p>
        </w:tc>
        <w:tc>
          <w:tcPr>
            <w:tcW w:w="1569"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Jurnal Optimasi Sistem Industri</w:t>
            </w:r>
          </w:p>
        </w:tc>
        <w:tc>
          <w:tcPr>
            <w:tcW w:w="181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Quantitative research with a causal approach, Structural Equation Modeling-Partial Least Squares (SEM-PLS).</w:t>
            </w:r>
          </w:p>
        </w:tc>
        <w:tc>
          <w:tcPr>
            <w:tcW w:w="274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Effective Government Support,Collaboration with External Institutions, Continuous Education and Training,  Financial Capacity and Infrastructure.</w:t>
            </w:r>
          </w:p>
        </w:tc>
        <w:tc>
          <w:tcPr>
            <w:tcW w:w="1306" w:type="dxa"/>
            <w:shd w:val="clear" w:color="000000" w:fill="FFFFFF"/>
            <w:hideMark/>
          </w:tcPr>
          <w:p w:rsidR="00844432" w:rsidRPr="00844432" w:rsidRDefault="00844432" w:rsidP="00844432">
            <w:pPr>
              <w:spacing w:after="0" w:line="240" w:lineRule="auto"/>
              <w:jc w:val="center"/>
              <w:rPr>
                <w:rFonts w:ascii="Arial" w:hAnsi="Arial" w:cs="Arial"/>
                <w:sz w:val="20"/>
                <w:szCs w:val="20"/>
              </w:rPr>
            </w:pPr>
            <w:r w:rsidRPr="00844432">
              <w:rPr>
                <w:rFonts w:ascii="Arial" w:hAnsi="Arial" w:cs="Arial"/>
                <w:sz w:val="20"/>
                <w:szCs w:val="20"/>
              </w:rPr>
              <w:fldChar w:fldCharType="begin" w:fldLock="1"/>
            </w:r>
            <w:r w:rsidR="008516C5">
              <w:rPr>
                <w:rFonts w:ascii="Arial" w:hAnsi="Arial" w:cs="Arial"/>
                <w:sz w:val="20"/>
                <w:szCs w:val="20"/>
              </w:rPr>
              <w:instrText>ADDIN CSL_CITATION {"citationItems":[{"id":"ITEM-1","itemData":{"DOI":"https://doi.org/10.25077/josi.v23.n1.p109-119.2024","author":[{"dropping-particle":"","family":"Rahman","given":"Hafiz","non-dropping-particle":"","parse-names":false,"suffix":""},{"dropping-particle":"","family":"Oktavia","given":"Sri","non-dropping-particle":"","parse-names":false,"suffix":""},{"dropping-particle":"","family":"Shetye","given":"Niyanta","non-dropping-particle":"","parse-names":false,"suffix":""},{"dropping-particle":"","family":"Azonhoumon","given":"Winny Leocade Sedjiro","non-dropping-particle":"","parse-names":false,"suffix":""}],"container-title":"Jurnal Optimasi Sistem Industri","id":"ITEM-1","issue":"1","issued":{"date-parts":[["2024"]]},"page":"109-119","title":"Enhancing Operations for Sustainability in Indonesian SMEs through Climate Change Awareness and Business Orientation","type":"article-journal","volume":"23"},"uris":["http://www.mendeley.com/documents/?uuid=d2f0db5b-06cf-48ac-9282-ce78754db3f7"]}],"mendeley":{"formattedCitation":"[26]","plainTextFormattedCitation":"[26]","previouslyFormattedCitation":"[26]"},"properties":{"noteIndex":0},"schema":"https://github.com/citation-style-language/schema/raw/master/csl-citation.json"}</w:instrText>
            </w:r>
            <w:r w:rsidRPr="00844432">
              <w:rPr>
                <w:rFonts w:ascii="Arial" w:hAnsi="Arial" w:cs="Arial"/>
                <w:sz w:val="20"/>
                <w:szCs w:val="20"/>
              </w:rPr>
              <w:fldChar w:fldCharType="separate"/>
            </w:r>
            <w:r w:rsidRPr="00844432">
              <w:rPr>
                <w:rFonts w:ascii="Arial" w:hAnsi="Arial" w:cs="Arial"/>
                <w:noProof/>
                <w:sz w:val="20"/>
                <w:szCs w:val="20"/>
              </w:rPr>
              <w:t>[26]</w:t>
            </w:r>
            <w:r w:rsidRPr="00844432">
              <w:rPr>
                <w:rFonts w:ascii="Arial" w:hAnsi="Arial" w:cs="Arial"/>
                <w:sz w:val="20"/>
                <w:szCs w:val="20"/>
              </w:rPr>
              <w:fldChar w:fldCharType="end"/>
            </w:r>
          </w:p>
        </w:tc>
      </w:tr>
      <w:tr w:rsidR="00844432" w:rsidRPr="00844432" w:rsidTr="00B0441B">
        <w:trPr>
          <w:trHeight w:val="1800"/>
        </w:trPr>
        <w:tc>
          <w:tcPr>
            <w:tcW w:w="1660"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Industrial</w:t>
            </w:r>
          </w:p>
        </w:tc>
        <w:tc>
          <w:tcPr>
            <w:tcW w:w="1569"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 xml:space="preserve"> International Journal of Advanced Computer Science and Applications</w:t>
            </w:r>
          </w:p>
        </w:tc>
        <w:tc>
          <w:tcPr>
            <w:tcW w:w="181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Descriptive research design, Structural Equation Modeling, SEM, SPSS and AMOS</w:t>
            </w:r>
          </w:p>
        </w:tc>
        <w:tc>
          <w:tcPr>
            <w:tcW w:w="274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Collaboration, Innovation as Competitive Core, Commitment to Continuous Improvement, Effective Resource Management, Appropriate Use of Technology, Capacity for Adaptation, Deep Understanding of the Market</w:t>
            </w:r>
          </w:p>
        </w:tc>
        <w:tc>
          <w:tcPr>
            <w:tcW w:w="1306" w:type="dxa"/>
            <w:shd w:val="clear" w:color="000000" w:fill="FFFFFF"/>
            <w:hideMark/>
          </w:tcPr>
          <w:p w:rsidR="00844432" w:rsidRPr="00844432" w:rsidRDefault="00844432" w:rsidP="00844432">
            <w:pPr>
              <w:spacing w:after="0" w:line="240" w:lineRule="auto"/>
              <w:jc w:val="center"/>
              <w:rPr>
                <w:rFonts w:ascii="Arial" w:hAnsi="Arial" w:cs="Arial"/>
                <w:sz w:val="20"/>
                <w:szCs w:val="20"/>
              </w:rPr>
            </w:pPr>
            <w:r w:rsidRPr="00844432">
              <w:rPr>
                <w:rFonts w:ascii="Arial" w:hAnsi="Arial" w:cs="Arial"/>
                <w:sz w:val="20"/>
                <w:szCs w:val="20"/>
              </w:rPr>
              <w:fldChar w:fldCharType="begin" w:fldLock="1"/>
            </w:r>
            <w:r w:rsidRPr="00844432">
              <w:rPr>
                <w:rFonts w:ascii="Arial" w:hAnsi="Arial" w:cs="Arial"/>
                <w:sz w:val="20"/>
                <w:szCs w:val="20"/>
              </w:rPr>
              <w:instrText>ADDIN CSL_CITATION {"citationItems":[{"id":"ITEM-1","itemData":{"DOI":"http://doi.org/10.14569/IJACSA.2022.0130871","ISSN":"21565570","abstract":"One of the main problems of small companies is not knowing how to properly manage investments, resources, strategies, tools and responsibilities to be more competitive, the research objective is the development of management and innovation processes required by the new company for its permanence in the market and decision making to be carried out every day; small companies face the competitiveness of new products that emerge. Today there are a great variety of products, which are globally interconnected, therefore it is required to implement a structural equation model for its management, so that the company continuously improves and optimizes the available resources, therefore as a result is the management, focused on greater effectiveness of resources; so it is necessary that small businesses need to manage a model of investments, resources, tools and responsibilities to obtain support from the competitiveness of the market; which would allow it to be oriented to a sustainable development and be one step ahead of the competition.","author":[{"dropping-particle":"","family":"Advincula","given":"Rafael Roosell Paez","non-dropping-particle":"","parse-names":false,"suffix":""},{"dropping-particle":"","family":"Chavesta","given":"Celso Gonzales","non-dropping-particle":"","parse-names":false,"suffix":""},{"dropping-particle":"","family":"Ocares-Cunyarachi","given":"Lilian","non-dropping-particle":"","parse-names":false,"suffix":""}],"container-title":"International Journal of Advanced Computer Science and Applications","id":"ITEM-1","issue":"8","issued":{"date-parts":[["2022"]]},"page":"620-627","title":"Innovation Management Model as a Source of Business Competitiveness for Industrial SMEs","type":"article-journal","volume":"13"},"uris":["http://www.mendeley.com/documents/?uuid=b3df2901-6ecb-487c-aa1c-47807419c60a"]}],"mendeley":{"formattedCitation":"[27]","plainTextFormattedCitation":"[27]","previouslyFormattedCitation":"[27]"},"properties":{"noteIndex":0},"schema":"https://github.com/citation-style-language/schema/raw/master/csl-citation.json"}</w:instrText>
            </w:r>
            <w:r w:rsidRPr="00844432">
              <w:rPr>
                <w:rFonts w:ascii="Arial" w:hAnsi="Arial" w:cs="Arial"/>
                <w:sz w:val="20"/>
                <w:szCs w:val="20"/>
              </w:rPr>
              <w:fldChar w:fldCharType="separate"/>
            </w:r>
            <w:r w:rsidRPr="00844432">
              <w:rPr>
                <w:rFonts w:ascii="Arial" w:hAnsi="Arial" w:cs="Arial"/>
                <w:noProof/>
                <w:sz w:val="20"/>
                <w:szCs w:val="20"/>
              </w:rPr>
              <w:t>[27]</w:t>
            </w:r>
            <w:r w:rsidRPr="00844432">
              <w:rPr>
                <w:rFonts w:ascii="Arial" w:hAnsi="Arial" w:cs="Arial"/>
                <w:sz w:val="20"/>
                <w:szCs w:val="20"/>
              </w:rPr>
              <w:fldChar w:fldCharType="end"/>
            </w:r>
          </w:p>
        </w:tc>
      </w:tr>
      <w:tr w:rsidR="00844432" w:rsidRPr="00844432" w:rsidTr="00B0441B">
        <w:trPr>
          <w:trHeight w:val="1200"/>
        </w:trPr>
        <w:tc>
          <w:tcPr>
            <w:tcW w:w="1660"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Tourism</w:t>
            </w:r>
          </w:p>
        </w:tc>
        <w:tc>
          <w:tcPr>
            <w:tcW w:w="1569"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MDPI - Water</w:t>
            </w:r>
          </w:p>
        </w:tc>
        <w:tc>
          <w:tcPr>
            <w:tcW w:w="181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Quantitative and Qualitative narrative descriptive.</w:t>
            </w:r>
          </w:p>
        </w:tc>
        <w:tc>
          <w:tcPr>
            <w:tcW w:w="274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 xml:space="preserve">Collaboration with Stakeholders, The Right Investment Approach, Focus on High Value Niche Markets, Adaptability to Crisis, Optimization of Resources, Innovation and Technology. </w:t>
            </w:r>
          </w:p>
        </w:tc>
        <w:tc>
          <w:tcPr>
            <w:tcW w:w="1306" w:type="dxa"/>
            <w:shd w:val="clear" w:color="000000" w:fill="FFFFFF"/>
            <w:hideMark/>
          </w:tcPr>
          <w:p w:rsidR="00844432" w:rsidRPr="00844432" w:rsidRDefault="00844432" w:rsidP="00844432">
            <w:pPr>
              <w:spacing w:after="0" w:line="240" w:lineRule="auto"/>
              <w:jc w:val="center"/>
              <w:rPr>
                <w:rFonts w:ascii="Arial" w:hAnsi="Arial" w:cs="Arial"/>
                <w:sz w:val="20"/>
                <w:szCs w:val="20"/>
              </w:rPr>
            </w:pPr>
            <w:r w:rsidRPr="00844432">
              <w:rPr>
                <w:rFonts w:ascii="Arial" w:hAnsi="Arial" w:cs="Arial"/>
                <w:sz w:val="20"/>
                <w:szCs w:val="20"/>
              </w:rPr>
              <w:fldChar w:fldCharType="begin" w:fldLock="1"/>
            </w:r>
            <w:r w:rsidRPr="00844432">
              <w:rPr>
                <w:rFonts w:ascii="Arial" w:hAnsi="Arial" w:cs="Arial"/>
                <w:sz w:val="20"/>
                <w:szCs w:val="20"/>
              </w:rPr>
              <w:instrText>ADDIN CSL_CITATION {"citationItems":[{"id":"ITEM-1","itemData":{"DOI":"https://doi.org/10.3390/w14192964","ISSN":"20734441","abstract":"The blue economy contributes significantly to the creation of the Atlantic Area’s identity. In addition, the search for outdoor experiences after the COVID-19 lockdown suspensions has renewed the popularity of nautical tourism in this area and in the world. Despite the negative effects of the economic crisis on tourism, evidence suggests that some tourist destinations in the Atlantic area are resilient. Thus, whereas some branches of the blue economy face considerable challenges to increasing competitiveness, others offer opportunities for economic growth and employment. In this context, investment is necessary to lay the foundations for the sustainable development of nautical tourism. However, regarding the role of investment in productivity and competitiveness in the context of crisis, there is no consensus among academics. Thus, we investigate whether the investment contributed to competitiveness in nautical tourism in the Atlantic Area in 2016–2020. We collected data from ORBIS for 29 nautical-tourism companies and performed a quantitative and qualitative narrative analysis of competitiveness indicators, enabling comparisons pre and during crisis. The results highlight the multiplicity of ways in which crisis impacts nautical-tourism firms. The research fills a gap in the literature by investigating the dynamic capabilities of nautical-tourism SMEs in periods of recession, with a special focus on restructuring and competitiveness strategies. Some recommendations are outlined to promote the efficiency of resources and stimulate the competitiveness of companies to allow the regional development of nautical tourism in the territory of the Atlantic area.","author":[{"dropping-particle":"","family":"Santos","given":"Eleonora","non-dropping-particle":"","parse-names":false,"suffix":""},{"dropping-particle":"","family":"Castanho","given":"Rui Alexandre","non-dropping-particle":"","parse-names":false,"suffix":""},{"dropping-particle":"","family":"Meyer","given":"Daniel","non-dropping-particle":"","parse-names":false,"suffix":""}],"container-title":"Water (Switzerland)","id":"ITEM-1","issue":"19","issued":{"date-parts":[["2022"]]},"page":"1-17","title":"Is Investment Contributing to Competitiveness in Nautical Tourism in the Atlantic Area?","type":"article-journal","volume":"14"},"uris":["http://www.mendeley.com/documents/?uuid=30aecf1b-328f-435a-a76d-a191dbe74f2b"]}],"mendeley":{"formattedCitation":"[28]","plainTextFormattedCitation":"[28]","previouslyFormattedCitation":"[28]"},"properties":{"noteIndex":0},"schema":"https://github.com/citation-style-language/schema/raw/master/csl-citation.json"}</w:instrText>
            </w:r>
            <w:r w:rsidRPr="00844432">
              <w:rPr>
                <w:rFonts w:ascii="Arial" w:hAnsi="Arial" w:cs="Arial"/>
                <w:sz w:val="20"/>
                <w:szCs w:val="20"/>
              </w:rPr>
              <w:fldChar w:fldCharType="separate"/>
            </w:r>
            <w:r w:rsidRPr="00844432">
              <w:rPr>
                <w:rFonts w:ascii="Arial" w:hAnsi="Arial" w:cs="Arial"/>
                <w:noProof/>
                <w:sz w:val="20"/>
                <w:szCs w:val="20"/>
              </w:rPr>
              <w:t>[28]</w:t>
            </w:r>
            <w:r w:rsidRPr="00844432">
              <w:rPr>
                <w:rFonts w:ascii="Arial" w:hAnsi="Arial" w:cs="Arial"/>
                <w:sz w:val="20"/>
                <w:szCs w:val="20"/>
              </w:rPr>
              <w:fldChar w:fldCharType="end"/>
            </w:r>
          </w:p>
        </w:tc>
      </w:tr>
      <w:tr w:rsidR="00844432" w:rsidRPr="00844432" w:rsidTr="00B0441B">
        <w:trPr>
          <w:trHeight w:val="1275"/>
        </w:trPr>
        <w:tc>
          <w:tcPr>
            <w:tcW w:w="1660"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Non spesific</w:t>
            </w:r>
          </w:p>
        </w:tc>
        <w:tc>
          <w:tcPr>
            <w:tcW w:w="1569"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International Journal of Economics and Management</w:t>
            </w:r>
          </w:p>
        </w:tc>
        <w:tc>
          <w:tcPr>
            <w:tcW w:w="181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Exploratory qualitative methods</w:t>
            </w:r>
          </w:p>
        </w:tc>
        <w:tc>
          <w:tcPr>
            <w:tcW w:w="274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Collaboration and Networking, Use of Technology, Operational Flexibility, Market Understanding, Effective Resource Management, Commitment to Sustainability, Training and Development</w:t>
            </w:r>
          </w:p>
        </w:tc>
        <w:tc>
          <w:tcPr>
            <w:tcW w:w="1306" w:type="dxa"/>
            <w:shd w:val="clear" w:color="000000" w:fill="FFFFFF"/>
            <w:hideMark/>
          </w:tcPr>
          <w:p w:rsidR="00844432" w:rsidRPr="00844432" w:rsidRDefault="00844432" w:rsidP="00844432">
            <w:pPr>
              <w:spacing w:after="0" w:line="240" w:lineRule="auto"/>
              <w:jc w:val="center"/>
              <w:rPr>
                <w:rFonts w:ascii="Arial" w:hAnsi="Arial" w:cs="Arial"/>
                <w:sz w:val="20"/>
                <w:szCs w:val="20"/>
              </w:rPr>
            </w:pPr>
            <w:r w:rsidRPr="00844432">
              <w:rPr>
                <w:rFonts w:ascii="Arial" w:hAnsi="Arial" w:cs="Arial"/>
                <w:sz w:val="20"/>
                <w:szCs w:val="20"/>
              </w:rPr>
              <w:fldChar w:fldCharType="begin" w:fldLock="1"/>
            </w:r>
            <w:r w:rsidRPr="00844432">
              <w:rPr>
                <w:rFonts w:ascii="Arial" w:hAnsi="Arial" w:cs="Arial"/>
                <w:sz w:val="20"/>
                <w:szCs w:val="20"/>
              </w:rPr>
              <w:instrText>ADDIN CSL_CITATION {"citationItems":[{"id":"ITEM-1","itemData":{"DOI":"http://doi.org/10.47836/ijeamsi.16.1.006","ISSN":"1823836X","abstract":"The global economy is facing the outbreak of COVID-19 which has exposed the people around the world with a dangerous virus. Despite of appeals put by the Government, SMEs need to understand on how to confront this crisis and search for strategies to curb with the pandemic. This research aims to scrutinize the prevalence of strategic foresight to assist the SMEs to be agile the pandemic and secure their sustainable performance. A series of interview with SMEs Agencies and SMEs was conducted to understand their behaviours on the strategies to combat the pandemic. Five agencies were interviewed to obtain their insights on their support provided to the SMEs. Eighteen SMEs were interviewed to understand their knowledge and understanding on the role of strategic foresight and the impact on agility and competitiveness. From the findings, SMEs agencies believe that SMEs need to be a future ready and agile for any circumstances that affect their businesses by having a clear future direction. For SMEs, they need to be agile by practicing entrepreneurial bricolage in which they have to deploy all the available resources to sustain their performance during pandemic. The originality of this is to provide insights into how Malaysian SMEs could formulate their strategy for business sustainability during the pandemic through the identifications of strategic foresight and agility in their business activities and process.","author":[{"dropping-particle":"","family":"Halima","given":"Hasliza Abdul","non-dropping-particle":"","parse-names":false,"suffix":""},{"dropping-particle":"","family":"Zainala","given":"Siti Rohaida Mohamed","non-dropping-particle":"","parse-names":false,"suffix":""},{"dropping-particle":"","family":"Ahmada","given":"Noor Hazlina","non-dropping-particle":"","parse-names":false,"suffix":""}],"container-title":"International Journal of Economics and Management","id":"ITEM-1","issue":"SpecialIssue1","issued":{"date-parts":[["2022"]]},"page":"81-97","title":"Strategic Foresight and Agility: Upholding Sustainable Competitiveness Among SMEs During COVID-19 Pandemic","type":"article-journal","volume":"16"},"uris":["http://www.mendeley.com/documents/?uuid=ea0b25dc-b3b7-4dbc-a2aa-f18274c3e772"]}],"mendeley":{"formattedCitation":"[29]","plainTextFormattedCitation":"[29]","previouslyFormattedCitation":"[29]"},"properties":{"noteIndex":0},"schema":"https://github.com/citation-style-language/schema/raw/master/csl-citation.json"}</w:instrText>
            </w:r>
            <w:r w:rsidRPr="00844432">
              <w:rPr>
                <w:rFonts w:ascii="Arial" w:hAnsi="Arial" w:cs="Arial"/>
                <w:sz w:val="20"/>
                <w:szCs w:val="20"/>
              </w:rPr>
              <w:fldChar w:fldCharType="separate"/>
            </w:r>
            <w:r w:rsidRPr="00844432">
              <w:rPr>
                <w:rFonts w:ascii="Arial" w:hAnsi="Arial" w:cs="Arial"/>
                <w:noProof/>
                <w:sz w:val="20"/>
                <w:szCs w:val="20"/>
              </w:rPr>
              <w:t>[29]</w:t>
            </w:r>
            <w:r w:rsidRPr="00844432">
              <w:rPr>
                <w:rFonts w:ascii="Arial" w:hAnsi="Arial" w:cs="Arial"/>
                <w:sz w:val="20"/>
                <w:szCs w:val="20"/>
              </w:rPr>
              <w:fldChar w:fldCharType="end"/>
            </w:r>
          </w:p>
        </w:tc>
      </w:tr>
      <w:tr w:rsidR="00844432" w:rsidRPr="00844432" w:rsidTr="00B0441B">
        <w:trPr>
          <w:trHeight w:val="1200"/>
        </w:trPr>
        <w:tc>
          <w:tcPr>
            <w:tcW w:w="1660"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Food</w:t>
            </w:r>
          </w:p>
        </w:tc>
        <w:tc>
          <w:tcPr>
            <w:tcW w:w="1569"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Journal of Infrastructure, Policy and Development</w:t>
            </w:r>
          </w:p>
        </w:tc>
        <w:tc>
          <w:tcPr>
            <w:tcW w:w="181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 xml:space="preserve">Life Cycle Assessment (LCA), ESG (Environmental, Social, Governance) </w:t>
            </w:r>
          </w:p>
        </w:tc>
        <w:tc>
          <w:tcPr>
            <w:tcW w:w="274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Stakeholder Engagement, Access to Funding, Management Commitment, Efficient Technology Adoption, Innovation, Effective monitoring system</w:t>
            </w:r>
          </w:p>
        </w:tc>
        <w:tc>
          <w:tcPr>
            <w:tcW w:w="1306" w:type="dxa"/>
            <w:shd w:val="clear" w:color="000000" w:fill="FFFFFF"/>
            <w:hideMark/>
          </w:tcPr>
          <w:p w:rsidR="00844432" w:rsidRPr="00844432" w:rsidRDefault="00844432" w:rsidP="00844432">
            <w:pPr>
              <w:spacing w:after="0" w:line="240" w:lineRule="auto"/>
              <w:jc w:val="center"/>
              <w:rPr>
                <w:rFonts w:ascii="Arial" w:hAnsi="Arial" w:cs="Arial"/>
                <w:sz w:val="20"/>
                <w:szCs w:val="20"/>
              </w:rPr>
            </w:pPr>
            <w:r w:rsidRPr="00844432">
              <w:rPr>
                <w:rFonts w:ascii="Arial" w:hAnsi="Arial" w:cs="Arial"/>
                <w:sz w:val="20"/>
                <w:szCs w:val="20"/>
              </w:rPr>
              <w:fldChar w:fldCharType="begin" w:fldLock="1"/>
            </w:r>
            <w:r w:rsidRPr="00844432">
              <w:rPr>
                <w:rFonts w:ascii="Arial" w:hAnsi="Arial" w:cs="Arial"/>
                <w:sz w:val="20"/>
                <w:szCs w:val="20"/>
              </w:rPr>
              <w:instrText>ADDIN CSL_CITATION {"citationItems":[{"id":"ITEM-1","itemData":{"DOI":"https://doi.org/10.24294/jipd.v8i12.8934","ISSN":"25727931","abstract":"The significant climate change the planet has faced in recent decades has prompted global leaders, policymakers, business leaders, environmentalists, academics, and scientists from around the world to unite their efforts since 1987 around sustainable development. This development not only promotes economic sustainability but also environmental, social, and corporate sustainability, where clean production, responsible consumption, and sustainable infrastructures prevail. In this context, the present article aims to propose a development framework for sustainability in food sector SMEs, which includes Life Cycle Assessment (LCA) and the integration of Environmental, Social, and Governance (ESG) strategies as key elements to reduce CO2 emissions and improve operational efficiency. The methodology includes a comparative analysis of strategies implemented between 2019 and 2023, supported by quantitative data showing a 20% reduction in operating costs, a 10% increase in market share, and a 25% increase in productivity for companies that adopted clean technologies. This study offers a significant contribution to the field of corporate sustainability, providing a model that is adaptable and applicable across different regions, enhancing innovation and business resilience in a global context that requires collective efforts to achieve the sustainable development goals.","author":[{"dropping-particle":"","family":"Pinedo-López","given":"Jhon","non-dropping-particle":"","parse-names":false,"suffix":""},{"dropping-particle":"","family":"Baena-Navarro","given":"Rubén","non-dropping-particle":"","parse-names":false,"suffix":""},{"dropping-particle":"","family":"Carriazo-Regino","given":"Yulieth","non-dropping-particle":"","parse-names":false,"suffix":""},{"dropping-particle":"","family":"Urrea-Ortiz","given":"Adriana","non-dropping-particle":"","parse-names":false,"suffix":""},{"dropping-particle":"","family":"Reyes-Guevara","given":"Diana","non-dropping-particle":"","parse-names":false,"suffix":""}],"container-title":"Journal of Infrastructure, Policy and Development","id":"ITEM-1","issue":"12","issued":{"date-parts":[["2024"]]},"page":"1-30","title":"Sustainability strategies: A proposal for food sector SMEs, based on the integration of life cycle assessment and ESG strategies","type":"article-journal","volume":"8"},"uris":["http://www.mendeley.com/documents/?uuid=30884c61-e18e-4c01-9993-bfd213a38150"]}],"mendeley":{"formattedCitation":"[3]","plainTextFormattedCitation":"[3]","previouslyFormattedCitation":"[3]"},"properties":{"noteIndex":0},"schema":"https://github.com/citation-style-language/schema/raw/master/csl-citation.json"}</w:instrText>
            </w:r>
            <w:r w:rsidRPr="00844432">
              <w:rPr>
                <w:rFonts w:ascii="Arial" w:hAnsi="Arial" w:cs="Arial"/>
                <w:sz w:val="20"/>
                <w:szCs w:val="20"/>
              </w:rPr>
              <w:fldChar w:fldCharType="separate"/>
            </w:r>
            <w:r w:rsidRPr="00844432">
              <w:rPr>
                <w:rFonts w:ascii="Arial" w:hAnsi="Arial" w:cs="Arial"/>
                <w:noProof/>
                <w:sz w:val="20"/>
                <w:szCs w:val="20"/>
              </w:rPr>
              <w:t>[3]</w:t>
            </w:r>
            <w:r w:rsidRPr="00844432">
              <w:rPr>
                <w:rFonts w:ascii="Arial" w:hAnsi="Arial" w:cs="Arial"/>
                <w:sz w:val="20"/>
                <w:szCs w:val="20"/>
              </w:rPr>
              <w:fldChar w:fldCharType="end"/>
            </w:r>
          </w:p>
        </w:tc>
      </w:tr>
      <w:tr w:rsidR="00844432" w:rsidRPr="00844432" w:rsidTr="00B0441B">
        <w:trPr>
          <w:trHeight w:val="1500"/>
        </w:trPr>
        <w:tc>
          <w:tcPr>
            <w:tcW w:w="1660"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Non spesific</w:t>
            </w:r>
          </w:p>
        </w:tc>
        <w:tc>
          <w:tcPr>
            <w:tcW w:w="1569"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Sustainability</w:t>
            </w:r>
          </w:p>
        </w:tc>
        <w:tc>
          <w:tcPr>
            <w:tcW w:w="181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Qualitative methods</w:t>
            </w:r>
          </w:p>
        </w:tc>
        <w:tc>
          <w:tcPr>
            <w:tcW w:w="2743" w:type="dxa"/>
            <w:shd w:val="clear" w:color="000000" w:fill="FFFFFF"/>
            <w:vAlign w:val="center"/>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Management Commitment, Internal Competency Training and Development, Use of Data and Analytics from social media to understand market trends.</w:t>
            </w:r>
          </w:p>
        </w:tc>
        <w:tc>
          <w:tcPr>
            <w:tcW w:w="1306" w:type="dxa"/>
            <w:shd w:val="clear" w:color="000000" w:fill="FFFFFF"/>
            <w:vAlign w:val="center"/>
            <w:hideMark/>
          </w:tcPr>
          <w:p w:rsidR="00844432" w:rsidRPr="00844432" w:rsidRDefault="00844432" w:rsidP="00844432">
            <w:pPr>
              <w:spacing w:after="0" w:line="240" w:lineRule="auto"/>
              <w:jc w:val="center"/>
              <w:rPr>
                <w:rFonts w:ascii="Arial" w:hAnsi="Arial" w:cs="Arial"/>
                <w:sz w:val="20"/>
                <w:szCs w:val="20"/>
              </w:rPr>
            </w:pPr>
            <w:r w:rsidRPr="00844432">
              <w:rPr>
                <w:rFonts w:ascii="Arial" w:hAnsi="Arial" w:cs="Arial"/>
                <w:sz w:val="20"/>
                <w:szCs w:val="20"/>
              </w:rPr>
              <w:fldChar w:fldCharType="begin" w:fldLock="1"/>
            </w:r>
            <w:r w:rsidRPr="00844432">
              <w:rPr>
                <w:rFonts w:ascii="Arial" w:hAnsi="Arial" w:cs="Arial"/>
                <w:sz w:val="20"/>
                <w:szCs w:val="20"/>
              </w:rPr>
              <w:instrText>ADDIN CSL_CITATION {"citationItems":[{"id":"ITEM-1","itemData":{"DOI":"https://doi.org/10.3390/su141912505","ISSN":"20711050","abstract":"In the extremely competitive business environment typical of the 20th century, small and medium-sized enterprises have had to face countless challenges. As time progressed, digitization and the development of information and communication technology has had increasing impacts on the lives of both individuals and businesses. Now, from an organizational point of view, social media has become a corporate strategic tool the significant role of which is indisputable. The relevance of our study can be found in the fact that social media is now one of the most popular solutions if the goal of a business is to reach a specific target audience, to receive feedback about products/services, and to initiate the immediate communication that contributes to the loyalty of consumers and customers in the long term, as well as to take advantage of cost-effective advertising opportunities. The primary goal of our research is to provide the reader with a comprehensive picture of the thinking in the SME sector regarding the corporate application of social media. In our study, following a comprehensive literature review related to the topic, we use primary data collection to examine small and medium-sized enterprises operating in Hungary and Slovakia. The reason for choosing the subjects of the research is that, taking into account the territorial size of the regions under investigation, similar districts were selected, and the regions have similar numbers of businesses engaged in economic activity. The investigation process covers two regions in the two selected countries, examining a total of 1114 enterprises. Before starting our research, two hypotheses were defined. In order to test the correctness of the hypotheses, we performed statistical analyses using the SPSS program, specifically the Mantel–Haenszel test and the chi-square test. Considering the results, the hypotheses formulated by the authors proved to be correct in the case of both countries. As a result, it can be stated that the success of traditional marketing tools used before the online space greatly influences the extent to which businesses feel their presence in social media is important.","author":[{"dropping-particle":"","family":"Korcsmáros","given":"Enikő","non-dropping-particle":"","parse-names":false,"suffix":""},{"dropping-particle":"","family":"Csinger","given":"Bence","non-dropping-particle":"","parse-names":false,"suffix":""}],"container-title":"Sustainability (Switzerland)","id":"ITEM-1","issue":"19","issued":{"date-parts":[["2022"]]},"page":"1-18","title":"Sustainable Competitiveness in the Case of SMEs—Opportunities Provided by Social Media in an International Comparison","type":"article-journal","volume":"14"},"uris":["http://www.mendeley.com/documents/?uuid=21bbe036-b1e7-44e5-9211-ec5ffd7659db"]}],"mendeley":{"formattedCitation":"[5]","plainTextFormattedCitation":"[5]","previouslyFormattedCitation":"[5]"},"properties":{"noteIndex":0},"schema":"https://github.com/citation-style-language/schema/raw/master/csl-citation.json"}</w:instrText>
            </w:r>
            <w:r w:rsidRPr="00844432">
              <w:rPr>
                <w:rFonts w:ascii="Arial" w:hAnsi="Arial" w:cs="Arial"/>
                <w:sz w:val="20"/>
                <w:szCs w:val="20"/>
              </w:rPr>
              <w:fldChar w:fldCharType="separate"/>
            </w:r>
            <w:r w:rsidRPr="00844432">
              <w:rPr>
                <w:rFonts w:ascii="Arial" w:hAnsi="Arial" w:cs="Arial"/>
                <w:noProof/>
                <w:sz w:val="20"/>
                <w:szCs w:val="20"/>
              </w:rPr>
              <w:t>[5]</w:t>
            </w:r>
            <w:r w:rsidRPr="00844432">
              <w:rPr>
                <w:rFonts w:ascii="Arial" w:hAnsi="Arial" w:cs="Arial"/>
                <w:sz w:val="20"/>
                <w:szCs w:val="20"/>
              </w:rPr>
              <w:fldChar w:fldCharType="end"/>
            </w:r>
          </w:p>
        </w:tc>
      </w:tr>
      <w:tr w:rsidR="00844432" w:rsidRPr="00844432" w:rsidTr="00B0441B">
        <w:trPr>
          <w:trHeight w:val="1200"/>
        </w:trPr>
        <w:tc>
          <w:tcPr>
            <w:tcW w:w="1660"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food, health and beauty</w:t>
            </w:r>
          </w:p>
        </w:tc>
        <w:tc>
          <w:tcPr>
            <w:tcW w:w="1569" w:type="dxa"/>
            <w:shd w:val="clear" w:color="auto" w:fill="auto"/>
            <w:vAlign w:val="center"/>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 </w:t>
            </w:r>
          </w:p>
        </w:tc>
        <w:tc>
          <w:tcPr>
            <w:tcW w:w="181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Qualitative methods</w:t>
            </w:r>
          </w:p>
        </w:tc>
        <w:tc>
          <w:tcPr>
            <w:tcW w:w="2743" w:type="dxa"/>
            <w:shd w:val="clear" w:color="000000" w:fill="FFFFFF"/>
            <w:vAlign w:val="center"/>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Characteristics of Technology Providers, Collaboration Between Stakeholders, Appropriate Technology</w:t>
            </w:r>
          </w:p>
        </w:tc>
        <w:tc>
          <w:tcPr>
            <w:tcW w:w="1306" w:type="dxa"/>
            <w:shd w:val="clear" w:color="000000" w:fill="FFFFFF"/>
            <w:hideMark/>
          </w:tcPr>
          <w:p w:rsidR="00844432" w:rsidRPr="00844432" w:rsidRDefault="00844432" w:rsidP="00844432">
            <w:pPr>
              <w:spacing w:after="0" w:line="240" w:lineRule="auto"/>
              <w:jc w:val="center"/>
              <w:rPr>
                <w:rFonts w:ascii="Arial" w:hAnsi="Arial" w:cs="Arial"/>
                <w:sz w:val="20"/>
                <w:szCs w:val="20"/>
              </w:rPr>
            </w:pPr>
            <w:r w:rsidRPr="00844432">
              <w:rPr>
                <w:rFonts w:ascii="Arial" w:hAnsi="Arial" w:cs="Arial"/>
                <w:sz w:val="20"/>
                <w:szCs w:val="20"/>
              </w:rPr>
              <w:fldChar w:fldCharType="begin" w:fldLock="1"/>
            </w:r>
            <w:r w:rsidR="008516C5">
              <w:rPr>
                <w:rFonts w:ascii="Arial" w:hAnsi="Arial" w:cs="Arial"/>
                <w:sz w:val="20"/>
                <w:szCs w:val="20"/>
              </w:rPr>
              <w:instrText>ADDIN CSL_CITATION {"citationItems":[{"id":"ITEM-1","itemData":{"DOI":"DOI: https://doi.org/10.34190/ecmlg.18.1.906","ISBN":"9781914587573","ISSN":"2048903X","abstract":"Thailand is implementing the Thailand 4.0 policy that aims to bring technology and innovation to build sustainable competitiveness for the private sector. However, in the context of SMEs, the ability to transfer technology from universities is still a limitation. The objective of this research is to identify the technology assistance needs of SMEs, as well as, to study the key factors that make the technology transfer successful in the context of collaboration between universities, government agencies and SMEs. The sample group of this research is 226 SME entrepreneurs participating in the Boost up New Entrepreneurs with Technology and Innovation Program carried out by The Office of SMEs Promotion and Thammasat University between 2019-2020. The research results indicated that to create sustainable competitiveness, SMEs need technology assistance in 4 areas: (1) enhancing digital marketing capabilities, (2) developing product innovations, (3) raising product standards, and (4) improving production efficiency. In addition, this research also indicated that the technology transfer success factors for SMEs has 3 key elements: (1) a technology transferor who stands out for collaboration between researchers and business consultants, (2)atechnology transferee who has key characteristics of entrepreneur orientation and absorptive capacity of SMEs, and (3)the technology characteristics which can be connected to the original business processes of the organization which is a technology that gives SMEs' products uniqueness that is difficult for competitors in the market to copy.","author":[{"dropping-particle":"","family":"Khongmalai","given":"Orapan","non-dropping-particle":"","parse-names":false,"suffix":""},{"dropping-particle":"","family":"Distanont","given":"Anyanitha","non-dropping-particle":"","parse-names":false,"suffix":""}],"container-title":"Proceedings of the European Conference on Management, Leadership and Governance","id":"ITEM-1","issued":{"date-parts":[["2022"]]},"page":"222-228","title":"Technology Transfer Model to Enhance Sustainable Competitiveness of SMEs","type":"article-journal","volume":"2022-Novem"},"uris":["http://www.mendeley.com/documents/?uuid=98401e0f-17d4-4eb2-ab8c-8ca5bde66391"]}],"mendeley":{"formattedCitation":"[30]","plainTextFormattedCitation":"[30]","previouslyFormattedCitation":"[30]"},"properties":{"noteIndex":0},"schema":"https://github.com/citation-style-language/schema/raw/master/csl-citation.json"}</w:instrText>
            </w:r>
            <w:r w:rsidRPr="00844432">
              <w:rPr>
                <w:rFonts w:ascii="Arial" w:hAnsi="Arial" w:cs="Arial"/>
                <w:sz w:val="20"/>
                <w:szCs w:val="20"/>
              </w:rPr>
              <w:fldChar w:fldCharType="separate"/>
            </w:r>
            <w:r w:rsidRPr="00844432">
              <w:rPr>
                <w:rFonts w:ascii="Arial" w:hAnsi="Arial" w:cs="Arial"/>
                <w:noProof/>
                <w:sz w:val="20"/>
                <w:szCs w:val="20"/>
              </w:rPr>
              <w:t>[30]</w:t>
            </w:r>
            <w:r w:rsidRPr="00844432">
              <w:rPr>
                <w:rFonts w:ascii="Arial" w:hAnsi="Arial" w:cs="Arial"/>
                <w:sz w:val="20"/>
                <w:szCs w:val="20"/>
              </w:rPr>
              <w:fldChar w:fldCharType="end"/>
            </w:r>
          </w:p>
        </w:tc>
      </w:tr>
      <w:tr w:rsidR="00844432" w:rsidRPr="00844432" w:rsidTr="00B0441B">
        <w:trPr>
          <w:trHeight w:val="1500"/>
        </w:trPr>
        <w:tc>
          <w:tcPr>
            <w:tcW w:w="1660"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handicrafts and creative industries</w:t>
            </w:r>
          </w:p>
        </w:tc>
        <w:tc>
          <w:tcPr>
            <w:tcW w:w="1569"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International Journal of Sustainable Development and Planning</w:t>
            </w:r>
          </w:p>
        </w:tc>
        <w:tc>
          <w:tcPr>
            <w:tcW w:w="181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PLS-SEM (Partial Least Squares Structural Equation Modeling)</w:t>
            </w:r>
          </w:p>
        </w:tc>
        <w:tc>
          <w:tcPr>
            <w:tcW w:w="2743" w:type="dxa"/>
            <w:shd w:val="clear" w:color="000000" w:fill="FFFFFF"/>
            <w:vAlign w:val="center"/>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Collaboration with Business Partners, Utilization of Appropriate Technology, Innovation Capabilities, Human Resource Competence, Utilization of Digital Data.</w:t>
            </w:r>
          </w:p>
        </w:tc>
        <w:tc>
          <w:tcPr>
            <w:tcW w:w="1306" w:type="dxa"/>
            <w:shd w:val="clear" w:color="000000" w:fill="FFFFFF"/>
            <w:hideMark/>
          </w:tcPr>
          <w:p w:rsidR="00844432" w:rsidRPr="00844432" w:rsidRDefault="00844432" w:rsidP="00844432">
            <w:pPr>
              <w:spacing w:after="0" w:line="240" w:lineRule="auto"/>
              <w:jc w:val="center"/>
              <w:rPr>
                <w:rFonts w:ascii="Arial" w:hAnsi="Arial" w:cs="Arial"/>
                <w:sz w:val="20"/>
                <w:szCs w:val="20"/>
              </w:rPr>
            </w:pPr>
            <w:r w:rsidRPr="00844432">
              <w:rPr>
                <w:rFonts w:ascii="Arial" w:hAnsi="Arial" w:cs="Arial"/>
                <w:sz w:val="20"/>
                <w:szCs w:val="20"/>
              </w:rPr>
              <w:fldChar w:fldCharType="begin" w:fldLock="1"/>
            </w:r>
            <w:r w:rsidRPr="00844432">
              <w:rPr>
                <w:rFonts w:ascii="Arial" w:hAnsi="Arial" w:cs="Arial"/>
                <w:sz w:val="20"/>
                <w:szCs w:val="20"/>
              </w:rPr>
              <w:instrText>ADDIN CSL_CITATION {"citationItems":[{"id":"ITEM-1","itemData":{"DOI":"https://doi.org/10.18280/ijsdp.170408","ISSN":"1743761X","abstract":"Business today has been globalized. This has made business even more competitive. Companies, regardless of their size, have to improve their competitiveness. Sustainable competitiveness is the core need for innovation. This study aims at exploring the correlation between IT-based innovation or technopreneurship and business competitiveness. This was a quantitative study with survey method. The respondents in this study were small business owners in handicraft and creative content production in Gorontalo city. The data were collected by online form and after three month collecting data, data were collected were 163 respondents. Product, process and organizational innovation and business competitiveness instruments use instruments from previous research. All instruments use a Likert scale with points 1 to 5 which indicate a scale of disagreement to agreement from the respondents. The data were analyzed using PLS-SEM. The Results show that information technology-based product innovation, IT based process innovation, and IT organizational innovation significantly and positively influence the growth of business competitiveness. Product innovation of business owners in Gorontalo city, Indonesia is actively producing new products. Also, innovation is not only limited to product innovation but also production process innovation, which uses information technology. Utilization of technopreneurship is significantly able to increase business competitiveness, especially for small businesses in Gorontalo city. Utilization of innovation in information technology assumed to strongly develop business competitiveness. The business competitiveness of small businesses in the high-tech field is influenced by products, processes and organizational innovation. SMEs must be able to create products, or product segments, and services that exceed the performance limitations of traditional products by utilizing everything possible through digital models","author":[{"dropping-particle":"","family":"Machmud","given":"Rizan","non-dropping-particle":"","parse-names":false,"suffix":""},{"dropping-particle":"","family":"Wuryaningrat","given":"Nikolas F.","non-dropping-particle":"","parse-names":false,"suffix":""},{"dropping-particle":"","family":"Mutiarasari","given":"Diah","non-dropping-particle":"","parse-names":false,"suffix":""}],"container-title":"International Journal of Sustainable Development and Planning","id":"ITEM-1","issue":"4","issued":{"date-parts":[["2022"]]},"page":"1117-1122","title":"Technopreneurship-Based Competitiveness and Innovation at Small Business in Gorontalo City","type":"article-journal","volume":"17"},"uris":["http://www.mendeley.com/documents/?uuid=7953932c-869d-457c-9dec-83df5ab570d3"]}],"mendeley":{"formattedCitation":"[31]","plainTextFormattedCitation":"[31]","previouslyFormattedCitation":"[31]"},"properties":{"noteIndex":0},"schema":"https://github.com/citation-style-language/schema/raw/master/csl-citation.json"}</w:instrText>
            </w:r>
            <w:r w:rsidRPr="00844432">
              <w:rPr>
                <w:rFonts w:ascii="Arial" w:hAnsi="Arial" w:cs="Arial"/>
                <w:sz w:val="20"/>
                <w:szCs w:val="20"/>
              </w:rPr>
              <w:fldChar w:fldCharType="separate"/>
            </w:r>
            <w:r w:rsidRPr="00844432">
              <w:rPr>
                <w:rFonts w:ascii="Arial" w:hAnsi="Arial" w:cs="Arial"/>
                <w:noProof/>
                <w:sz w:val="20"/>
                <w:szCs w:val="20"/>
              </w:rPr>
              <w:t>[31]</w:t>
            </w:r>
            <w:r w:rsidRPr="00844432">
              <w:rPr>
                <w:rFonts w:ascii="Arial" w:hAnsi="Arial" w:cs="Arial"/>
                <w:sz w:val="20"/>
                <w:szCs w:val="20"/>
              </w:rPr>
              <w:fldChar w:fldCharType="end"/>
            </w:r>
          </w:p>
        </w:tc>
      </w:tr>
      <w:tr w:rsidR="00844432" w:rsidRPr="00844432" w:rsidTr="00B0441B">
        <w:trPr>
          <w:trHeight w:val="990"/>
        </w:trPr>
        <w:tc>
          <w:tcPr>
            <w:tcW w:w="1660"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logistics</w:t>
            </w:r>
          </w:p>
        </w:tc>
        <w:tc>
          <w:tcPr>
            <w:tcW w:w="1569"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Journal of Infrastructure, Policy and Development</w:t>
            </w:r>
          </w:p>
        </w:tc>
        <w:tc>
          <w:tcPr>
            <w:tcW w:w="181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Regression analysis, Testing of relationships</w:t>
            </w:r>
          </w:p>
        </w:tc>
        <w:tc>
          <w:tcPr>
            <w:tcW w:w="274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Close Collaboration, Trust as a Foundation, Development of Shared Culture and Values, Focus on Creating Shared Value</w:t>
            </w:r>
          </w:p>
        </w:tc>
        <w:tc>
          <w:tcPr>
            <w:tcW w:w="1306" w:type="dxa"/>
            <w:shd w:val="clear" w:color="000000" w:fill="FFFFFF"/>
            <w:hideMark/>
          </w:tcPr>
          <w:p w:rsidR="00844432" w:rsidRPr="00844432" w:rsidRDefault="00844432" w:rsidP="00844432">
            <w:pPr>
              <w:spacing w:after="0" w:line="240" w:lineRule="auto"/>
              <w:jc w:val="center"/>
              <w:rPr>
                <w:rFonts w:ascii="Arial" w:hAnsi="Arial" w:cs="Arial"/>
                <w:sz w:val="20"/>
                <w:szCs w:val="20"/>
              </w:rPr>
            </w:pPr>
            <w:r w:rsidRPr="00844432">
              <w:rPr>
                <w:rFonts w:ascii="Arial" w:hAnsi="Arial" w:cs="Arial"/>
                <w:sz w:val="20"/>
                <w:szCs w:val="20"/>
              </w:rPr>
              <w:fldChar w:fldCharType="begin" w:fldLock="1"/>
            </w:r>
            <w:r w:rsidR="008516C5">
              <w:rPr>
                <w:rFonts w:ascii="Arial" w:hAnsi="Arial" w:cs="Arial"/>
                <w:sz w:val="20"/>
                <w:szCs w:val="20"/>
              </w:rPr>
              <w:instrText>ADDIN CSL_CITATION {"citationItems":[{"id":"ITEM-1","itemData":{"DOI":"https://doi.org/10.24294/jipd.v8i11.8209","ISSN":"2572-7931","abstract":"In response to the increasing global emphasis on sustainability and the specific challenges faced by small and medium-sized enterprises (SMEs) in China, this study explores the integration of green reverse logistics within these enterprises to enhance their sustainability and competitiveness. The aim of this study is to understand the relationship between reverse logistics, green logistics, and sustainable development. Data analysis was conducted utilizing a combination of descriptive statistics and correlation analysis. A survey of 311 participants examined SMEs’ performance in reverse logistics practices and their initiatives in green logistics and sustainable development. The empirical findings reveal significant progress in reverse logistics practices among SMEs, reducing environmental impact and improving resource efficiency. Moreover, a notable positive correlation was identified between reverse logistics promotion and advancements in green logistics and sustainable development. SMEs’ investment in reverse logistics is closely linked to their efforts in environmentally conscious and sustainable supply chain management. These insights benefit SMEs and supply chain practitioners and offer a valuable reference for future research and practical applications in this field.","author":[{"dropping-particle":"","family":"Chen","given":"Yunlin","non-dropping-particle":"","parse-names":false,"suffix":""}],"container-title":"Journal of Infrastructure, Policy and Development","id":"ITEM-1","issue":"11","issued":{"date-parts":[["2024","10","11"]]},"page":"8209","title":"The sustainable development of small and midsize enterprises in China on green reverse logistics","type":"article-journal","volume":"8"},"uris":["http://www.mendeley.com/documents/?uuid=4f713186-9a6c-4520-8e12-a9c09bcdf014"]}],"mendeley":{"formattedCitation":"[32]","plainTextFormattedCitation":"[32]","previouslyFormattedCitation":"[32]"},"properties":{"noteIndex":0},"schema":"https://github.com/citation-style-language/schema/raw/master/csl-citation.json"}</w:instrText>
            </w:r>
            <w:r w:rsidRPr="00844432">
              <w:rPr>
                <w:rFonts w:ascii="Arial" w:hAnsi="Arial" w:cs="Arial"/>
                <w:sz w:val="20"/>
                <w:szCs w:val="20"/>
              </w:rPr>
              <w:fldChar w:fldCharType="separate"/>
            </w:r>
            <w:r w:rsidRPr="00844432">
              <w:rPr>
                <w:rFonts w:ascii="Arial" w:hAnsi="Arial" w:cs="Arial"/>
                <w:noProof/>
                <w:sz w:val="20"/>
                <w:szCs w:val="20"/>
              </w:rPr>
              <w:t>[32]</w:t>
            </w:r>
            <w:r w:rsidRPr="00844432">
              <w:rPr>
                <w:rFonts w:ascii="Arial" w:hAnsi="Arial" w:cs="Arial"/>
                <w:sz w:val="20"/>
                <w:szCs w:val="20"/>
              </w:rPr>
              <w:fldChar w:fldCharType="end"/>
            </w:r>
          </w:p>
        </w:tc>
      </w:tr>
      <w:tr w:rsidR="00844432" w:rsidRPr="00844432" w:rsidTr="00B0441B">
        <w:trPr>
          <w:trHeight w:val="1500"/>
        </w:trPr>
        <w:tc>
          <w:tcPr>
            <w:tcW w:w="1660"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Textile</w:t>
            </w:r>
          </w:p>
        </w:tc>
        <w:tc>
          <w:tcPr>
            <w:tcW w:w="1569"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Journal of Human, Earth, and Future</w:t>
            </w:r>
          </w:p>
        </w:tc>
        <w:tc>
          <w:tcPr>
            <w:tcW w:w="181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Qualitative Approach, Business Model Canvas</w:t>
            </w:r>
          </w:p>
        </w:tc>
        <w:tc>
          <w:tcPr>
            <w:tcW w:w="274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Collaboration with Stakeholders, environmentally friendly products, Management Commitment, Ability to continuously innovate in design,Use of Appropriate Technology</w:t>
            </w:r>
          </w:p>
        </w:tc>
        <w:tc>
          <w:tcPr>
            <w:tcW w:w="1306" w:type="dxa"/>
            <w:shd w:val="clear" w:color="000000" w:fill="FFFFFF"/>
            <w:hideMark/>
          </w:tcPr>
          <w:p w:rsidR="00844432" w:rsidRPr="00844432" w:rsidRDefault="00844432" w:rsidP="00844432">
            <w:pPr>
              <w:spacing w:after="0" w:line="240" w:lineRule="auto"/>
              <w:jc w:val="center"/>
              <w:rPr>
                <w:rFonts w:ascii="Arial" w:hAnsi="Arial" w:cs="Arial"/>
                <w:sz w:val="20"/>
                <w:szCs w:val="20"/>
              </w:rPr>
            </w:pPr>
            <w:r w:rsidRPr="00844432">
              <w:rPr>
                <w:rFonts w:ascii="Arial" w:hAnsi="Arial" w:cs="Arial"/>
                <w:sz w:val="20"/>
                <w:szCs w:val="20"/>
              </w:rPr>
              <w:fldChar w:fldCharType="begin" w:fldLock="1"/>
            </w:r>
            <w:r w:rsidR="008516C5">
              <w:rPr>
                <w:rFonts w:ascii="Arial" w:hAnsi="Arial" w:cs="Arial"/>
                <w:sz w:val="20"/>
                <w:szCs w:val="20"/>
              </w:rPr>
              <w:instrText>ADDIN CSL_CITATION {"citationItems":[{"id":"ITEM-1","itemData":{"DOI":"http://dx.doi.org/10. 28991/HEF-2023-04-04-03","ISSN":"27852997","abstract":"This qualitative study aims to investigate the Triple Layered Business Model Canvas (TLBMC) strategy to drive environmental progress within the Indonesian fashion industry. Employing the descriptive phenomenological method, the research focuses on applying the TLBMC model to enhance the environmental sustainability of Micro, Small, and Medium Enterprises (MSMEs) in Yan An. The Yan An case study serves as a practical illustration, demonstrating the successful implementation of the TLBMC model and offering valuable insights into sustainable solutions for challenges faced by the Indonesian fashion industry. In contributing to the existing literature, this study introduces and applies the TLBMC strategy as an innovative approach to address environmental and competitiveness challenges within the Indonesian fashion industry. The research emphasizes the urgent need for a cost-effective and environmentally friendly business strategy, considering the industry’s substantial contribution to environmental issues, accounting for 20% of global wastewater production. The changing consumer perceptions, where fashion is seen as a symbol of social status, have fueled rapid industry growth and intensified challenges for local fashion products, especially those from small and medium-sized enterprises (SMEs). The study underscores the critical importance of embracing sustainable business practices in the dynamic landscape of the Indonesian fashion industry.","author":[{"dropping-particle":"","family":"Hurriyati","given":"Ratih","non-dropping-particle":"","parse-names":false,"suffix":""},{"dropping-particle":"","family":"Dagustani","given":"Dani","non-dropping-particle":"","parse-names":false,"suffix":""},{"dropping-particle":"","family":"Surachim","given":"Ahim","non-dropping-particle":"","parse-names":false,"suffix":""},{"dropping-particle":"","family":"Sulastri","given":"S.","non-dropping-particle":"","parse-names":false,"suffix":""},{"dropping-particle":"","family":"Lisnawati","given":"L.","non-dropping-particle":"","parse-names":false,"suffix":""}],"container-title":"Journal of Human, Earth, and Future","id":"ITEM-1","issue":"4","issued":{"date-parts":[["2023"]]},"page":"411-423","title":"Triple-Layered Business Model Canvas Environment Based in the Fashion Industry","type":"article-journal","volume":"4"},"uris":["http://www.mendeley.com/documents/?uuid=aaf14e7b-8381-4c97-a5a5-abc0866d6728"]}],"mendeley":{"formattedCitation":"[33]","plainTextFormattedCitation":"[33]","previouslyFormattedCitation":"[33]"},"properties":{"noteIndex":0},"schema":"https://github.com/citation-style-language/schema/raw/master/csl-citation.json"}</w:instrText>
            </w:r>
            <w:r w:rsidRPr="00844432">
              <w:rPr>
                <w:rFonts w:ascii="Arial" w:hAnsi="Arial" w:cs="Arial"/>
                <w:sz w:val="20"/>
                <w:szCs w:val="20"/>
              </w:rPr>
              <w:fldChar w:fldCharType="separate"/>
            </w:r>
            <w:r w:rsidRPr="00844432">
              <w:rPr>
                <w:rFonts w:ascii="Arial" w:hAnsi="Arial" w:cs="Arial"/>
                <w:noProof/>
                <w:sz w:val="20"/>
                <w:szCs w:val="20"/>
              </w:rPr>
              <w:t>[33]</w:t>
            </w:r>
            <w:r w:rsidRPr="00844432">
              <w:rPr>
                <w:rFonts w:ascii="Arial" w:hAnsi="Arial" w:cs="Arial"/>
                <w:sz w:val="20"/>
                <w:szCs w:val="20"/>
              </w:rPr>
              <w:fldChar w:fldCharType="end"/>
            </w:r>
          </w:p>
        </w:tc>
      </w:tr>
      <w:tr w:rsidR="00844432" w:rsidRPr="00844432" w:rsidTr="00B0441B">
        <w:trPr>
          <w:trHeight w:val="900"/>
        </w:trPr>
        <w:tc>
          <w:tcPr>
            <w:tcW w:w="1660"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Non spesific</w:t>
            </w:r>
          </w:p>
        </w:tc>
        <w:tc>
          <w:tcPr>
            <w:tcW w:w="1569"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Journal of the Knowledge Economy</w:t>
            </w:r>
          </w:p>
        </w:tc>
        <w:tc>
          <w:tcPr>
            <w:tcW w:w="181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 xml:space="preserve">Descriptive statistical analysis, Principal Component Analysis (PCA), </w:t>
            </w:r>
          </w:p>
        </w:tc>
        <w:tc>
          <w:tcPr>
            <w:tcW w:w="2743" w:type="dxa"/>
            <w:shd w:val="clear" w:color="000000" w:fill="FFFFFF"/>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Knowledge, Intellectual capital utilization, Collaboration, Culture, innovation</w:t>
            </w:r>
          </w:p>
        </w:tc>
        <w:tc>
          <w:tcPr>
            <w:tcW w:w="1306" w:type="dxa"/>
            <w:shd w:val="clear" w:color="000000" w:fill="FFFFFF"/>
            <w:hideMark/>
          </w:tcPr>
          <w:p w:rsidR="00844432" w:rsidRPr="00844432" w:rsidRDefault="00844432" w:rsidP="00844432">
            <w:pPr>
              <w:spacing w:after="0" w:line="240" w:lineRule="auto"/>
              <w:jc w:val="center"/>
              <w:rPr>
                <w:rFonts w:ascii="Arial" w:hAnsi="Arial" w:cs="Arial"/>
                <w:sz w:val="20"/>
                <w:szCs w:val="20"/>
              </w:rPr>
            </w:pPr>
            <w:r w:rsidRPr="00844432">
              <w:rPr>
                <w:rFonts w:ascii="Arial" w:hAnsi="Arial" w:cs="Arial"/>
                <w:sz w:val="20"/>
                <w:szCs w:val="20"/>
              </w:rPr>
              <w:fldChar w:fldCharType="begin" w:fldLock="1"/>
            </w:r>
            <w:r w:rsidR="008516C5">
              <w:rPr>
                <w:rFonts w:ascii="Arial" w:hAnsi="Arial" w:cs="Arial"/>
                <w:sz w:val="20"/>
                <w:szCs w:val="20"/>
              </w:rPr>
              <w:instrText>ADDIN CSL_CITATION {"citationItems":[{"id":"ITEM-1","itemData":{"DOI":"https://doi.org/10.1007/s13132-022-01043-5","ISBN":"0123456789","ISSN":"18687873","abstract":"This paper aims to analyze the strategic effects of the association of small and medium-sized enterprises (SMEs) in knowledge networks (k-networks) on their information and knowledge management (IKM) and intellectual capital (IC). Taking as the object of study two innovative and successful Brazilian experiences, a descriptive survey with top-level executives (managing partners, presidents, and executive directors — henceforth CEOs) was held. Based on theories of management and economics, the findings revealed (i) that the network formation process (encompassing culture, context, incentives for information and knowledge sharing and especially strategy) is an important factor to explain IKM (for creating, systematizing and sharing data, information and knowledge) and IC in its three dimensions (human, relational and structural capital), promoting long-term sustainable growth (perceived by improvements in innovation, competitiveness and corporate results) for SMEs and their networks — a very relevant issue, but whose theoretical and managerial understanding is very incipient in international literature, especially in emerging economies.","author":[{"dropping-particle":"","family":"Jordão","given":"Ricardo Vinícius Dias","non-dropping-particle":"","parse-names":false,"suffix":""},{"dropping-particle":"","family":"Novas","given":"Jorge Casas","non-dropping-particle":"","parse-names":false,"suffix":""}],"container-title":"Journal of the Knowledge Economy","id":"ITEM-1","issue":"1","issued":{"date-parts":[["2024"]]},"page":"563-595","publisher":"Springer US","title":"Information and Knowledge Management, Intellectual Capital, and Sustainable Growth in Networked Small and Medium Enterprises","type":"article-journal","volume":"15"},"uris":["http://www.mendeley.com/documents/?uuid=b1040710-1b3c-4079-b801-300ef8fbf19c"]}],"mendeley":{"formattedCitation":"[34]","plainTextFormattedCitation":"[34]","previouslyFormattedCitation":"[34]"},"properties":{"noteIndex":0},"schema":"https://github.com/citation-style-language/schema/raw/master/csl-citation.json"}</w:instrText>
            </w:r>
            <w:r w:rsidRPr="00844432">
              <w:rPr>
                <w:rFonts w:ascii="Arial" w:hAnsi="Arial" w:cs="Arial"/>
                <w:sz w:val="20"/>
                <w:szCs w:val="20"/>
              </w:rPr>
              <w:fldChar w:fldCharType="separate"/>
            </w:r>
            <w:r w:rsidRPr="00844432">
              <w:rPr>
                <w:rFonts w:ascii="Arial" w:hAnsi="Arial" w:cs="Arial"/>
                <w:noProof/>
                <w:sz w:val="20"/>
                <w:szCs w:val="20"/>
              </w:rPr>
              <w:t>[34]</w:t>
            </w:r>
            <w:r w:rsidRPr="00844432">
              <w:rPr>
                <w:rFonts w:ascii="Arial" w:hAnsi="Arial" w:cs="Arial"/>
                <w:sz w:val="20"/>
                <w:szCs w:val="20"/>
              </w:rPr>
              <w:fldChar w:fldCharType="end"/>
            </w:r>
          </w:p>
        </w:tc>
      </w:tr>
      <w:tr w:rsidR="00844432" w:rsidRPr="00844432" w:rsidTr="00B0441B">
        <w:trPr>
          <w:trHeight w:val="600"/>
        </w:trPr>
        <w:tc>
          <w:tcPr>
            <w:tcW w:w="1660"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Fashion Industry</w:t>
            </w:r>
          </w:p>
        </w:tc>
        <w:tc>
          <w:tcPr>
            <w:tcW w:w="1569"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Review of Managerial Science</w:t>
            </w:r>
          </w:p>
        </w:tc>
        <w:tc>
          <w:tcPr>
            <w:tcW w:w="1813"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Qualitative approach</w:t>
            </w:r>
          </w:p>
        </w:tc>
        <w:tc>
          <w:tcPr>
            <w:tcW w:w="2743"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Partnership collaborations that contribute to SDGs</w:t>
            </w:r>
          </w:p>
        </w:tc>
        <w:tc>
          <w:tcPr>
            <w:tcW w:w="1306" w:type="dxa"/>
            <w:shd w:val="clear" w:color="auto" w:fill="auto"/>
            <w:hideMark/>
          </w:tcPr>
          <w:p w:rsidR="00844432" w:rsidRPr="00844432" w:rsidRDefault="00844432" w:rsidP="00844432">
            <w:pPr>
              <w:spacing w:after="0" w:line="240" w:lineRule="auto"/>
              <w:jc w:val="center"/>
              <w:rPr>
                <w:rFonts w:ascii="Arial" w:hAnsi="Arial" w:cs="Arial"/>
                <w:sz w:val="20"/>
                <w:szCs w:val="20"/>
              </w:rPr>
            </w:pPr>
            <w:r w:rsidRPr="00844432">
              <w:rPr>
                <w:rFonts w:ascii="Arial" w:hAnsi="Arial" w:cs="Arial"/>
                <w:sz w:val="20"/>
                <w:szCs w:val="20"/>
              </w:rPr>
              <w:fldChar w:fldCharType="begin" w:fldLock="1"/>
            </w:r>
            <w:r w:rsidR="008516C5">
              <w:rPr>
                <w:rFonts w:ascii="Arial" w:hAnsi="Arial" w:cs="Arial"/>
                <w:sz w:val="20"/>
                <w:szCs w:val="20"/>
              </w:rPr>
              <w:instrText>ADDIN CSL_CITATION {"citationItems":[{"id":"ITEM-1","itemData":{"DOI":"https://doi.org/10.1007/s11846-023-00656-7","ISBN":"0123456789","ISSN":"18636691","abstract":"The paper aims to investigate the characteristics of SMEs’ partners that can better contribute to the achievement of the SDGs. Given the explorative nature of this research, a qualitative methodology is adopted, with a longitudinal case study employed as the research method. The Wråd case study confirmed that SMEs can contribute to the achievement of the SDGs by developing partnerships with multiple stakeholders. In addition, this research revealed that the characteristics of the SMEs’ partners can be referred to the four following dimensions: economic, environmental, social and purpose. Furthermore, it proposed that quality utility value, technique level, profitability are the subdimensions of the economic dimension and that resource consumption efficiency, pollution production, energy efficiency, environment management system and environment equipment and facilities are the subdimensions of the environmental dimension. This research expressed also that public health, employee engagement, brand reputation and local communities’ influence are the subdimensions of the social dimension. Finally, it underlined that sustainability-oriented awareness development, sustainable orientation, sustainable collective culture, proactive managerial skills, organisational learning and proactive and innovative leadership are the subdimensions of the purpose dimension. In line with previous studies underlining the importance of increasing the TBL dimensions, this study suggests a further extension of this theory with the ‘purpose’ dimension. This study highlights the importance of developing a vision supported by a social awareness of the problems that need to be addressed and that transcend the fashion sector. Further researches could explore a larger sample of SMEs operating in different businesses and the point of view of the SME’s partners.","author":[{"dropping-particle":"","family":"Castellani","given":"Paola","non-dropping-particle":"","parse-names":false,"suffix":""},{"dropping-particle":"","family":"Rossato","given":"Chiara","non-dropping-particle":"","parse-names":false,"suffix":""},{"dropping-particle":"","family":"Giaretta","given":"Elena","non-dropping-particle":"","parse-names":false,"suffix":""},{"dropping-particle":"","family":"Vargas-Sánchez","given":"Alfonso","non-dropping-particle":"","parse-names":false,"suffix":""}],"container-title":"Review of Managerial Science","id":"ITEM-1","issue":"5","issued":{"date-parts":[["2024"]]},"page":"1317-1352","publisher":"Springer Berlin Heidelberg","title":"Partner selection strategies of SMEs for reaching the Sustainable Development Goals","type":"article-journal","volume":"18"},"uris":["http://www.mendeley.com/documents/?uuid=a7b7e54e-b54c-458c-b337-146199e35055"]}],"mendeley":{"formattedCitation":"[35]","plainTextFormattedCitation":"[35]","previouslyFormattedCitation":"[35]"},"properties":{"noteIndex":0},"schema":"https://github.com/citation-style-language/schema/raw/master/csl-citation.json"}</w:instrText>
            </w:r>
            <w:r w:rsidRPr="00844432">
              <w:rPr>
                <w:rFonts w:ascii="Arial" w:hAnsi="Arial" w:cs="Arial"/>
                <w:sz w:val="20"/>
                <w:szCs w:val="20"/>
              </w:rPr>
              <w:fldChar w:fldCharType="separate"/>
            </w:r>
            <w:r w:rsidRPr="00844432">
              <w:rPr>
                <w:rFonts w:ascii="Arial" w:hAnsi="Arial" w:cs="Arial"/>
                <w:noProof/>
                <w:sz w:val="20"/>
                <w:szCs w:val="20"/>
              </w:rPr>
              <w:t>[35]</w:t>
            </w:r>
            <w:r w:rsidRPr="00844432">
              <w:rPr>
                <w:rFonts w:ascii="Arial" w:hAnsi="Arial" w:cs="Arial"/>
                <w:sz w:val="20"/>
                <w:szCs w:val="20"/>
              </w:rPr>
              <w:fldChar w:fldCharType="end"/>
            </w:r>
          </w:p>
        </w:tc>
      </w:tr>
      <w:tr w:rsidR="00844432" w:rsidRPr="00844432" w:rsidTr="00B0441B">
        <w:trPr>
          <w:trHeight w:val="600"/>
        </w:trPr>
        <w:tc>
          <w:tcPr>
            <w:tcW w:w="1660"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Manufaktur</w:t>
            </w:r>
          </w:p>
        </w:tc>
        <w:tc>
          <w:tcPr>
            <w:tcW w:w="1569"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African Journal of Applied Research</w:t>
            </w:r>
          </w:p>
        </w:tc>
        <w:tc>
          <w:tcPr>
            <w:tcW w:w="1813"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 xml:space="preserve"> ISM, MIC MAC</w:t>
            </w:r>
          </w:p>
        </w:tc>
        <w:tc>
          <w:tcPr>
            <w:tcW w:w="2743"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Government policy, customer pressure, technological and managerial readiness</w:t>
            </w:r>
          </w:p>
        </w:tc>
        <w:tc>
          <w:tcPr>
            <w:tcW w:w="1306" w:type="dxa"/>
            <w:shd w:val="clear" w:color="auto" w:fill="auto"/>
            <w:hideMark/>
          </w:tcPr>
          <w:p w:rsidR="00844432" w:rsidRPr="00844432" w:rsidRDefault="00844432" w:rsidP="00844432">
            <w:pPr>
              <w:spacing w:after="0" w:line="240" w:lineRule="auto"/>
              <w:jc w:val="center"/>
              <w:rPr>
                <w:rFonts w:ascii="Arial" w:hAnsi="Arial" w:cs="Arial"/>
                <w:sz w:val="20"/>
                <w:szCs w:val="20"/>
              </w:rPr>
            </w:pPr>
            <w:r w:rsidRPr="00844432">
              <w:rPr>
                <w:rFonts w:ascii="Arial" w:hAnsi="Arial" w:cs="Arial"/>
                <w:sz w:val="20"/>
                <w:szCs w:val="20"/>
              </w:rPr>
              <w:fldChar w:fldCharType="begin" w:fldLock="1"/>
            </w:r>
            <w:r w:rsidRPr="00844432">
              <w:rPr>
                <w:rFonts w:ascii="Arial" w:hAnsi="Arial" w:cs="Arial"/>
                <w:sz w:val="20"/>
                <w:szCs w:val="20"/>
              </w:rPr>
              <w:instrText>ADDIN CSL_CITATION {"citationItems":[{"id":"ITEM-1","itemData":{"DOI":"https://doi.org/10.26437/ajar.v11i1","ISSN":"24087920","abstract":"Purpose: The primary objective of this study is to assess the factors that have the most significant impact on SMEs' adoption rate of Advanced Manufacturing Technologies (AMT). Design/Methodology/Approach: An interpretive structural modelling (ISM) approach was applied to assess drivers for AMT adoption. Data was gathered from literature and supplemented by expert opinions from academics and professionals. The identified drivers were ranked and classified through the ISM framework, and their reliability and influence were examined using the Matrice d'impacts croisés multiplication appliquée á un classment (MICMAC) analysis. Findings: The ISM analysis revealed that government policy support and customer/buyer pressure are primary drivers for AMT adoption in SMEs. These drivers form the foundational factors influencing the successful implementation of AMTs and enabling SMEs to develop strategic, priority-based business plans. Research Limitation: The study is limited to SME environments, which may restrict its applicability to larger firms. Practical Implication: Emphasising government support and responding to buyer pressure can guide SMEs in integrating AMTs more effectively. Social Implication: Successful AMT implementation in SMEs can promote job creation, local economic growth, and sustainable manufacturing practices, benefiting society by enhancing regional competitiveness and innovation. Originality/Value: This study provides a structured framework for understanding AMT adoption drivers in SMEs, incorporating ISM and MICMAC analyses to bridge a gap in the literature.","author":[{"dropping-particle":"V.","family":"Bhise","given":"D.","non-dropping-particle":"","parse-names":false,"suffix":""},{"dropping-particle":"","family":"Kumbhalkar","given":"M. A.","non-dropping-particle":"","parse-names":false,"suffix":""},{"dropping-particle":"","family":"Sardeshmukh","given":"M. M.","non-dropping-particle":"","parse-names":false,"suffix":""},{"dropping-particle":"","family":"Choudhari","given":"S. A.","non-dropping-particle":"","parse-names":false,"suffix":""},{"dropping-particle":"","family":"Sarje","given":"S. H.","non-dropping-particle":"","parse-names":false,"suffix":""},{"dropping-particle":"","family":"Kardekar","given":"N. B.","non-dropping-particle":"","parse-names":false,"suffix":""}],"container-title":"African Journal of Applied Research","id":"ITEM-1","issue":"1","issued":{"date-parts":[["2025"]]},"page":"388-407","title":"Study for Identification and Classification of Advanced Manufacturing Technology Implementation Drivers in Small and Medium Enterprises","type":"article-journal","volume":"11"},"uris":["http://www.mendeley.com/documents/?uuid=c3089cad-35d0-4a7f-a2a3-ec22650b952b"]}],"mendeley":{"formattedCitation":"[36]","plainTextFormattedCitation":"[36]","previouslyFormattedCitation":"[36]"},"properties":{"noteIndex":0},"schema":"https://github.com/citation-style-language/schema/raw/master/csl-citation.json"}</w:instrText>
            </w:r>
            <w:r w:rsidRPr="00844432">
              <w:rPr>
                <w:rFonts w:ascii="Arial" w:hAnsi="Arial" w:cs="Arial"/>
                <w:sz w:val="20"/>
                <w:szCs w:val="20"/>
              </w:rPr>
              <w:fldChar w:fldCharType="separate"/>
            </w:r>
            <w:r w:rsidRPr="00844432">
              <w:rPr>
                <w:rFonts w:ascii="Arial" w:hAnsi="Arial" w:cs="Arial"/>
                <w:noProof/>
                <w:sz w:val="20"/>
                <w:szCs w:val="20"/>
              </w:rPr>
              <w:t>[36]</w:t>
            </w:r>
            <w:r w:rsidRPr="00844432">
              <w:rPr>
                <w:rFonts w:ascii="Arial" w:hAnsi="Arial" w:cs="Arial"/>
                <w:sz w:val="20"/>
                <w:szCs w:val="20"/>
              </w:rPr>
              <w:fldChar w:fldCharType="end"/>
            </w:r>
          </w:p>
        </w:tc>
      </w:tr>
      <w:tr w:rsidR="00844432" w:rsidRPr="00844432" w:rsidTr="00B0441B">
        <w:trPr>
          <w:trHeight w:val="900"/>
        </w:trPr>
        <w:tc>
          <w:tcPr>
            <w:tcW w:w="1660"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Agri-food</w:t>
            </w:r>
          </w:p>
        </w:tc>
        <w:tc>
          <w:tcPr>
            <w:tcW w:w="1569"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 xml:space="preserve">Sustainability </w:t>
            </w:r>
          </w:p>
        </w:tc>
        <w:tc>
          <w:tcPr>
            <w:tcW w:w="1813"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content analysis, source triangulation</w:t>
            </w:r>
          </w:p>
        </w:tc>
        <w:tc>
          <w:tcPr>
            <w:tcW w:w="2743" w:type="dxa"/>
            <w:shd w:val="clear" w:color="auto" w:fill="auto"/>
            <w:hideMark/>
          </w:tcPr>
          <w:p w:rsidR="00844432" w:rsidRPr="00844432" w:rsidRDefault="00844432" w:rsidP="00844432">
            <w:pPr>
              <w:spacing w:after="0" w:line="240" w:lineRule="auto"/>
              <w:rPr>
                <w:rFonts w:ascii="Arial" w:hAnsi="Arial" w:cs="Arial"/>
                <w:sz w:val="20"/>
                <w:szCs w:val="20"/>
              </w:rPr>
            </w:pPr>
            <w:r w:rsidRPr="00844432">
              <w:rPr>
                <w:rFonts w:ascii="Arial" w:hAnsi="Arial" w:cs="Arial"/>
                <w:sz w:val="20"/>
                <w:szCs w:val="20"/>
              </w:rPr>
              <w:t>Partnership collaboration, Customer Education, Innovation and Technology, Policy and Regulation</w:t>
            </w:r>
          </w:p>
        </w:tc>
        <w:tc>
          <w:tcPr>
            <w:tcW w:w="1306" w:type="dxa"/>
            <w:shd w:val="clear" w:color="auto" w:fill="auto"/>
            <w:hideMark/>
          </w:tcPr>
          <w:p w:rsidR="00844432" w:rsidRPr="00844432" w:rsidRDefault="00844432" w:rsidP="00844432">
            <w:pPr>
              <w:spacing w:after="0" w:line="240" w:lineRule="auto"/>
              <w:jc w:val="center"/>
              <w:rPr>
                <w:rFonts w:ascii="Arial" w:hAnsi="Arial" w:cs="Arial"/>
                <w:sz w:val="20"/>
                <w:szCs w:val="20"/>
              </w:rPr>
            </w:pPr>
            <w:r w:rsidRPr="00844432">
              <w:rPr>
                <w:rFonts w:ascii="Arial" w:hAnsi="Arial" w:cs="Arial"/>
                <w:sz w:val="20"/>
                <w:szCs w:val="20"/>
              </w:rPr>
              <w:fldChar w:fldCharType="begin" w:fldLock="1"/>
            </w:r>
            <w:r w:rsidRPr="00844432">
              <w:rPr>
                <w:rFonts w:ascii="Arial" w:hAnsi="Arial" w:cs="Arial"/>
                <w:sz w:val="20"/>
                <w:szCs w:val="20"/>
              </w:rPr>
              <w:instrText>ADDIN CSL_CITATION {"citationItems":[{"id":"ITEM-1","itemData":{"DOI":"https://doi.org/10.3390/su16114377","ISSN":"20711050","abstract":"This paper investigates the incorporation of sustainable development within the Portuguese agri-food sector amid global environmental and resource challenges. It underscores the role of the Sustainable Development Goals (SDGs) and environmental, social, and governance (ESG) criteria in steering businesses towards sustainable practices. Through qualitative analysis, in-depth interviews with managers and experts explored sustainable business model adoption, highlighting SMEs’ unique challenges. The study reveals a divergence in sustainability practice maturity, advocating for integration into organizational culture and strategy. It points out SMEs’ reactive stance due to resource constraints and external pressures, contrasting with larger firms’ proactive approaches. The research supports a strategic reevaluation of business models for sustainability, emphasizing innovation, leadership, organizational commitment, and transparent communication. Practical contributions include embedding sustainability into core operations, enhancing competitiveness, fostering sustainable organizational culture, prioritizing employee well-being, and leveraging innovative marketing for sustainability communication. Recognizing its limitations, this study advocates exploring blockchain and AI for transparency, leadership’s role in sustainable models, and the importance of marketing in the agri-food sector for sustainable management. Insights indicate that innovation and strategic partnerships are crucial for enhancing organizational sustainability and achieving the SDGs.","author":[{"dropping-particle":"","family":"Camelo","given":"Gonçalo","non-dropping-particle":"","parse-names":false,"suffix":""},{"dropping-particle":"","family":"Nogueira","given":"Mafalda","non-dropping-particle":"","parse-names":false,"suffix":""}],"container-title":"Sustainability (Switzerland)","id":"ITEM-1","issue":"11","issued":{"date-parts":[["2024"]]},"title":"The ESG Menu: Integrating Sustainable Practices in the Portuguese Agri-Food Sector","type":"article-journal","volume":"16"},"uris":["http://www.mendeley.com/documents/?uuid=a509d32a-b739-4e9a-8b7c-acda6a44c797"]}],"mendeley":{"formattedCitation":"[4]","plainTextFormattedCitation":"[4]","previouslyFormattedCitation":"[4]"},"properties":{"noteIndex":0},"schema":"https://github.com/citation-style-language/schema/raw/master/csl-citation.json"}</w:instrText>
            </w:r>
            <w:r w:rsidRPr="00844432">
              <w:rPr>
                <w:rFonts w:ascii="Arial" w:hAnsi="Arial" w:cs="Arial"/>
                <w:sz w:val="20"/>
                <w:szCs w:val="20"/>
              </w:rPr>
              <w:fldChar w:fldCharType="separate"/>
            </w:r>
            <w:r w:rsidRPr="00844432">
              <w:rPr>
                <w:rFonts w:ascii="Arial" w:hAnsi="Arial" w:cs="Arial"/>
                <w:noProof/>
                <w:sz w:val="20"/>
                <w:szCs w:val="20"/>
              </w:rPr>
              <w:t>[4]</w:t>
            </w:r>
            <w:r w:rsidRPr="00844432">
              <w:rPr>
                <w:rFonts w:ascii="Arial" w:hAnsi="Arial" w:cs="Arial"/>
                <w:sz w:val="20"/>
                <w:szCs w:val="20"/>
              </w:rPr>
              <w:fldChar w:fldCharType="end"/>
            </w:r>
          </w:p>
        </w:tc>
      </w:tr>
    </w:tbl>
    <w:p w:rsidR="00844432" w:rsidRDefault="00844432" w:rsidP="003C67CE">
      <w:pPr>
        <w:spacing w:after="0" w:line="240" w:lineRule="auto"/>
        <w:rPr>
          <w:rFonts w:ascii="Arial" w:hAnsi="Arial" w:cs="Arial"/>
          <w:bCs/>
          <w:sz w:val="20"/>
          <w:szCs w:val="20"/>
        </w:rPr>
        <w:sectPr w:rsidR="00844432" w:rsidSect="00844432">
          <w:type w:val="continuous"/>
          <w:pgSz w:w="11907" w:h="16840" w:code="9"/>
          <w:pgMar w:top="1701" w:right="1134" w:bottom="1701" w:left="1701" w:header="680" w:footer="680" w:gutter="0"/>
          <w:cols w:space="284"/>
          <w:docGrid w:linePitch="360"/>
        </w:sectPr>
      </w:pPr>
    </w:p>
    <w:p w:rsidR="00844432" w:rsidRDefault="00844432" w:rsidP="003C67CE">
      <w:pPr>
        <w:spacing w:after="0" w:line="240" w:lineRule="auto"/>
        <w:rPr>
          <w:rFonts w:ascii="Arial" w:hAnsi="Arial" w:cs="Arial"/>
          <w:bCs/>
          <w:sz w:val="20"/>
          <w:szCs w:val="20"/>
        </w:rPr>
      </w:pPr>
      <w:r>
        <w:rPr>
          <w:rFonts w:ascii="Arial" w:hAnsi="Arial" w:cs="Arial"/>
          <w:bCs/>
          <w:sz w:val="20"/>
          <w:szCs w:val="20"/>
        </w:rPr>
        <w:t>Source: Self-Elaboration</w:t>
      </w:r>
    </w:p>
    <w:p w:rsidR="009F0030" w:rsidRPr="009F0030" w:rsidRDefault="009F0030" w:rsidP="003C67CE">
      <w:pPr>
        <w:spacing w:after="0" w:line="240" w:lineRule="auto"/>
        <w:rPr>
          <w:rFonts w:ascii="Arial" w:hAnsi="Arial" w:cs="Arial"/>
          <w:bCs/>
          <w:sz w:val="20"/>
          <w:szCs w:val="20"/>
        </w:rPr>
      </w:pPr>
    </w:p>
    <w:p w:rsidR="00844432" w:rsidRDefault="001445A1" w:rsidP="001445A1">
      <w:pPr>
        <w:spacing w:after="0" w:line="240" w:lineRule="auto"/>
        <w:jc w:val="both"/>
        <w:rPr>
          <w:rFonts w:ascii="Arial" w:hAnsi="Arial" w:cs="Arial"/>
          <w:bCs/>
          <w:sz w:val="20"/>
          <w:szCs w:val="20"/>
        </w:rPr>
      </w:pPr>
      <w:r w:rsidRPr="001445A1">
        <w:rPr>
          <w:rFonts w:ascii="Arial" w:hAnsi="Arial" w:cs="Arial"/>
          <w:bCs/>
          <w:sz w:val="20"/>
          <w:szCs w:val="20"/>
        </w:rPr>
        <w:t>Based on table 2 above, the author will categorize the key success factors which can be seen in table 3. These key factors are divided into 6 dimensions, namely: Economic, Social, Environment, Technology, Organization, and Human.</w:t>
      </w:r>
    </w:p>
    <w:p w:rsidR="001445A1" w:rsidRPr="001445A1" w:rsidRDefault="001445A1" w:rsidP="001445A1">
      <w:pPr>
        <w:spacing w:after="0" w:line="240" w:lineRule="auto"/>
        <w:jc w:val="both"/>
        <w:rPr>
          <w:rFonts w:ascii="Arial" w:hAnsi="Arial" w:cs="Arial"/>
          <w:bCs/>
          <w:sz w:val="20"/>
          <w:szCs w:val="20"/>
        </w:rPr>
      </w:pPr>
    </w:p>
    <w:p w:rsidR="00844432" w:rsidRDefault="00DC01B9" w:rsidP="003C67CE">
      <w:pPr>
        <w:spacing w:after="0" w:line="240" w:lineRule="auto"/>
        <w:rPr>
          <w:rFonts w:ascii="Arial" w:hAnsi="Arial" w:cs="Arial"/>
          <w:b/>
          <w:bCs/>
          <w:color w:val="1F4E79"/>
          <w:sz w:val="20"/>
          <w:szCs w:val="20"/>
        </w:rPr>
      </w:pPr>
      <w:r>
        <w:rPr>
          <w:rFonts w:ascii="Arial" w:hAnsi="Arial" w:cs="Arial"/>
          <w:b/>
          <w:bCs/>
          <w:color w:val="1F4E79"/>
          <w:sz w:val="20"/>
          <w:szCs w:val="20"/>
        </w:rPr>
        <w:t>Economic Dimen</w:t>
      </w:r>
      <w:r w:rsidR="001445A1">
        <w:rPr>
          <w:rFonts w:ascii="Arial" w:hAnsi="Arial" w:cs="Arial"/>
          <w:b/>
          <w:bCs/>
          <w:color w:val="1F4E79"/>
          <w:sz w:val="20"/>
          <w:szCs w:val="20"/>
        </w:rPr>
        <w:t>sions</w:t>
      </w:r>
    </w:p>
    <w:p w:rsidR="00696D5F" w:rsidRDefault="00696D5F" w:rsidP="00696D5F">
      <w:pPr>
        <w:spacing w:after="0" w:line="240" w:lineRule="auto"/>
        <w:ind w:firstLine="567"/>
        <w:jc w:val="both"/>
        <w:rPr>
          <w:rFonts w:ascii="Arial" w:hAnsi="Arial" w:cs="Arial"/>
          <w:bCs/>
          <w:sz w:val="20"/>
          <w:szCs w:val="20"/>
        </w:rPr>
      </w:pPr>
      <w:r w:rsidRPr="00696D5F">
        <w:rPr>
          <w:rFonts w:ascii="Arial" w:hAnsi="Arial" w:cs="Arial"/>
          <w:bCs/>
          <w:sz w:val="20"/>
          <w:szCs w:val="20"/>
        </w:rPr>
        <w:t>The economic dimension of sustainability is greatly influenced by the financial stability of SMEs, access to financing is one of the things that can increase the competitiveness and resilience of SMEs in the long term and is able to contribute directly to national economic development in a sustainable and inclusive manner</w:t>
      </w:r>
      <w:r>
        <w:rPr>
          <w:rFonts w:ascii="Arial" w:hAnsi="Arial" w:cs="Arial"/>
          <w:bCs/>
          <w:sz w:val="20"/>
          <w:szCs w:val="20"/>
        </w:rPr>
        <w:t xml:space="preserve"> </w:t>
      </w:r>
      <w:r>
        <w:rPr>
          <w:rFonts w:ascii="Arial" w:eastAsia="Arial" w:hAnsi="Arial" w:cs="Arial"/>
          <w:sz w:val="20"/>
          <w:szCs w:val="20"/>
        </w:rPr>
        <w:fldChar w:fldCharType="begin" w:fldLock="1"/>
      </w:r>
      <w:r>
        <w:rPr>
          <w:rFonts w:ascii="Arial" w:eastAsia="Arial" w:hAnsi="Arial" w:cs="Arial"/>
          <w:sz w:val="20"/>
          <w:szCs w:val="20"/>
        </w:rPr>
        <w:instrText>ADDIN CSL_CITATION {"citationItems":[{"id":"ITEM-1","itemData":{"DOI":"https://doi.org/10.14505/jemt.v13.3(59).09","author":[{"dropping-particle":"","family":"Belgibayeva","given":"Anargul","non-dropping-particle":"","parse-names":false,"suffix":""},{"dropping-particle":"","family":"Denissova","given":"Oxana","non-dropping-particle":"","parse-names":false,"suffix":""},{"dropping-particle":"","family":"Kozlova","given":"Marina","non-dropping-particle":"","parse-names":false,"suffix":""},{"dropping-particle":"","family":"Savchenko","given":"Irina","non-dropping-particle":"","parse-names":false,"suffix":""},{"dropping-particle":"","family":"Tleubayev","given":"Azat","non-dropping-particle":"","parse-names":false,"suffix":""},{"dropping-particle":"","family":"Siximbayeva","given":"Gaukhar","non-dropping-particle":"","parse-names":false,"suffix":""}],"container-title":"Journal of Environmental Management and Tourism","id":"ITEM-1","issue":"4","issued":{"date-parts":[["2022"]]},"title":"Analysis of Sustainable Development of SMEs in Agriculture","type":"article-journal","volume":"VII"},"uris":["http://www.mendeley.com/documents/?uuid=e2d74feb-4f38-49e8-9ce5-26daa9470ad7"]}],"mendeley":{"formattedCitation":"[22]","plainTextFormattedCitation":"[22]","previouslyFormattedCitation":"[22]"},"properties":{"noteIndex":0},"schema":"https://github.com/citation-style-language/schema/raw/master/csl-citation.json"}</w:instrText>
      </w:r>
      <w:r>
        <w:rPr>
          <w:rFonts w:ascii="Arial" w:eastAsia="Arial" w:hAnsi="Arial" w:cs="Arial"/>
          <w:sz w:val="20"/>
          <w:szCs w:val="20"/>
        </w:rPr>
        <w:fldChar w:fldCharType="separate"/>
      </w:r>
      <w:r w:rsidRPr="00FE0EBC">
        <w:rPr>
          <w:rFonts w:ascii="Arial" w:eastAsia="Arial" w:hAnsi="Arial" w:cs="Arial"/>
          <w:noProof/>
          <w:sz w:val="20"/>
          <w:szCs w:val="20"/>
        </w:rPr>
        <w:t>[22]</w:t>
      </w:r>
      <w:r>
        <w:rPr>
          <w:rFonts w:ascii="Arial" w:eastAsia="Arial" w:hAnsi="Arial" w:cs="Arial"/>
          <w:sz w:val="20"/>
          <w:szCs w:val="20"/>
        </w:rPr>
        <w:fldChar w:fldCharType="end"/>
      </w:r>
      <w:r>
        <w:rPr>
          <w:rFonts w:ascii="Arial" w:eastAsia="Arial" w:hAnsi="Arial" w:cs="Arial"/>
          <w:sz w:val="20"/>
          <w:szCs w:val="20"/>
        </w:rPr>
        <w:t xml:space="preserve">. </w:t>
      </w:r>
      <w:r w:rsidRPr="00696D5F">
        <w:rPr>
          <w:rFonts w:ascii="Arial" w:eastAsia="Arial" w:hAnsi="Arial" w:cs="Arial"/>
          <w:sz w:val="20"/>
          <w:szCs w:val="20"/>
        </w:rPr>
        <w:t>In addition, SMEs must also be able to demonstrate the importance of brand identity and response to market opportunities, so they are required to have a strong understanding of the market, which is a key component in sustainability</w:t>
      </w:r>
      <w:r>
        <w:rPr>
          <w:rFonts w:ascii="Arial" w:eastAsia="Arial" w:hAnsi="Arial" w:cs="Arial"/>
          <w:sz w:val="20"/>
          <w:szCs w:val="20"/>
        </w:rPr>
        <w:t xml:space="preserve"> </w:t>
      </w:r>
      <w:r>
        <w:rPr>
          <w:rFonts w:ascii="Arial" w:eastAsia="Arial" w:hAnsi="Arial" w:cs="Arial"/>
          <w:sz w:val="20"/>
          <w:szCs w:val="20"/>
        </w:rPr>
        <w:fldChar w:fldCharType="begin" w:fldLock="1"/>
      </w:r>
      <w:r>
        <w:rPr>
          <w:rFonts w:ascii="Arial" w:eastAsia="Arial" w:hAnsi="Arial" w:cs="Arial"/>
          <w:sz w:val="20"/>
          <w:szCs w:val="20"/>
        </w:rPr>
        <w:instrText>ADDIN CSL_CITATION {"citationItems":[{"id":"ITEM-1","itemData":{"DOI":"https://doi.org/10.3390/w14192964","ISSN":"20734441","abstract":"The blue economy contributes significantly to the creation of the Atlantic Area’s identity. In addition, the search for outdoor experiences after the COVID-19 lockdown suspensions has renewed the popularity of nautical tourism in this area and in the world. Despite the negative effects of the economic crisis on tourism, evidence suggests that some tourist destinations in the Atlantic area are resilient. Thus, whereas some branches of the blue economy face considerable challenges to increasing competitiveness, others offer opportunities for economic growth and employment. In this context, investment is necessary to lay the foundations for the sustainable development of nautical tourism. However, regarding the role of investment in productivity and competitiveness in the context of crisis, there is no consensus among academics. Thus, we investigate whether the investment contributed to competitiveness in nautical tourism in the Atlantic Area in 2016–2020. We collected data from ORBIS for 29 nautical-tourism companies and performed a quantitative and qualitative narrative analysis of competitiveness indicators, enabling comparisons pre and during crisis. The results highlight the multiplicity of ways in which crisis impacts nautical-tourism firms. The research fills a gap in the literature by investigating the dynamic capabilities of nautical-tourism SMEs in periods of recession, with a special focus on restructuring and competitiveness strategies. Some recommendations are outlined to promote the efficiency of resources and stimulate the competitiveness of companies to allow the regional development of nautical tourism in the territory of the Atlantic area.","author":[{"dropping-particle":"","family":"Santos","given":"Eleonora","non-dropping-particle":"","parse-names":false,"suffix":""},{"dropping-particle":"","family":"Castanho","given":"Rui Alexandre","non-dropping-particle":"","parse-names":false,"suffix":""},{"dropping-particle":"","family":"Meyer","given":"Daniel","non-dropping-particle":"","parse-names":false,"suffix":""}],"container-title":"Water (Switzerland)","id":"ITEM-1","issue":"19","issued":{"date-parts":[["2022"]]},"page":"1-17","title":"Is Investment Contributing to Competitiveness in Nautical Tourism in the Atlantic Area?","type":"article-journal","volume":"14"},"uris":["http://www.mendeley.com/documents/?uuid=30aecf1b-328f-435a-a76d-a191dbe74f2b"]}],"mendeley":{"formattedCitation":"[28]","plainTextFormattedCitation":"[28]","previouslyFormattedCitation":"[28]"},"properties":{"noteIndex":0},"schema":"https://github.com/citation-style-language/schema/raw/master/csl-citation.json"}</w:instrText>
      </w:r>
      <w:r>
        <w:rPr>
          <w:rFonts w:ascii="Arial" w:eastAsia="Arial" w:hAnsi="Arial" w:cs="Arial"/>
          <w:sz w:val="20"/>
          <w:szCs w:val="20"/>
        </w:rPr>
        <w:fldChar w:fldCharType="separate"/>
      </w:r>
      <w:r w:rsidRPr="007777C0">
        <w:rPr>
          <w:rFonts w:ascii="Arial" w:eastAsia="Arial" w:hAnsi="Arial" w:cs="Arial"/>
          <w:noProof/>
          <w:sz w:val="20"/>
          <w:szCs w:val="20"/>
        </w:rPr>
        <w:t>[28]</w:t>
      </w:r>
      <w:r>
        <w:rPr>
          <w:rFonts w:ascii="Arial" w:eastAsia="Arial" w:hAnsi="Arial" w:cs="Arial"/>
          <w:sz w:val="20"/>
          <w:szCs w:val="20"/>
        </w:rPr>
        <w:fldChar w:fldCharType="end"/>
      </w:r>
      <w:r w:rsidRPr="00696D5F">
        <w:rPr>
          <w:rFonts w:ascii="Arial" w:eastAsia="Arial" w:hAnsi="Arial" w:cs="Arial"/>
          <w:sz w:val="20"/>
          <w:szCs w:val="20"/>
        </w:rPr>
        <w:t>.</w:t>
      </w:r>
    </w:p>
    <w:p w:rsidR="00696D5F" w:rsidRDefault="00696D5F" w:rsidP="00696D5F">
      <w:pPr>
        <w:spacing w:after="0" w:line="240" w:lineRule="auto"/>
        <w:ind w:firstLine="567"/>
        <w:jc w:val="both"/>
        <w:rPr>
          <w:rFonts w:ascii="Arial" w:hAnsi="Arial" w:cs="Arial"/>
          <w:bCs/>
          <w:sz w:val="20"/>
          <w:szCs w:val="20"/>
        </w:rPr>
      </w:pPr>
    </w:p>
    <w:p w:rsidR="00696D5F" w:rsidRDefault="00DC01B9" w:rsidP="00696D5F">
      <w:pPr>
        <w:spacing w:after="0" w:line="240" w:lineRule="auto"/>
        <w:jc w:val="both"/>
        <w:rPr>
          <w:rFonts w:ascii="Arial" w:hAnsi="Arial" w:cs="Arial"/>
          <w:b/>
          <w:bCs/>
          <w:color w:val="1F4E79"/>
          <w:sz w:val="20"/>
          <w:szCs w:val="20"/>
        </w:rPr>
      </w:pPr>
      <w:r>
        <w:rPr>
          <w:rFonts w:ascii="Arial" w:hAnsi="Arial" w:cs="Arial"/>
          <w:b/>
          <w:bCs/>
          <w:color w:val="1F4E79"/>
          <w:sz w:val="20"/>
          <w:szCs w:val="20"/>
        </w:rPr>
        <w:t>Social Dimen</w:t>
      </w:r>
      <w:r w:rsidR="00696D5F">
        <w:rPr>
          <w:rFonts w:ascii="Arial" w:hAnsi="Arial" w:cs="Arial"/>
          <w:b/>
          <w:bCs/>
          <w:color w:val="1F4E79"/>
          <w:sz w:val="20"/>
          <w:szCs w:val="20"/>
        </w:rPr>
        <w:t>sions</w:t>
      </w:r>
    </w:p>
    <w:p w:rsidR="00696D5F" w:rsidRDefault="00696D5F" w:rsidP="00696D5F">
      <w:pPr>
        <w:spacing w:after="0" w:line="240" w:lineRule="auto"/>
        <w:jc w:val="both"/>
        <w:rPr>
          <w:rFonts w:ascii="Arial" w:hAnsi="Arial" w:cs="Arial"/>
          <w:bCs/>
          <w:sz w:val="20"/>
          <w:szCs w:val="20"/>
        </w:rPr>
      </w:pPr>
      <w:r w:rsidRPr="00696D5F">
        <w:rPr>
          <w:rFonts w:ascii="Arial" w:hAnsi="Arial" w:cs="Arial"/>
          <w:bCs/>
          <w:sz w:val="20"/>
          <w:szCs w:val="20"/>
        </w:rPr>
        <w:t>An important aspect that is sometimes overlooked is social, where if this is paid attention to it will have a big impact on society, improving reputation and long-term sustainability</w:t>
      </w:r>
      <w:r>
        <w:rPr>
          <w:rFonts w:ascii="Arial" w:hAnsi="Arial" w:cs="Arial"/>
          <w:bCs/>
          <w:sz w:val="20"/>
          <w:szCs w:val="20"/>
        </w:rPr>
        <w:t xml:space="preserve"> </w:t>
      </w:r>
      <w:r>
        <w:rPr>
          <w:rFonts w:ascii="Arial" w:eastAsia="Arial" w:hAnsi="Arial" w:cs="Arial"/>
          <w:sz w:val="20"/>
          <w:szCs w:val="20"/>
        </w:rPr>
        <w:fldChar w:fldCharType="begin" w:fldLock="1"/>
      </w:r>
      <w:r>
        <w:rPr>
          <w:rFonts w:ascii="Arial" w:eastAsia="Arial" w:hAnsi="Arial" w:cs="Arial"/>
          <w:sz w:val="20"/>
          <w:szCs w:val="20"/>
        </w:rPr>
        <w:instrText>ADDIN CSL_CITATION {"citationItems":[{"id":"ITEM-1","itemData":{"DOI":"https://doi.org/10.55927/ajmee.v2i1.4090","ISBN":"9783031340444","ISSN":"18650937","abstract":"With knowledge becoming a central component of an organization’s internal resource structure, managing this valuable asset gained on importance and developed to one of the most critical activities over the last few years. Successfully managing intellectual expertise and securing a comprehensive and gap-less knowledge base will contribute and enhance centralized and distributed decision making and furthermore help to sustainably maintain and increase competitive advantages. Especially regarding ISO 9001 certified Small and Medium-sized Enterprises (SMEs) and complying to its general principle of continuous improvement, auditing and reassessment of the current state of Knowledge Management is crucial. Therefore, this paper will propose a three step incremental Knowledge Audit Framework that helps SMEs to identify, assess and manage knowledge gaps in knowledge intense business processes. Building up on the underlying research method of a Case Study, the framework was designed using relevant literature and results of previous research endeavors. In order to identify and asses the potential knowledge gaps the framework will triangulate the following three data collection methods: (1) participating observation, (2) direct observation, and (3) structured questionnaire. After a detailed description of the proposed Knowledge Management Audit Framework, this paper will focus on the results and limitations by implementing the framework in a SME operating in the production of ductile iron pipe systems. After applying the framework in the aforementioned SME a general knowledge gap, mainly in the field of procedural knowledge, was identified. In order to close the identified knowledge gaps and build up a sustainable and effective Knowledge Management System this paper will be concluded by highlighting and suggesting several recommended actions.","author":[{"dropping-particle":"","family":"Carag","given":"Charlotte R.","non-dropping-particle":"","parse-names":false,"suffix":""},{"dropping-particle":"","family":"Danao","given":"Karel C.","non-dropping-particle":"","parse-names":false,"suffix":""},{"dropping-particle":"","family":"Lara","given":"Carine Ayrrah Mei A.","non-dropping-particle":"","parse-names":false,"suffix":""},{"dropping-particle":"","family":"Pablico","given":"Ritcher Keint D.","non-dropping-particle":"","parse-names":false,"suffix":""},{"dropping-particle":"","family":"Rola","given":"Rovic Angelo C.","non-dropping-particle":"","parse-names":false,"suffix":""},{"dropping-particle":"","family":"Tindowen","given":"Darin Jan","non-dropping-particle":"","parse-names":false,"suffix":""},{"dropping-particle":"","family":"Catacutan","given":"Karen Joy","non-dropping-particle":"","parse-names":false,"suffix":""}],"container-title":"Asian Journal of Mechatronics, and Electrical Engineering (AJMEE)","id":"ITEM-1","issue":"1","issued":{"date-parts":[["2023"]]},"page":"69-94","title":"Development and Validation of a Knowledge Audit Framework for SMEs","type":"article-journal","volume":"2"},"uris":["http://www.mendeley.com/documents/?uuid=7b088ce6-0d7c-4600-a244-97930815092a"]}],"mendeley":{"formattedCitation":"[37]","plainTextFormattedCitation":"[37]","previouslyFormattedCitation":"[37]"},"properties":{"noteIndex":0},"schema":"https://github.com/citation-style-language/schema/raw/master/csl-citation.json"}</w:instrText>
      </w:r>
      <w:r>
        <w:rPr>
          <w:rFonts w:ascii="Arial" w:eastAsia="Arial" w:hAnsi="Arial" w:cs="Arial"/>
          <w:sz w:val="20"/>
          <w:szCs w:val="20"/>
        </w:rPr>
        <w:fldChar w:fldCharType="separate"/>
      </w:r>
      <w:r w:rsidRPr="002455AD">
        <w:rPr>
          <w:rFonts w:ascii="Arial" w:eastAsia="Arial" w:hAnsi="Arial" w:cs="Arial"/>
          <w:noProof/>
          <w:sz w:val="20"/>
          <w:szCs w:val="20"/>
        </w:rPr>
        <w:t>[37]</w:t>
      </w:r>
      <w:r>
        <w:rPr>
          <w:rFonts w:ascii="Arial" w:eastAsia="Arial" w:hAnsi="Arial" w:cs="Arial"/>
          <w:sz w:val="20"/>
          <w:szCs w:val="20"/>
        </w:rPr>
        <w:fldChar w:fldCharType="end"/>
      </w:r>
      <w:r w:rsidRPr="00696D5F">
        <w:rPr>
          <w:rFonts w:ascii="Arial" w:hAnsi="Arial" w:cs="Arial"/>
          <w:bCs/>
          <w:sz w:val="20"/>
          <w:szCs w:val="20"/>
        </w:rPr>
        <w:t>.</w:t>
      </w:r>
      <w:r w:rsidR="00ED6230">
        <w:rPr>
          <w:rFonts w:ascii="Arial" w:hAnsi="Arial" w:cs="Arial"/>
          <w:bCs/>
          <w:sz w:val="20"/>
          <w:szCs w:val="20"/>
        </w:rPr>
        <w:t xml:space="preserve"> </w:t>
      </w:r>
      <w:r w:rsidR="00ED6230" w:rsidRPr="00ED6230">
        <w:rPr>
          <w:rFonts w:ascii="Arial" w:hAnsi="Arial" w:cs="Arial"/>
          <w:bCs/>
          <w:sz w:val="20"/>
          <w:szCs w:val="20"/>
        </w:rPr>
        <w:t>Support from local communities plays an important role in driving the success of sustainable practices, which is influenced by community knowledge about the benefits of sustainability, so it is very important to increase community awareness and education as a strategic step</w:t>
      </w:r>
      <w:r w:rsidR="00ED6230">
        <w:rPr>
          <w:rFonts w:ascii="Arial" w:hAnsi="Arial" w:cs="Arial"/>
          <w:bCs/>
          <w:sz w:val="20"/>
          <w:szCs w:val="20"/>
        </w:rPr>
        <w:t xml:space="preserve"> </w:t>
      </w:r>
      <w:r w:rsidR="00ED6230">
        <w:rPr>
          <w:rFonts w:ascii="Arial" w:eastAsia="Arial" w:hAnsi="Arial" w:cs="Arial"/>
          <w:sz w:val="20"/>
          <w:szCs w:val="20"/>
        </w:rPr>
        <w:fldChar w:fldCharType="begin" w:fldLock="1"/>
      </w:r>
      <w:r w:rsidR="00ED6230">
        <w:rPr>
          <w:rFonts w:ascii="Arial" w:eastAsia="Arial" w:hAnsi="Arial" w:cs="Arial"/>
          <w:sz w:val="20"/>
          <w:szCs w:val="20"/>
        </w:rPr>
        <w:instrText>ADDIN CSL_CITATION {"citationItems":[{"id":"ITEM-1","itemData":{"DOI":"http://dx.doi.org/10.36096/ijbes.v6i1.465","abstract":"This study aims to explore key drivers of tourism sustainability practices and their impact on the sustainable competitive performance of the tourism accommodation industry. The study adopts an exploratory research design under qualitative research, using semi-structured interviewing of owners and managers of tourism accommodation firms using the TOE framework and RBV theory. The findings reveal that technological sustainability expertise, executive sustainability support, organizational resources and capability, service intermediary sustainability practices, collaborative innovation adoption capability, tourism sustainability regulatory policy, and sustainability practices perceived by residents are the key drivers of TSP. The outcomes also show that tourism sustainability practices have a positive impact on the SCP of accommodation firms. This study makes a theoretical contribution to the literature on tourism sustainability by exploring how TOE antecedents motivate firms to adopt sustainability practices as product innovation, which in turn enhance SCP. Also, this study provides strong backing for the premises of the TOE framework, and RBV theory offers valuable practical insights for managers and owners. This will aid in identifying the pivotal factors influencing TSP and SCP, enabling the implementation of innovative strategies to enhance firm competitiveness. Also, the research can help the government and policymakers formulate sustainable tourism policies to promote tourism innovations. The adoption of sustainable practices has been a focal point for both academic researchers and professionals in the tourism industry. However, there has been insufficient exploration of the TOE drivers that facilitate the integration of tourism sustainability within the context of TAFs in a developing country. Therefore, this study aims to fill this gap in knowledge.","author":[{"dropping-particle":"","family":"Islam","given":"Md Farijul","non-dropping-particle":"","parse-names":false,"suffix":""}],"container-title":"International Journal of Business Ecosystem &amp; Strategy (2687-2293)","id":"ITEM-1","issue":"1","issued":{"date-parts":[["2024"]]},"page":"28-44","title":"Exploring key drivers of tourism sustainability practices and their impact on sustainable competitive performance in the accommodation industry","type":"article-journal","volume":"6"},"uris":["http://www.mendeley.com/documents/?uuid=97152403-85ae-4c1a-803b-922b1defc716"]}],"mendeley":{"formattedCitation":"[18]","plainTextFormattedCitation":"[18]","previouslyFormattedCitation":"[18]"},"properties":{"noteIndex":0},"schema":"https://github.com/citation-style-language/schema/raw/master/csl-citation.json"}</w:instrText>
      </w:r>
      <w:r w:rsidR="00ED6230">
        <w:rPr>
          <w:rFonts w:ascii="Arial" w:eastAsia="Arial" w:hAnsi="Arial" w:cs="Arial"/>
          <w:sz w:val="20"/>
          <w:szCs w:val="20"/>
        </w:rPr>
        <w:fldChar w:fldCharType="separate"/>
      </w:r>
      <w:r w:rsidR="00ED6230" w:rsidRPr="00AE25B5">
        <w:rPr>
          <w:rFonts w:ascii="Arial" w:eastAsia="Arial" w:hAnsi="Arial" w:cs="Arial"/>
          <w:noProof/>
          <w:sz w:val="20"/>
          <w:szCs w:val="20"/>
        </w:rPr>
        <w:t>[18]</w:t>
      </w:r>
      <w:r w:rsidR="00ED6230">
        <w:rPr>
          <w:rFonts w:ascii="Arial" w:eastAsia="Arial" w:hAnsi="Arial" w:cs="Arial"/>
          <w:sz w:val="20"/>
          <w:szCs w:val="20"/>
        </w:rPr>
        <w:fldChar w:fldCharType="end"/>
      </w:r>
      <w:r w:rsidR="00ED6230" w:rsidRPr="00ED6230">
        <w:rPr>
          <w:rFonts w:ascii="Arial" w:hAnsi="Arial" w:cs="Arial"/>
          <w:bCs/>
          <w:sz w:val="20"/>
          <w:szCs w:val="20"/>
        </w:rPr>
        <w:t>.</w:t>
      </w:r>
    </w:p>
    <w:p w:rsidR="00696D5F" w:rsidRDefault="00ED6230" w:rsidP="00ED6230">
      <w:pPr>
        <w:spacing w:after="0" w:line="240" w:lineRule="auto"/>
        <w:ind w:firstLine="567"/>
        <w:jc w:val="both"/>
        <w:rPr>
          <w:rFonts w:ascii="Arial" w:hAnsi="Arial" w:cs="Arial"/>
          <w:bCs/>
          <w:sz w:val="20"/>
          <w:szCs w:val="20"/>
        </w:rPr>
      </w:pPr>
      <w:r w:rsidRPr="00ED6230">
        <w:rPr>
          <w:rFonts w:ascii="Arial" w:hAnsi="Arial" w:cs="Arial"/>
          <w:bCs/>
          <w:sz w:val="20"/>
          <w:szCs w:val="20"/>
        </w:rPr>
        <w:t>Collaboration is a key point in achieving successful SME development, cross-sector partnership collaboration is a strategic foundation in strengthening SME competitiveness and the success of this collaboration requires effective management, policy support, and strengthening infrastructure, this is intended to ensure long-term sustainability</w:t>
      </w:r>
      <w:r>
        <w:rPr>
          <w:rFonts w:ascii="Arial" w:hAnsi="Arial" w:cs="Arial"/>
          <w:bCs/>
          <w:sz w:val="20"/>
          <w:szCs w:val="20"/>
        </w:rPr>
        <w:t xml:space="preserve"> </w:t>
      </w:r>
      <w:r>
        <w:rPr>
          <w:rFonts w:ascii="Arial" w:eastAsia="Arial" w:hAnsi="Arial" w:cs="Arial"/>
          <w:sz w:val="20"/>
          <w:szCs w:val="20"/>
        </w:rPr>
        <w:fldChar w:fldCharType="begin" w:fldLock="1"/>
      </w:r>
      <w:r>
        <w:rPr>
          <w:rFonts w:ascii="Arial" w:eastAsia="Arial" w:hAnsi="Arial" w:cs="Arial"/>
          <w:sz w:val="20"/>
          <w:szCs w:val="20"/>
        </w:rPr>
        <w:instrText>ADDIN CSL_CITATION {"citationItems":[{"id":"ITEM-1","itemData":{"DOI":"https://doi.org/10.32479/irmm.16103","ISSN":"21464405","abstract":"This study investigates the impact and operational challenges of the Shared Service Facility (SSF) for Micro, Small, and Medium Enterprises (MSMEs) in the Philippines, focusing on enhancing MSME competitiveness and sustainability. Through a mixed-methods approach, including surveys, interviews, and data analysis, the study assesses the SSF’s effectiveness in supporting MSMEs and identifies key challenges hindering its operation. The findings reveal significant improvements in MSMEs’ access to resources, innovation capacity, and market competitiveness following SSF assistance. However, logistical, managerial, and resource-related challenges pose significant hurdles to the SSF’s operational efficiency and effectiveness. To address these challenges, a comprehensive Strategic Plan is formulated, outlining key actions to improve logistical efficiency, enhance managerial effectiveness, strengthen financial sustainability, upgrade technological infrastructure, and foster collaboration and partnerships. Implementation of these strategic initiatives is crucial for optimizing the SSF’s operation, enhancing its impact on MSME competitiveness, and ensuring long-term sustainability. Overall, this study contributes valuable insights into the role of the SSF in fostering MSME development and economic growth in the Philippines, highlighting the importance of targeted interventions and collaborative efforts to support inclusive and sustainable development.","author":[{"dropping-particle":"","family":"Armas","given":"Kenneth L.","non-dropping-particle":"","parse-names":false,"suffix":""},{"dropping-particle":"Dela","family":"Cruz","given":"Catherine","non-dropping-particle":"","parse-names":false,"suffix":""},{"dropping-particle":"","family":"Navarro","given":"Jonas Emmanuel","non-dropping-particle":"","parse-names":false,"suffix":""},{"dropping-particle":"","family":"Viloria","given":"Vivien","non-dropping-particle":"","parse-names":false,"suffix":""}],"container-title":"International Review of Management and Marketing","id":"ITEM-1","issue":"3","issued":{"date-parts":[["2024"]]},"page":"65-73","title":"Triple Helix for Sustainable Development Goals: An Impact Assessment of Shared Service Facility for Micro, Small, and Medium Enterprises Competitiveness in the Philippines","type":"article-journal","volume":"14"},"uris":["http://www.mendeley.com/documents/?uuid=f1d1f46c-5bd6-4eff-b6f5-09bb992f0dee"]}],"mendeley":{"formattedCitation":"[20]","plainTextFormattedCitation":"[20]","previouslyFormattedCitation":"[20]"},"properties":{"noteIndex":0},"schema":"https://github.com/citation-style-language/schema/raw/master/csl-citation.json"}</w:instrText>
      </w:r>
      <w:r>
        <w:rPr>
          <w:rFonts w:ascii="Arial" w:eastAsia="Arial" w:hAnsi="Arial" w:cs="Arial"/>
          <w:sz w:val="20"/>
          <w:szCs w:val="20"/>
        </w:rPr>
        <w:fldChar w:fldCharType="separate"/>
      </w:r>
      <w:r w:rsidRPr="00A322F7">
        <w:rPr>
          <w:rFonts w:ascii="Arial" w:eastAsia="Arial" w:hAnsi="Arial" w:cs="Arial"/>
          <w:noProof/>
          <w:sz w:val="20"/>
          <w:szCs w:val="20"/>
        </w:rPr>
        <w:t>[20]</w:t>
      </w:r>
      <w:r>
        <w:rPr>
          <w:rFonts w:ascii="Arial" w:eastAsia="Arial" w:hAnsi="Arial" w:cs="Arial"/>
          <w:sz w:val="20"/>
          <w:szCs w:val="20"/>
        </w:rPr>
        <w:fldChar w:fldCharType="end"/>
      </w:r>
      <w:r w:rsidRPr="00ED6230">
        <w:rPr>
          <w:rFonts w:ascii="Arial" w:hAnsi="Arial" w:cs="Arial"/>
          <w:bCs/>
          <w:sz w:val="20"/>
          <w:szCs w:val="20"/>
        </w:rPr>
        <w:t>.</w:t>
      </w:r>
    </w:p>
    <w:p w:rsidR="00696D5F" w:rsidRDefault="00696D5F" w:rsidP="00696D5F">
      <w:pPr>
        <w:spacing w:after="0" w:line="240" w:lineRule="auto"/>
        <w:jc w:val="both"/>
        <w:rPr>
          <w:rFonts w:ascii="Arial" w:hAnsi="Arial" w:cs="Arial"/>
          <w:bCs/>
          <w:sz w:val="20"/>
          <w:szCs w:val="20"/>
        </w:rPr>
      </w:pPr>
    </w:p>
    <w:p w:rsidR="00ED6230" w:rsidRDefault="00DC01B9" w:rsidP="00ED6230">
      <w:pPr>
        <w:pStyle w:val="NormalWeb"/>
        <w:shd w:val="clear" w:color="auto" w:fill="FFFFFF"/>
        <w:spacing w:before="0" w:beforeAutospacing="0" w:after="0" w:afterAutospacing="0"/>
        <w:ind w:hanging="2"/>
        <w:rPr>
          <w:rFonts w:ascii="Arial" w:hAnsi="Arial" w:cs="Arial"/>
          <w:color w:val="000000"/>
          <w:sz w:val="20"/>
          <w:szCs w:val="20"/>
        </w:rPr>
      </w:pPr>
      <w:r>
        <w:rPr>
          <w:rFonts w:ascii="Arial" w:hAnsi="Arial" w:cs="Arial"/>
          <w:b/>
          <w:bCs/>
          <w:color w:val="1F4E79"/>
          <w:sz w:val="20"/>
          <w:szCs w:val="20"/>
        </w:rPr>
        <w:t>Environment Dimens</w:t>
      </w:r>
      <w:r w:rsidR="00ED6230">
        <w:rPr>
          <w:rFonts w:ascii="Arial" w:hAnsi="Arial" w:cs="Arial"/>
          <w:b/>
          <w:bCs/>
          <w:color w:val="1F4E79"/>
          <w:sz w:val="20"/>
          <w:szCs w:val="20"/>
        </w:rPr>
        <w:t>ions</w:t>
      </w:r>
      <w:r w:rsidR="00ED6230" w:rsidRPr="007C395A">
        <w:rPr>
          <w:rFonts w:ascii="Arial" w:hAnsi="Arial" w:cs="Arial"/>
          <w:color w:val="000000"/>
          <w:sz w:val="20"/>
          <w:szCs w:val="20"/>
        </w:rPr>
        <w:t xml:space="preserve"> </w:t>
      </w:r>
    </w:p>
    <w:p w:rsidR="00ED6230" w:rsidRDefault="00294B01" w:rsidP="00294B01">
      <w:pPr>
        <w:spacing w:after="0" w:line="240" w:lineRule="auto"/>
        <w:ind w:firstLine="567"/>
        <w:jc w:val="both"/>
        <w:rPr>
          <w:rFonts w:ascii="Arial" w:hAnsi="Arial" w:cs="Arial"/>
          <w:bCs/>
          <w:sz w:val="20"/>
          <w:szCs w:val="20"/>
        </w:rPr>
      </w:pPr>
      <w:r w:rsidRPr="00294B01">
        <w:rPr>
          <w:rFonts w:ascii="Arial" w:hAnsi="Arial" w:cs="Arial"/>
          <w:bCs/>
          <w:sz w:val="20"/>
          <w:szCs w:val="20"/>
        </w:rPr>
        <w:t>The environmental dimension plays an important role in sustainability, environmental policies and regulations as drivers of the integration of sustainable practices. Adaptive, collaborative and contextual policies are needed to accelerate the sustainability transformation by considering the large role of SMEs in the supply chain and the cumulative environmental impacts</w:t>
      </w:r>
      <w:r>
        <w:rPr>
          <w:rFonts w:ascii="Arial" w:hAnsi="Arial" w:cs="Arial"/>
          <w:bCs/>
          <w:sz w:val="20"/>
          <w:szCs w:val="20"/>
        </w:rPr>
        <w:t xml:space="preserve"> </w:t>
      </w:r>
      <w:r>
        <w:rPr>
          <w:rFonts w:ascii="Arial" w:eastAsia="Arial" w:hAnsi="Arial" w:cs="Arial"/>
          <w:sz w:val="20"/>
          <w:szCs w:val="20"/>
        </w:rPr>
        <w:fldChar w:fldCharType="begin" w:fldLock="1"/>
      </w:r>
      <w:r>
        <w:rPr>
          <w:rFonts w:ascii="Arial" w:eastAsia="Arial" w:hAnsi="Arial" w:cs="Arial"/>
          <w:sz w:val="20"/>
          <w:szCs w:val="20"/>
        </w:rPr>
        <w:instrText>ADDIN CSL_CITATION {"citationItems":[{"id":"ITEM-1","itemData":{"DOI":"https://doi.org/10.3390/su16114377","ISSN":"20711050","abstract":"This paper investigates the incorporation of sustainable development within the Portuguese agri-food sector amid global environmental and resource challenges. It underscores the role of the Sustainable Development Goals (SDGs) and environmental, social, and governance (ESG) criteria in steering businesses towards sustainable practices. Through qualitative analysis, in-depth interviews with managers and experts explored sustainable business model adoption, highlighting SMEs’ unique challenges. The study reveals a divergence in sustainability practice maturity, advocating for integration into organizational culture and strategy. It points out SMEs’ reactive stance due to resource constraints and external pressures, contrasting with larger firms’ proactive approaches. The research supports a strategic reevaluation of business models for sustainability, emphasizing innovation, leadership, organizational commitment, and transparent communication. Practical contributions include embedding sustainability into core operations, enhancing competitiveness, fostering sustainable organizational culture, prioritizing employee well-being, and leveraging innovative marketing for sustainability communication. Recognizing its limitations, this study advocates exploring blockchain and AI for transparency, leadership’s role in sustainable models, and the importance of marketing in the agri-food sector for sustainable management. Insights indicate that innovation and strategic partnerships are crucial for enhancing organizational sustainability and achieving the SDGs.","author":[{"dropping-particle":"","family":"Camelo","given":"Gonçalo","non-dropping-particle":"","parse-names":false,"suffix":""},{"dropping-particle":"","family":"Nogueira","given":"Mafalda","non-dropping-particle":"","parse-names":false,"suffix":""}],"container-title":"Sustainability (Switzerland)","id":"ITEM-1","issue":"11","issued":{"date-parts":[["2024"]]},"title":"The ESG Menu: Integrating Sustainable Practices in the Portuguese Agri-Food Sector","type":"article-journal","volume":"16"},"uris":["http://www.mendeley.com/documents/?uuid=a509d32a-b739-4e9a-8b7c-acda6a44c797"]}],"mendeley":{"formattedCitation":"[4]","plainTextFormattedCitation":"[4]","previouslyFormattedCitation":"[4]"},"properties":{"noteIndex":0},"schema":"https://github.com/citation-style-language/schema/raw/master/csl-citation.json"}</w:instrText>
      </w:r>
      <w:r>
        <w:rPr>
          <w:rFonts w:ascii="Arial" w:eastAsia="Arial" w:hAnsi="Arial" w:cs="Arial"/>
          <w:sz w:val="20"/>
          <w:szCs w:val="20"/>
        </w:rPr>
        <w:fldChar w:fldCharType="separate"/>
      </w:r>
      <w:r w:rsidRPr="008941D3">
        <w:rPr>
          <w:rFonts w:ascii="Arial" w:eastAsia="Arial" w:hAnsi="Arial" w:cs="Arial"/>
          <w:noProof/>
          <w:sz w:val="20"/>
          <w:szCs w:val="20"/>
        </w:rPr>
        <w:t>[4]</w:t>
      </w:r>
      <w:r>
        <w:rPr>
          <w:rFonts w:ascii="Arial" w:eastAsia="Arial" w:hAnsi="Arial" w:cs="Arial"/>
          <w:sz w:val="20"/>
          <w:szCs w:val="20"/>
        </w:rPr>
        <w:fldChar w:fldCharType="end"/>
      </w:r>
      <w:r w:rsidRPr="00294B01">
        <w:rPr>
          <w:rFonts w:ascii="Arial" w:hAnsi="Arial" w:cs="Arial"/>
          <w:bCs/>
          <w:sz w:val="20"/>
          <w:szCs w:val="20"/>
        </w:rPr>
        <w:t>.</w:t>
      </w:r>
      <w:r w:rsidRPr="00294B01">
        <w:t xml:space="preserve"> </w:t>
      </w:r>
      <w:r w:rsidRPr="00294B01">
        <w:rPr>
          <w:rFonts w:ascii="Arial" w:hAnsi="Arial" w:cs="Arial"/>
          <w:bCs/>
          <w:sz w:val="20"/>
          <w:szCs w:val="20"/>
        </w:rPr>
        <w:t>The development of environmentally friendly products in SMEs can be carried out in a real way with a sustainable approach by integrating it into the product life cycle. In addition, this integration needs to be supported by innovation, environmental awareness and a planned production strategy</w:t>
      </w:r>
      <w:r>
        <w:rPr>
          <w:rFonts w:ascii="Arial" w:hAnsi="Arial" w:cs="Arial"/>
          <w:bCs/>
          <w:sz w:val="20"/>
          <w:szCs w:val="20"/>
        </w:rPr>
        <w:t xml:space="preserve"> </w:t>
      </w:r>
      <w:r>
        <w:rPr>
          <w:rFonts w:ascii="Arial" w:eastAsia="Arial" w:hAnsi="Arial" w:cs="Arial"/>
          <w:sz w:val="20"/>
          <w:szCs w:val="20"/>
        </w:rPr>
        <w:fldChar w:fldCharType="begin" w:fldLock="1"/>
      </w:r>
      <w:r w:rsidR="008516C5">
        <w:rPr>
          <w:rFonts w:ascii="Arial" w:eastAsia="Arial" w:hAnsi="Arial" w:cs="Arial"/>
          <w:sz w:val="20"/>
          <w:szCs w:val="20"/>
        </w:rPr>
        <w:instrText>ADDIN CSL_CITATION {"citationItems":[{"id":"ITEM-1","itemData":{"DOI":"http://dx.doi.org/10. 28991/HEF-2023-04-04-03","ISSN":"27852997","abstract":"This qualitative study aims to investigate the Triple Layered Business Model Canvas (TLBMC) strategy to drive environmental progress within the Indonesian fashion industry. Employing the descriptive phenomenological method, the research focuses on applying the TLBMC model to enhance the environmental sustainability of Micro, Small, and Medium Enterprises (MSMEs) in Yan An. The Yan An case study serves as a practical illustration, demonstrating the successful implementation of the TLBMC model and offering valuable insights into sustainable solutions for challenges faced by the Indonesian fashion industry. In contributing to the existing literature, this study introduces and applies the TLBMC strategy as an innovative approach to address environmental and competitiveness challenges within the Indonesian fashion industry. The research emphasizes the urgent need for a cost-effective and environmentally friendly business strategy, considering the industry’s substantial contribution to environmental issues, accounting for 20% of global wastewater production. The changing consumer perceptions, where fashion is seen as a symbol of social status, have fueled rapid industry growth and intensified challenges for local fashion products, especially those from small and medium-sized enterprises (SMEs). The study underscores the critical importance of embracing sustainable business practices in the dynamic landscape of the Indonesian fashion industry.","author":[{"dropping-particle":"","family":"Hurriyati","given":"Ratih","non-dropping-particle":"","parse-names":false,"suffix":""},{"dropping-particle":"","family":"Dagustani","given":"Dani","non-dropping-particle":"","parse-names":false,"suffix":""},{"dropping-particle":"","family":"Surachim","given":"Ahim","non-dropping-particle":"","parse-names":false,"suffix":""},{"dropping-particle":"","family":"Sulastri","given":"S.","non-dropping-particle":"","parse-names":false,"suffix":""},{"dropping-particle":"","family":"Lisnawati","given":"L.","non-dropping-particle":"","parse-names":false,"suffix":""}],"container-title":"Journal of Human, Earth, and Future","id":"ITEM-1","issue":"4","issued":{"date-parts":[["2023"]]},"page":"411-423","title":"Triple-Layered Business Model Canvas Environment Based in the Fashion Industry","type":"article-journal","volume":"4"},"uris":["http://www.mendeley.com/documents/?uuid=aaf14e7b-8381-4c97-a5a5-abc0866d6728"]}],"mendeley":{"formattedCitation":"[33]","plainTextFormattedCitation":"[33]","previouslyFormattedCitation":"[33]"},"properties":{"noteIndex":0},"schema":"https://github.com/citation-style-language/schema/raw/master/csl-citation.json"}</w:instrText>
      </w:r>
      <w:r>
        <w:rPr>
          <w:rFonts w:ascii="Arial" w:eastAsia="Arial" w:hAnsi="Arial" w:cs="Arial"/>
          <w:sz w:val="20"/>
          <w:szCs w:val="20"/>
        </w:rPr>
        <w:fldChar w:fldCharType="separate"/>
      </w:r>
      <w:r w:rsidRPr="00D24170">
        <w:rPr>
          <w:rFonts w:ascii="Arial" w:eastAsia="Arial" w:hAnsi="Arial" w:cs="Arial"/>
          <w:noProof/>
          <w:sz w:val="20"/>
          <w:szCs w:val="20"/>
        </w:rPr>
        <w:t>[33]</w:t>
      </w:r>
      <w:r>
        <w:rPr>
          <w:rFonts w:ascii="Arial" w:eastAsia="Arial" w:hAnsi="Arial" w:cs="Arial"/>
          <w:sz w:val="20"/>
          <w:szCs w:val="20"/>
        </w:rPr>
        <w:fldChar w:fldCharType="end"/>
      </w:r>
      <w:r w:rsidRPr="00294B01">
        <w:rPr>
          <w:rFonts w:ascii="Arial" w:hAnsi="Arial" w:cs="Arial"/>
          <w:bCs/>
          <w:sz w:val="20"/>
          <w:szCs w:val="20"/>
        </w:rPr>
        <w:t>.</w:t>
      </w:r>
    </w:p>
    <w:p w:rsidR="00294B01" w:rsidRDefault="00294B01" w:rsidP="00294B01">
      <w:pPr>
        <w:spacing w:after="0" w:line="240" w:lineRule="auto"/>
        <w:jc w:val="both"/>
        <w:rPr>
          <w:rFonts w:ascii="Arial" w:hAnsi="Arial" w:cs="Arial"/>
          <w:bCs/>
          <w:sz w:val="20"/>
          <w:szCs w:val="20"/>
        </w:rPr>
      </w:pPr>
    </w:p>
    <w:p w:rsidR="00294B01" w:rsidRDefault="00294B01" w:rsidP="00294B01">
      <w:pPr>
        <w:spacing w:after="0" w:line="240" w:lineRule="auto"/>
        <w:jc w:val="both"/>
        <w:rPr>
          <w:rFonts w:ascii="Arial" w:hAnsi="Arial" w:cs="Arial"/>
          <w:b/>
          <w:bCs/>
          <w:color w:val="1F4E79"/>
          <w:sz w:val="20"/>
          <w:szCs w:val="20"/>
        </w:rPr>
      </w:pPr>
      <w:r>
        <w:rPr>
          <w:rFonts w:ascii="Arial" w:hAnsi="Arial" w:cs="Arial"/>
          <w:b/>
          <w:bCs/>
          <w:color w:val="1F4E79"/>
          <w:sz w:val="20"/>
          <w:szCs w:val="20"/>
        </w:rPr>
        <w:t>Technology Di</w:t>
      </w:r>
      <w:r w:rsidR="00DC01B9">
        <w:rPr>
          <w:rFonts w:ascii="Arial" w:hAnsi="Arial" w:cs="Arial"/>
          <w:b/>
          <w:bCs/>
          <w:color w:val="1F4E79"/>
          <w:sz w:val="20"/>
          <w:szCs w:val="20"/>
        </w:rPr>
        <w:t>men</w:t>
      </w:r>
      <w:r>
        <w:rPr>
          <w:rFonts w:ascii="Arial" w:hAnsi="Arial" w:cs="Arial"/>
          <w:b/>
          <w:bCs/>
          <w:color w:val="1F4E79"/>
          <w:sz w:val="20"/>
          <w:szCs w:val="20"/>
        </w:rPr>
        <w:t>sions</w:t>
      </w:r>
    </w:p>
    <w:p w:rsidR="00294B01" w:rsidRPr="00294B01" w:rsidRDefault="00E86CBD" w:rsidP="00E86CBD">
      <w:pPr>
        <w:spacing w:after="0" w:line="240" w:lineRule="auto"/>
        <w:ind w:firstLine="567"/>
        <w:jc w:val="both"/>
        <w:rPr>
          <w:rFonts w:ascii="Arial" w:hAnsi="Arial" w:cs="Arial"/>
          <w:bCs/>
          <w:sz w:val="20"/>
          <w:szCs w:val="20"/>
        </w:rPr>
      </w:pPr>
      <w:r w:rsidRPr="00E86CBD">
        <w:rPr>
          <w:rFonts w:ascii="Arial" w:hAnsi="Arial" w:cs="Arial"/>
          <w:bCs/>
          <w:sz w:val="20"/>
          <w:szCs w:val="20"/>
        </w:rPr>
        <w:t>Technological innovation is an important foundation that can help business actors manage resources more efficiently, reduce waste and increase productivity, with the use of technologies such as digital transformation, AI, ICT and data analytics enabling SMEs to collect, analyze and utilize them to support better and more responsive decision making</w:t>
      </w:r>
      <w:r>
        <w:rPr>
          <w:rFonts w:ascii="Arial" w:hAnsi="Arial" w:cs="Arial"/>
          <w:bCs/>
          <w:sz w:val="20"/>
          <w:szCs w:val="20"/>
        </w:rPr>
        <w:t xml:space="preserve"> </w:t>
      </w:r>
      <w:r>
        <w:rPr>
          <w:rFonts w:ascii="Arial" w:eastAsia="Arial" w:hAnsi="Arial" w:cs="Arial"/>
          <w:sz w:val="20"/>
          <w:szCs w:val="20"/>
        </w:rPr>
        <w:fldChar w:fldCharType="begin" w:fldLock="1"/>
      </w:r>
      <w:r>
        <w:rPr>
          <w:rFonts w:ascii="Arial" w:eastAsia="Arial" w:hAnsi="Arial" w:cs="Arial"/>
          <w:sz w:val="20"/>
          <w:szCs w:val="20"/>
        </w:rPr>
        <w:instrText>ADDIN CSL_CITATION {"citationItems":[{"id":"ITEM-1","itemData":{"DOI":"https://doi.org/10.3390/ su15129387 Academic","ISSN":"20711050","abstract":"The primary objective of this study is the development of an integrated framework for sustainable development in agri-food Small and Medium Enterprises (SMEs) with a variety of production types. Dealing with the significant research problem of defining a successful record-keeping system, as this is the foundation of an integrated information framework in agri-food SMEs, this research identifies and explicates the several conceptual, methodological, organizational, and technical concerns related to the data collection, processing, and recording, as well as information generation in agri-food SMEs. Two main fields of research are distinguished: the micro-level, which is related to the monitoring of agri-food SMEs, and the macro-level, which relates to the collection, processing, and collective interpretation of different types of data. The findings show how the creation of a database for all levels of analysis, primarily business analyses, followed by an analysis of the development of the agri-food sector, as a whole and by individual regions and branches, etc., constitutes the basis for the effective operation and ongoing improvement of an integrated framework for the sustainable development of agri-food SMEs. Methodologically, this study employs the system approach, system analysis, and synthesis sequence to produce business, economic, and social findings of theoretical and practicable worth to scholars, executives, and decision makers.","author":[{"dropping-particle":"","family":"Figurek","given":"Aleksandra","non-dropping-particle":"","parse-names":false,"suffix":""},{"dropping-particle":"","family":"Thrassou","given":"Alkis","non-dropping-particle":"","parse-names":false,"suffix":""}],"container-title":"Sustainability (Switzerland)","id":"ITEM-1","issue":"12","issued":{"date-parts":[["2023"]]},"title":"An Integrated Framework for Sustainable Development in Agri-Food SMEs","type":"article-journal","volume":"15"},"uris":["http://www.mendeley.com/documents/?uuid=8c046342-98a6-4a93-b7ac-8e8b9a62a81d"]}],"mendeley":{"formattedCitation":"[17]","plainTextFormattedCitation":"[17]","previouslyFormattedCitation":"[17]"},"properties":{"noteIndex":0},"schema":"https://github.com/citation-style-language/schema/raw/master/csl-citation.json"}</w:instrText>
      </w:r>
      <w:r>
        <w:rPr>
          <w:rFonts w:ascii="Arial" w:eastAsia="Arial" w:hAnsi="Arial" w:cs="Arial"/>
          <w:sz w:val="20"/>
          <w:szCs w:val="20"/>
        </w:rPr>
        <w:fldChar w:fldCharType="separate"/>
      </w:r>
      <w:r w:rsidRPr="00DF74BF">
        <w:rPr>
          <w:rFonts w:ascii="Arial" w:eastAsia="Arial" w:hAnsi="Arial" w:cs="Arial"/>
          <w:noProof/>
          <w:sz w:val="20"/>
          <w:szCs w:val="20"/>
        </w:rPr>
        <w:t>[17]</w:t>
      </w:r>
      <w:r>
        <w:rPr>
          <w:rFonts w:ascii="Arial" w:eastAsia="Arial" w:hAnsi="Arial" w:cs="Arial"/>
          <w:sz w:val="20"/>
          <w:szCs w:val="20"/>
        </w:rPr>
        <w:fldChar w:fldCharType="end"/>
      </w:r>
      <w:r w:rsidRPr="00E86CBD">
        <w:rPr>
          <w:rFonts w:ascii="Arial" w:hAnsi="Arial" w:cs="Arial"/>
          <w:bCs/>
          <w:sz w:val="20"/>
          <w:szCs w:val="20"/>
        </w:rPr>
        <w:t>.</w:t>
      </w:r>
      <w:r>
        <w:rPr>
          <w:rFonts w:ascii="Arial" w:hAnsi="Arial" w:cs="Arial"/>
          <w:bCs/>
          <w:sz w:val="20"/>
          <w:szCs w:val="20"/>
        </w:rPr>
        <w:t xml:space="preserve"> </w:t>
      </w:r>
      <w:r w:rsidRPr="00E86CBD">
        <w:rPr>
          <w:rFonts w:ascii="Arial" w:hAnsi="Arial" w:cs="Arial"/>
          <w:bCs/>
          <w:sz w:val="20"/>
          <w:szCs w:val="20"/>
        </w:rPr>
        <w:t>For SMEs to improve sustainable competitiveness, innovation from technology is needed as a strategic solution. However, SMEs usually face limitations in resources and R&amp;D capacity, so assistance is needed in the form of technology transfer such as assistance in developing new products, improving product standards, digital marketing, and production efficiency</w:t>
      </w:r>
      <w:r>
        <w:rPr>
          <w:rFonts w:ascii="Arial" w:hAnsi="Arial" w:cs="Arial"/>
          <w:bCs/>
          <w:sz w:val="20"/>
          <w:szCs w:val="20"/>
        </w:rPr>
        <w:t xml:space="preserve"> </w:t>
      </w:r>
      <w:r>
        <w:rPr>
          <w:rFonts w:ascii="Arial" w:eastAsia="Arial" w:hAnsi="Arial" w:cs="Arial"/>
          <w:sz w:val="20"/>
          <w:szCs w:val="20"/>
        </w:rPr>
        <w:fldChar w:fldCharType="begin" w:fldLock="1"/>
      </w:r>
      <w:r w:rsidR="008516C5">
        <w:rPr>
          <w:rFonts w:ascii="Arial" w:eastAsia="Arial" w:hAnsi="Arial" w:cs="Arial"/>
          <w:sz w:val="20"/>
          <w:szCs w:val="20"/>
        </w:rPr>
        <w:instrText>ADDIN CSL_CITATION {"citationItems":[{"id":"ITEM-1","itemData":{"DOI":"DOI: https://doi.org/10.34190/ecmlg.18.1.906","ISBN":"9781914587573","ISSN":"2048903X","abstract":"Thailand is implementing the Thailand 4.0 policy that aims to bring technology and innovation to build sustainable competitiveness for the private sector. However, in the context of SMEs, the ability to transfer technology from universities is still a limitation. The objective of this research is to identify the technology assistance needs of SMEs, as well as, to study the key factors that make the technology transfer successful in the context of collaboration between universities, government agencies and SMEs. The sample group of this research is 226 SME entrepreneurs participating in the Boost up New Entrepreneurs with Technology and Innovation Program carried out by The Office of SMEs Promotion and Thammasat University between 2019-2020. The research results indicated that to create sustainable competitiveness, SMEs need technology assistance in 4 areas: (1) enhancing digital marketing capabilities, (2) developing product innovations, (3) raising product standards, and (4) improving production efficiency. In addition, this research also indicated that the technology transfer success factors for SMEs has 3 key elements: (1) a technology transferor who stands out for collaboration between researchers and business consultants, (2)atechnology transferee who has key characteristics of entrepreneur orientation and absorptive capacity of SMEs, and (3)the technology characteristics which can be connected to the original business processes of the organization which is a technology that gives SMEs' products uniqueness that is difficult for competitors in the market to copy.","author":[{"dropping-particle":"","family":"Khongmalai","given":"Orapan","non-dropping-particle":"","parse-names":false,"suffix":""},{"dropping-particle":"","family":"Distanont","given":"Anyanitha","non-dropping-particle":"","parse-names":false,"suffix":""}],"container-title":"Proceedings of the European Conference on Management, Leadership and Governance","id":"ITEM-1","issued":{"date-parts":[["2022"]]},"page":"222-228","title":"Technology Transfer Model to Enhance Sustainable Competitiveness of SMEs","type":"article-journal","volume":"2022-Novem"},"uris":["http://www.mendeley.com/documents/?uuid=98401e0f-17d4-4eb2-ab8c-8ca5bde66391"]}],"mendeley":{"formattedCitation":"[30]","plainTextFormattedCitation":"[30]","previouslyFormattedCitation":"[30]"},"properties":{"noteIndex":0},"schema":"https://github.com/citation-style-language/schema/raw/master/csl-citation.json"}</w:instrText>
      </w:r>
      <w:r>
        <w:rPr>
          <w:rFonts w:ascii="Arial" w:eastAsia="Arial" w:hAnsi="Arial" w:cs="Arial"/>
          <w:sz w:val="20"/>
          <w:szCs w:val="20"/>
        </w:rPr>
        <w:fldChar w:fldCharType="separate"/>
      </w:r>
      <w:r w:rsidRPr="00460EEB">
        <w:rPr>
          <w:rFonts w:ascii="Arial" w:eastAsia="Arial" w:hAnsi="Arial" w:cs="Arial"/>
          <w:noProof/>
          <w:sz w:val="20"/>
          <w:szCs w:val="20"/>
        </w:rPr>
        <w:t>[30]</w:t>
      </w:r>
      <w:r>
        <w:rPr>
          <w:rFonts w:ascii="Arial" w:eastAsia="Arial" w:hAnsi="Arial" w:cs="Arial"/>
          <w:sz w:val="20"/>
          <w:szCs w:val="20"/>
        </w:rPr>
        <w:fldChar w:fldCharType="end"/>
      </w:r>
      <w:r w:rsidRPr="00E86CBD">
        <w:rPr>
          <w:rFonts w:ascii="Arial" w:hAnsi="Arial" w:cs="Arial"/>
          <w:bCs/>
          <w:sz w:val="20"/>
          <w:szCs w:val="20"/>
        </w:rPr>
        <w:t>.</w:t>
      </w:r>
    </w:p>
    <w:p w:rsidR="00294B01" w:rsidRDefault="00294B01" w:rsidP="00294B01">
      <w:pPr>
        <w:spacing w:after="0" w:line="240" w:lineRule="auto"/>
        <w:jc w:val="both"/>
        <w:rPr>
          <w:rFonts w:ascii="Arial" w:hAnsi="Arial" w:cs="Arial"/>
          <w:bCs/>
          <w:sz w:val="20"/>
          <w:szCs w:val="20"/>
        </w:rPr>
      </w:pPr>
    </w:p>
    <w:p w:rsidR="00696D5F" w:rsidRDefault="00E86CBD" w:rsidP="00696D5F">
      <w:pPr>
        <w:spacing w:after="0" w:line="240" w:lineRule="auto"/>
        <w:jc w:val="both"/>
        <w:rPr>
          <w:rFonts w:ascii="Arial" w:hAnsi="Arial" w:cs="Arial"/>
          <w:b/>
          <w:bCs/>
          <w:color w:val="1F4E79"/>
          <w:sz w:val="20"/>
          <w:szCs w:val="20"/>
        </w:rPr>
      </w:pPr>
      <w:r>
        <w:rPr>
          <w:rFonts w:ascii="Arial" w:hAnsi="Arial" w:cs="Arial"/>
          <w:b/>
          <w:bCs/>
          <w:color w:val="1F4E79"/>
          <w:sz w:val="20"/>
          <w:szCs w:val="20"/>
        </w:rPr>
        <w:t>Organization Dimenssions</w:t>
      </w:r>
    </w:p>
    <w:p w:rsidR="00E86CBD" w:rsidRDefault="00E86CBD" w:rsidP="00E86CBD">
      <w:pPr>
        <w:spacing w:after="0" w:line="240" w:lineRule="auto"/>
        <w:ind w:firstLine="567"/>
        <w:jc w:val="both"/>
        <w:rPr>
          <w:rFonts w:ascii="Arial" w:eastAsia="Arial" w:hAnsi="Arial" w:cs="Arial"/>
          <w:sz w:val="20"/>
          <w:szCs w:val="20"/>
        </w:rPr>
      </w:pPr>
      <w:r w:rsidRPr="00E86CBD">
        <w:rPr>
          <w:rFonts w:ascii="Arial" w:hAnsi="Arial" w:cs="Arial"/>
          <w:bCs/>
          <w:sz w:val="20"/>
          <w:szCs w:val="20"/>
        </w:rPr>
        <w:t>An organization is an entity that has resources, capabilities, managerial structures, and strategies that play a role in adopting sustainable practices, where the organization is the key to success in adopting sustainable practices, especially in developing countries</w:t>
      </w:r>
      <w:r>
        <w:rPr>
          <w:rFonts w:ascii="Arial" w:hAnsi="Arial" w:cs="Arial"/>
          <w:bCs/>
          <w:sz w:val="20"/>
          <w:szCs w:val="20"/>
        </w:rPr>
        <w:t xml:space="preserve"> </w:t>
      </w:r>
      <w:r>
        <w:rPr>
          <w:rFonts w:ascii="Arial" w:eastAsia="Arial" w:hAnsi="Arial" w:cs="Arial"/>
          <w:sz w:val="20"/>
          <w:szCs w:val="20"/>
        </w:rPr>
        <w:fldChar w:fldCharType="begin" w:fldLock="1"/>
      </w:r>
      <w:r>
        <w:rPr>
          <w:rFonts w:ascii="Arial" w:eastAsia="Arial" w:hAnsi="Arial" w:cs="Arial"/>
          <w:sz w:val="20"/>
          <w:szCs w:val="20"/>
        </w:rPr>
        <w:instrText>ADDIN CSL_CITATION {"citationItems":[{"id":"ITEM-1","itemData":{"DOI":"http://dx.doi.org/10.36096/ijbes.v6i1.465","abstract":"This study aims to explore key drivers of tourism sustainability practices and their impact on the sustainable competitive performance of the tourism accommodation industry. The study adopts an exploratory research design under qualitative research, using semi-structured interviewing of owners and managers of tourism accommodation firms using the TOE framework and RBV theory. The findings reveal that technological sustainability expertise, executive sustainability support, organizational resources and capability, service intermediary sustainability practices, collaborative innovation adoption capability, tourism sustainability regulatory policy, and sustainability practices perceived by residents are the key drivers of TSP. The outcomes also show that tourism sustainability practices have a positive impact on the SCP of accommodation firms. This study makes a theoretical contribution to the literature on tourism sustainability by exploring how TOE antecedents motivate firms to adopt sustainability practices as product innovation, which in turn enhance SCP. Also, this study provides strong backing for the premises of the TOE framework, and RBV theory offers valuable practical insights for managers and owners. This will aid in identifying the pivotal factors influencing TSP and SCP, enabling the implementation of innovative strategies to enhance firm competitiveness. Also, the research can help the government and policymakers formulate sustainable tourism policies to promote tourism innovations. The adoption of sustainable practices has been a focal point for both academic researchers and professionals in the tourism industry. However, there has been insufficient exploration of the TOE drivers that facilitate the integration of tourism sustainability within the context of TAFs in a developing country. Therefore, this study aims to fill this gap in knowledge.","author":[{"dropping-particle":"","family":"Islam","given":"Md Farijul","non-dropping-particle":"","parse-names":false,"suffix":""}],"container-title":"International Journal of Business Ecosystem &amp; Strategy (2687-2293)","id":"ITEM-1","issue":"1","issued":{"date-parts":[["2024"]]},"page":"28-44","title":"Exploring key drivers of tourism sustainability practices and their impact on sustainable competitive performance in the accommodation industry","type":"article-journal","volume":"6"},"uris":["http://www.mendeley.com/documents/?uuid=97152403-85ae-4c1a-803b-922b1defc716"]}],"mendeley":{"formattedCitation":"[18]","plainTextFormattedCitation":"[18]","previouslyFormattedCitation":"[18]"},"properties":{"noteIndex":0},"schema":"https://github.com/citation-style-language/schema/raw/master/csl-citation.json"}</w:instrText>
      </w:r>
      <w:r>
        <w:rPr>
          <w:rFonts w:ascii="Arial" w:eastAsia="Arial" w:hAnsi="Arial" w:cs="Arial"/>
          <w:sz w:val="20"/>
          <w:szCs w:val="20"/>
        </w:rPr>
        <w:fldChar w:fldCharType="separate"/>
      </w:r>
      <w:r w:rsidRPr="00525DA7">
        <w:rPr>
          <w:rFonts w:ascii="Arial" w:eastAsia="Arial" w:hAnsi="Arial" w:cs="Arial"/>
          <w:noProof/>
          <w:sz w:val="20"/>
          <w:szCs w:val="20"/>
        </w:rPr>
        <w:t>[18]</w:t>
      </w:r>
      <w:r>
        <w:rPr>
          <w:rFonts w:ascii="Arial" w:eastAsia="Arial" w:hAnsi="Arial" w:cs="Arial"/>
          <w:sz w:val="20"/>
          <w:szCs w:val="20"/>
        </w:rPr>
        <w:fldChar w:fldCharType="end"/>
      </w:r>
      <w:r w:rsidRPr="00E86CBD">
        <w:rPr>
          <w:rFonts w:ascii="Arial" w:hAnsi="Arial" w:cs="Arial"/>
          <w:bCs/>
          <w:sz w:val="20"/>
          <w:szCs w:val="20"/>
        </w:rPr>
        <w:t>.</w:t>
      </w:r>
      <w:r w:rsidRPr="00E86CBD">
        <w:t xml:space="preserve"> </w:t>
      </w:r>
      <w:r w:rsidRPr="00E86CBD">
        <w:rPr>
          <w:rFonts w:ascii="Arial" w:hAnsi="Arial" w:cs="Arial"/>
          <w:bCs/>
          <w:sz w:val="20"/>
          <w:szCs w:val="20"/>
        </w:rPr>
        <w:t>The main challenges within the organization are related to capacity and management, there are obstacles related to this such as: lack of skilled workers and less than optimal organizational structure, ineffective coordination between stakeholders, limited financial resources and technological infrastructure</w:t>
      </w:r>
      <w:r>
        <w:rPr>
          <w:rFonts w:ascii="Arial" w:hAnsi="Arial" w:cs="Arial"/>
          <w:bCs/>
          <w:sz w:val="20"/>
          <w:szCs w:val="20"/>
        </w:rPr>
        <w:t xml:space="preserve"> </w:t>
      </w:r>
      <w:r>
        <w:rPr>
          <w:rFonts w:ascii="Arial" w:eastAsia="Arial" w:hAnsi="Arial" w:cs="Arial"/>
          <w:sz w:val="20"/>
          <w:szCs w:val="20"/>
        </w:rPr>
        <w:fldChar w:fldCharType="begin" w:fldLock="1"/>
      </w:r>
      <w:r>
        <w:rPr>
          <w:rFonts w:ascii="Arial" w:eastAsia="Arial" w:hAnsi="Arial" w:cs="Arial"/>
          <w:sz w:val="20"/>
          <w:szCs w:val="20"/>
        </w:rPr>
        <w:instrText>ADDIN CSL_CITATION {"citationItems":[{"id":"ITEM-1","itemData":{"DOI":"https://doi.org/10.32479/irmm.16103","ISSN":"21464405","abstract":"This study investigates the impact and operational challenges of the Shared Service Facility (SSF) for Micro, Small, and Medium Enterprises (MSMEs) in the Philippines, focusing on enhancing MSME competitiveness and sustainability. Through a mixed-methods approach, including surveys, interviews, and data analysis, the study assesses the SSF’s effectiveness in supporting MSMEs and identifies key challenges hindering its operation. The findings reveal significant improvements in MSMEs’ access to resources, innovation capacity, and market competitiveness following SSF assistance. However, logistical, managerial, and resource-related challenges pose significant hurdles to the SSF’s operational efficiency and effectiveness. To address these challenges, a comprehensive Strategic Plan is formulated, outlining key actions to improve logistical efficiency, enhance managerial effectiveness, strengthen financial sustainability, upgrade technological infrastructure, and foster collaboration and partnerships. Implementation of these strategic initiatives is crucial for optimizing the SSF’s operation, enhancing its impact on MSME competitiveness, and ensuring long-term sustainability. Overall, this study contributes valuable insights into the role of the SSF in fostering MSME development and economic growth in the Philippines, highlighting the importance of targeted interventions and collaborative efforts to support inclusive and sustainable development.","author":[{"dropping-particle":"","family":"Armas","given":"Kenneth L.","non-dropping-particle":"","parse-names":false,"suffix":""},{"dropping-particle":"Dela","family":"Cruz","given":"Catherine","non-dropping-particle":"","parse-names":false,"suffix":""},{"dropping-particle":"","family":"Navarro","given":"Jonas Emmanuel","non-dropping-particle":"","parse-names":false,"suffix":""},{"dropping-particle":"","family":"Viloria","given":"Vivien","non-dropping-particle":"","parse-names":false,"suffix":""}],"container-title":"International Review of Management and Marketing","id":"ITEM-1","issue":"3","issued":{"date-parts":[["2024"]]},"page":"65-73","title":"Triple Helix for Sustainable Development Goals: An Impact Assessment of Shared Service Facility for Micro, Small, and Medium Enterprises Competitiveness in the Philippines","type":"article-journal","volume":"14"},"uris":["http://www.mendeley.com/documents/?uuid=f1d1f46c-5bd6-4eff-b6f5-09bb992f0dee"]}],"mendeley":{"formattedCitation":"[20]","plainTextFormattedCitation":"[20]","previouslyFormattedCitation":"[20]"},"properties":{"noteIndex":0},"schema":"https://github.com/citation-style-language/schema/raw/master/csl-citation.json"}</w:instrText>
      </w:r>
      <w:r>
        <w:rPr>
          <w:rFonts w:ascii="Arial" w:eastAsia="Arial" w:hAnsi="Arial" w:cs="Arial"/>
          <w:sz w:val="20"/>
          <w:szCs w:val="20"/>
        </w:rPr>
        <w:fldChar w:fldCharType="separate"/>
      </w:r>
      <w:r w:rsidRPr="00277E36">
        <w:rPr>
          <w:rFonts w:ascii="Arial" w:eastAsia="Arial" w:hAnsi="Arial" w:cs="Arial"/>
          <w:noProof/>
          <w:sz w:val="20"/>
          <w:szCs w:val="20"/>
        </w:rPr>
        <w:t>[20]</w:t>
      </w:r>
      <w:r>
        <w:rPr>
          <w:rFonts w:ascii="Arial" w:eastAsia="Arial" w:hAnsi="Arial" w:cs="Arial"/>
          <w:sz w:val="20"/>
          <w:szCs w:val="20"/>
        </w:rPr>
        <w:fldChar w:fldCharType="end"/>
      </w:r>
      <w:r w:rsidRPr="00E86CBD">
        <w:rPr>
          <w:rFonts w:ascii="Arial" w:hAnsi="Arial" w:cs="Arial"/>
          <w:bCs/>
          <w:sz w:val="20"/>
          <w:szCs w:val="20"/>
        </w:rPr>
        <w:t>.</w:t>
      </w:r>
      <w:r w:rsidR="00593099">
        <w:rPr>
          <w:rFonts w:ascii="Arial" w:hAnsi="Arial" w:cs="Arial"/>
          <w:bCs/>
          <w:sz w:val="20"/>
          <w:szCs w:val="20"/>
        </w:rPr>
        <w:t xml:space="preserve"> </w:t>
      </w:r>
      <w:r w:rsidR="00593099" w:rsidRPr="00593099">
        <w:rPr>
          <w:rFonts w:ascii="Arial" w:hAnsi="Arial" w:cs="Arial"/>
          <w:bCs/>
          <w:sz w:val="20"/>
          <w:szCs w:val="20"/>
        </w:rPr>
        <w:t>To increase the competitiveness of SMEs sustainably in the current digital era, SMEs also need to have adequate Information and Communication Technology (ICT). Without this, SMEs will have difficulty competing, be slow to innovate and lose dynamic market opportunities</w:t>
      </w:r>
      <w:r w:rsidR="00593099">
        <w:rPr>
          <w:rFonts w:ascii="Arial" w:hAnsi="Arial" w:cs="Arial"/>
          <w:bCs/>
          <w:sz w:val="20"/>
          <w:szCs w:val="20"/>
        </w:rPr>
        <w:t xml:space="preserve"> </w:t>
      </w:r>
      <w:r w:rsidR="00593099">
        <w:rPr>
          <w:rFonts w:ascii="Arial" w:eastAsia="Arial" w:hAnsi="Arial" w:cs="Arial"/>
          <w:sz w:val="20"/>
          <w:szCs w:val="20"/>
        </w:rPr>
        <w:fldChar w:fldCharType="begin" w:fldLock="1"/>
      </w:r>
      <w:r w:rsidR="00593099">
        <w:rPr>
          <w:rFonts w:ascii="Arial" w:eastAsia="Arial" w:hAnsi="Arial" w:cs="Arial"/>
          <w:sz w:val="20"/>
          <w:szCs w:val="20"/>
        </w:rPr>
        <w:instrText>ADDIN CSL_CITATION {"citationItems":[{"id":"ITEM-1","itemData":{"DOI":"https://doi.org/10.3390/su152316325","abstract":"The main purpose of this research paper is to investigate the role of information and communication technology (ICT) in providing small and medium-sized enterprises (SMEs) with a competitive advantage. To do this, we propose five dimensions to detect ICT (human resources, equipment and devices, databases, software, and networks) and four dimensions (service quality, market control, creativity and development, and operational efficiency) to decide competitive advantage. To achieve this paper’s purposes, a questionnaire was developed to collect data from respondents to a sample of 128 subjects by using the Statistical Package for Social Sciences (SPSS) for the survey data analysis. Several methods have been used in the statistical analysis of the data, including descriptive statistics tests, a normal distribution test (one-sample Kolmogorov–Smirnov test), simple linear regression coefficient (simple regression), variance analysis (one-way ANOVA), and a T-test for independent samples. This study reports a series of findings, underlined by the significant role of ICT with its various dimensions and the competitive advantage of SMEs. This study concludes with several suggestions including that SMEs must increase their investments in ICT components and take more care of creativity and development for the preemption to create new services.","author":[{"dropping-particle":"","family":"Kahouli","given":"Bassem","non-dropping-particle":"","parse-names":false,"suffix":""},{"dropping-particle":"","family":"Nafla","given":"Amine","non-dropping-particle":"","parse-names":false,"suffix":""},{"dropping-particle":"","family":"Chaaben","given":"Nahla","non-dropping-particle":"","parse-names":false,"suffix":""}],"container-title":"Sustainability","id":"ITEM-1","issue":"16325","issued":{"date-parts":[["2023"]]},"page":"1-19","title":"Exploring the Influence of the Information and Communication Technology Dimensions on the Sustainability of Competitiveness in Small and Medium-sized Enterprises in the Hail Region","type":"article-journal","volume":"15"},"uris":["http://www.mendeley.com/documents/?uuid=043dbef2-37b9-4610-8f19-1d2b1bdba940"]}],"mendeley":{"formattedCitation":"[1]","plainTextFormattedCitation":"[1]","previouslyFormattedCitation":"[1]"},"properties":{"noteIndex":0},"schema":"https://github.com/citation-style-language/schema/raw/master/csl-citation.json"}</w:instrText>
      </w:r>
      <w:r w:rsidR="00593099">
        <w:rPr>
          <w:rFonts w:ascii="Arial" w:eastAsia="Arial" w:hAnsi="Arial" w:cs="Arial"/>
          <w:sz w:val="20"/>
          <w:szCs w:val="20"/>
        </w:rPr>
        <w:fldChar w:fldCharType="separate"/>
      </w:r>
      <w:r w:rsidR="00593099" w:rsidRPr="00834AF3">
        <w:rPr>
          <w:rFonts w:ascii="Arial" w:eastAsia="Arial" w:hAnsi="Arial" w:cs="Arial"/>
          <w:noProof/>
          <w:sz w:val="20"/>
          <w:szCs w:val="20"/>
        </w:rPr>
        <w:t>[1]</w:t>
      </w:r>
      <w:r w:rsidR="00593099">
        <w:rPr>
          <w:rFonts w:ascii="Arial" w:eastAsia="Arial" w:hAnsi="Arial" w:cs="Arial"/>
          <w:sz w:val="20"/>
          <w:szCs w:val="20"/>
        </w:rPr>
        <w:fldChar w:fldCharType="end"/>
      </w:r>
      <w:r w:rsidR="00593099">
        <w:rPr>
          <w:rFonts w:ascii="Arial" w:eastAsia="Arial" w:hAnsi="Arial" w:cs="Arial"/>
          <w:sz w:val="20"/>
          <w:szCs w:val="20"/>
        </w:rPr>
        <w:t>.</w:t>
      </w:r>
    </w:p>
    <w:p w:rsidR="00593099" w:rsidRPr="00E86CBD" w:rsidRDefault="00593099" w:rsidP="00E86CBD">
      <w:pPr>
        <w:spacing w:after="0" w:line="240" w:lineRule="auto"/>
        <w:ind w:firstLine="567"/>
        <w:jc w:val="both"/>
        <w:rPr>
          <w:rFonts w:ascii="Arial" w:hAnsi="Arial" w:cs="Arial"/>
          <w:bCs/>
          <w:sz w:val="20"/>
          <w:szCs w:val="20"/>
        </w:rPr>
      </w:pPr>
      <w:r w:rsidRPr="00593099">
        <w:rPr>
          <w:rFonts w:ascii="Arial" w:hAnsi="Arial" w:cs="Arial"/>
          <w:bCs/>
          <w:sz w:val="20"/>
          <w:szCs w:val="20"/>
        </w:rPr>
        <w:t>Support the success of information management, knowledge and intellectual capital development in SMEs is influenced by organizational culture, where this organizational culture is included in the context of the SMEs network, namely creating a collaborative culture, being open to learning and encouraging trust between network members so that it can facilitate the creation and exchange of knowledge effectively</w:t>
      </w:r>
      <w:r>
        <w:rPr>
          <w:rFonts w:ascii="Arial" w:hAnsi="Arial" w:cs="Arial"/>
          <w:bCs/>
          <w:sz w:val="20"/>
          <w:szCs w:val="20"/>
        </w:rPr>
        <w:t xml:space="preserve"> </w:t>
      </w:r>
      <w:r>
        <w:rPr>
          <w:rFonts w:ascii="Arial" w:eastAsia="Arial" w:hAnsi="Arial" w:cs="Arial"/>
          <w:sz w:val="20"/>
          <w:szCs w:val="20"/>
        </w:rPr>
        <w:fldChar w:fldCharType="begin" w:fldLock="1"/>
      </w:r>
      <w:r w:rsidR="008516C5">
        <w:rPr>
          <w:rFonts w:ascii="Arial" w:eastAsia="Arial" w:hAnsi="Arial" w:cs="Arial"/>
          <w:sz w:val="20"/>
          <w:szCs w:val="20"/>
        </w:rPr>
        <w:instrText>ADDIN CSL_CITATION {"citationItems":[{"id":"ITEM-1","itemData":{"DOI":"https://doi.org/10.1007/s13132-022-01043-5","ISBN":"0123456789","ISSN":"18687873","abstract":"This paper aims to analyze the strategic effects of the association of small and medium-sized enterprises (SMEs) in knowledge networks (k-networks) on their information and knowledge management (IKM) and intellectual capital (IC). Taking as the object of study two innovative and successful Brazilian experiences, a descriptive survey with top-level executives (managing partners, presidents, and executive directors — henceforth CEOs) was held. Based on theories of management and economics, the findings revealed (i) that the network formation process (encompassing culture, context, incentives for information and knowledge sharing and especially strategy) is an important factor to explain IKM (for creating, systematizing and sharing data, information and knowledge) and IC in its three dimensions (human, relational and structural capital), promoting long-term sustainable growth (perceived by improvements in innovation, competitiveness and corporate results) for SMEs and their networks — a very relevant issue, but whose theoretical and managerial understanding is very incipient in international literature, especially in emerging economies.","author":[{"dropping-particle":"","family":"Jordão","given":"Ricardo Vinícius Dias","non-dropping-particle":"","parse-names":false,"suffix":""},{"dropping-particle":"","family":"Novas","given":"Jorge Casas","non-dropping-particle":"","parse-names":false,"suffix":""}],"container-title":"Journal of the Knowledge Economy","id":"ITEM-1","issue":"1","issued":{"date-parts":[["2024"]]},"page":"563-595","publisher":"Springer US","title":"Information and Knowledge Management, Intellectual Capital, and Sustainable Growth in Networked Small and Medium Enterprises","type":"article-journal","volume":"15"},"uris":["http://www.mendeley.com/documents/?uuid=b1040710-1b3c-4079-b801-300ef8fbf19c"]}],"mendeley":{"formattedCitation":"[34]","plainTextFormattedCitation":"[34]","previouslyFormattedCitation":"[34]"},"properties":{"noteIndex":0},"schema":"https://github.com/citation-style-language/schema/raw/master/csl-citation.json"}</w:instrText>
      </w:r>
      <w:r>
        <w:rPr>
          <w:rFonts w:ascii="Arial" w:eastAsia="Arial" w:hAnsi="Arial" w:cs="Arial"/>
          <w:sz w:val="20"/>
          <w:szCs w:val="20"/>
        </w:rPr>
        <w:fldChar w:fldCharType="separate"/>
      </w:r>
      <w:r w:rsidRPr="003B393C">
        <w:rPr>
          <w:rFonts w:ascii="Arial" w:eastAsia="Arial" w:hAnsi="Arial" w:cs="Arial"/>
          <w:noProof/>
          <w:sz w:val="20"/>
          <w:szCs w:val="20"/>
        </w:rPr>
        <w:t>[34]</w:t>
      </w:r>
      <w:r>
        <w:rPr>
          <w:rFonts w:ascii="Arial" w:eastAsia="Arial" w:hAnsi="Arial" w:cs="Arial"/>
          <w:sz w:val="20"/>
          <w:szCs w:val="20"/>
        </w:rPr>
        <w:fldChar w:fldCharType="end"/>
      </w:r>
      <w:r w:rsidRPr="00593099">
        <w:rPr>
          <w:rFonts w:ascii="Arial" w:hAnsi="Arial" w:cs="Arial"/>
          <w:bCs/>
          <w:sz w:val="20"/>
          <w:szCs w:val="20"/>
        </w:rPr>
        <w:t>.</w:t>
      </w:r>
      <w:r>
        <w:rPr>
          <w:rFonts w:ascii="Arial" w:hAnsi="Arial" w:cs="Arial"/>
          <w:bCs/>
          <w:sz w:val="20"/>
          <w:szCs w:val="20"/>
        </w:rPr>
        <w:t xml:space="preserve"> </w:t>
      </w:r>
      <w:r w:rsidRPr="00593099">
        <w:rPr>
          <w:rFonts w:ascii="Arial" w:hAnsi="Arial" w:cs="Arial"/>
          <w:bCs/>
          <w:sz w:val="20"/>
          <w:szCs w:val="20"/>
        </w:rPr>
        <w:t>In developing or increasing the sustainable competitiveness of SMEs, the main foundation in this sustainability practice requires commitment from management. This must be aligned with business objectives that lead to and apply sustainability practices</w:t>
      </w:r>
      <w:r>
        <w:rPr>
          <w:rFonts w:ascii="Arial" w:hAnsi="Arial" w:cs="Arial"/>
          <w:bCs/>
          <w:sz w:val="20"/>
          <w:szCs w:val="20"/>
        </w:rPr>
        <w:t xml:space="preserve"> </w:t>
      </w:r>
      <w:r>
        <w:rPr>
          <w:rFonts w:ascii="Arial" w:eastAsia="Arial" w:hAnsi="Arial" w:cs="Arial"/>
          <w:sz w:val="20"/>
          <w:szCs w:val="20"/>
        </w:rPr>
        <w:fldChar w:fldCharType="begin" w:fldLock="1"/>
      </w:r>
      <w:r>
        <w:rPr>
          <w:rFonts w:ascii="Arial" w:eastAsia="Arial" w:hAnsi="Arial" w:cs="Arial"/>
          <w:sz w:val="20"/>
          <w:szCs w:val="20"/>
        </w:rPr>
        <w:instrText>ADDIN CSL_CITATION {"citationItems":[{"id":"ITEM-1","itemData":{"DOI":"https://doi.org/10.24294/jipd.v8i12.8934","ISSN":"25727931","abstract":"The significant climate change the planet has faced in recent decades has prompted global leaders, policymakers, business leaders, environmentalists, academics, and scientists from around the world to unite their efforts since 1987 around sustainable development. This development not only promotes economic sustainability but also environmental, social, and corporate sustainability, where clean production, responsible consumption, and sustainable infrastructures prevail. In this context, the present article aims to propose a development framework for sustainability in food sector SMEs, which includes Life Cycle Assessment (LCA) and the integration of Environmental, Social, and Governance (ESG) strategies as key elements to reduce CO2 emissions and improve operational efficiency. The methodology includes a comparative analysis of strategies implemented between 2019 and 2023, supported by quantitative data showing a 20% reduction in operating costs, a 10% increase in market share, and a 25% increase in productivity for companies that adopted clean technologies. This study offers a significant contribution to the field of corporate sustainability, providing a model that is adaptable and applicable across different regions, enhancing innovation and business resilience in a global context that requires collective efforts to achieve the sustainable development goals.","author":[{"dropping-particle":"","family":"Pinedo-López","given":"Jhon","non-dropping-particle":"","parse-names":false,"suffix":""},{"dropping-particle":"","family":"Baena-Navarro","given":"Rubén","non-dropping-particle":"","parse-names":false,"suffix":""},{"dropping-particle":"","family":"Carriazo-Regino","given":"Yulieth","non-dropping-particle":"","parse-names":false,"suffix":""},{"dropping-particle":"","family":"Urrea-Ortiz","given":"Adriana","non-dropping-particle":"","parse-names":false,"suffix":""},{"dropping-particle":"","family":"Reyes-Guevara","given":"Diana","non-dropping-particle":"","parse-names":false,"suffix":""}],"container-title":"Journal of Infrastructure, Policy and Development","id":"ITEM-1","issue":"12","issued":{"date-parts":[["2024"]]},"page":"1-30","title":"Sustainability strategies: A proposal for food sector SMEs, based on the integration of life cycle assessment and ESG strategies","type":"article-journal","volume":"8"},"uris":["http://www.mendeley.com/documents/?uuid=30884c61-e18e-4c01-9993-bfd213a38150"]}],"mendeley":{"formattedCitation":"[3]","plainTextFormattedCitation":"[3]","previouslyFormattedCitation":"[3]"},"properties":{"noteIndex":0},"schema":"https://github.com/citation-style-language/schema/raw/master/csl-citation.json"}</w:instrText>
      </w:r>
      <w:r>
        <w:rPr>
          <w:rFonts w:ascii="Arial" w:eastAsia="Arial" w:hAnsi="Arial" w:cs="Arial"/>
          <w:sz w:val="20"/>
          <w:szCs w:val="20"/>
        </w:rPr>
        <w:fldChar w:fldCharType="separate"/>
      </w:r>
      <w:r w:rsidRPr="00B61E1F">
        <w:rPr>
          <w:rFonts w:ascii="Arial" w:eastAsia="Arial" w:hAnsi="Arial" w:cs="Arial"/>
          <w:noProof/>
          <w:sz w:val="20"/>
          <w:szCs w:val="20"/>
        </w:rPr>
        <w:t>[3]</w:t>
      </w:r>
      <w:r>
        <w:rPr>
          <w:rFonts w:ascii="Arial" w:eastAsia="Arial" w:hAnsi="Arial" w:cs="Arial"/>
          <w:sz w:val="20"/>
          <w:szCs w:val="20"/>
        </w:rPr>
        <w:fldChar w:fldCharType="end"/>
      </w:r>
      <w:r w:rsidRPr="00593099">
        <w:rPr>
          <w:rFonts w:ascii="Arial" w:hAnsi="Arial" w:cs="Arial"/>
          <w:bCs/>
          <w:sz w:val="20"/>
          <w:szCs w:val="20"/>
        </w:rPr>
        <w:t>.</w:t>
      </w:r>
    </w:p>
    <w:p w:rsidR="00E86CBD" w:rsidRDefault="00E86CBD" w:rsidP="00696D5F">
      <w:pPr>
        <w:spacing w:after="0" w:line="240" w:lineRule="auto"/>
        <w:jc w:val="both"/>
        <w:rPr>
          <w:rFonts w:ascii="Arial" w:hAnsi="Arial" w:cs="Arial"/>
          <w:b/>
          <w:bCs/>
          <w:color w:val="1F4E79"/>
          <w:sz w:val="20"/>
          <w:szCs w:val="20"/>
        </w:rPr>
      </w:pPr>
    </w:p>
    <w:p w:rsidR="00593099" w:rsidRDefault="00DC01B9" w:rsidP="00593099">
      <w:pPr>
        <w:pStyle w:val="normal0"/>
        <w:pBdr>
          <w:top w:val="nil"/>
          <w:left w:val="nil"/>
          <w:bottom w:val="nil"/>
          <w:right w:val="nil"/>
          <w:between w:val="nil"/>
        </w:pBdr>
        <w:shd w:val="clear" w:color="auto" w:fill="FFFFFF"/>
        <w:spacing w:after="0" w:line="240" w:lineRule="auto"/>
        <w:rPr>
          <w:rFonts w:ascii="Arial" w:hAnsi="Arial" w:cs="Arial"/>
          <w:b/>
          <w:bCs/>
          <w:color w:val="1F4E79"/>
          <w:sz w:val="20"/>
          <w:szCs w:val="20"/>
        </w:rPr>
      </w:pPr>
      <w:r>
        <w:rPr>
          <w:rFonts w:ascii="Arial" w:hAnsi="Arial" w:cs="Arial"/>
          <w:b/>
          <w:bCs/>
          <w:color w:val="1F4E79"/>
          <w:sz w:val="20"/>
          <w:szCs w:val="20"/>
        </w:rPr>
        <w:t>Human Dimen</w:t>
      </w:r>
      <w:r w:rsidR="00593099">
        <w:rPr>
          <w:rFonts w:ascii="Arial" w:hAnsi="Arial" w:cs="Arial"/>
          <w:b/>
          <w:bCs/>
          <w:color w:val="1F4E79"/>
          <w:sz w:val="20"/>
          <w:szCs w:val="20"/>
        </w:rPr>
        <w:t>sions</w:t>
      </w:r>
    </w:p>
    <w:p w:rsidR="00E86CBD" w:rsidRDefault="00DC01B9" w:rsidP="00593099">
      <w:pPr>
        <w:spacing w:after="0" w:line="240" w:lineRule="auto"/>
        <w:ind w:firstLine="567"/>
        <w:jc w:val="both"/>
        <w:rPr>
          <w:rFonts w:ascii="Arial" w:hAnsi="Arial" w:cs="Arial"/>
          <w:bCs/>
          <w:sz w:val="20"/>
          <w:szCs w:val="20"/>
        </w:rPr>
      </w:pPr>
      <w:r w:rsidRPr="00DC01B9">
        <w:rPr>
          <w:rFonts w:ascii="Arial" w:hAnsi="Arial" w:cs="Arial"/>
          <w:bCs/>
          <w:sz w:val="20"/>
          <w:szCs w:val="20"/>
        </w:rPr>
        <w:t>Competent human resources are an important prerequisite for businesses to be able to adapt to changes such as facing market demands, new technologies and sustainability strategies. SMEs need to collaborate with related companies and institutions to assist in improving the skills and retraining of their human resources</w:t>
      </w:r>
      <w:r>
        <w:rPr>
          <w:rFonts w:ascii="Arial" w:hAnsi="Arial" w:cs="Arial"/>
          <w:bCs/>
          <w:sz w:val="20"/>
          <w:szCs w:val="20"/>
        </w:rPr>
        <w:t xml:space="preserve"> </w:t>
      </w:r>
      <w:r>
        <w:rPr>
          <w:rFonts w:ascii="Arial" w:eastAsia="Arial" w:hAnsi="Arial" w:cs="Arial"/>
          <w:sz w:val="20"/>
          <w:szCs w:val="20"/>
        </w:rPr>
        <w:fldChar w:fldCharType="begin" w:fldLock="1"/>
      </w:r>
      <w:r>
        <w:rPr>
          <w:rFonts w:ascii="Arial" w:eastAsia="Arial" w:hAnsi="Arial" w:cs="Arial"/>
          <w:sz w:val="20"/>
          <w:szCs w:val="20"/>
        </w:rPr>
        <w:instrText>ADDIN CSL_CITATION {"citationItems":[{"id":"ITEM-1","itemData":{"DOI":"http://doi.org/10.47836/ijeamsi.16.1.006","ISSN":"1823836X","abstract":"The global economy is facing the outbreak of COVID-19 which has exposed the people around the world with a dangerous virus. Despite of appeals put by the Government, SMEs need to understand on how to confront this crisis and search for strategies to curb with the pandemic. This research aims to scrutinize the prevalence of strategic foresight to assist the SMEs to be agile the pandemic and secure their sustainable performance. A series of interview with SMEs Agencies and SMEs was conducted to understand their behaviours on the strategies to combat the pandemic. Five agencies were interviewed to obtain their insights on their support provided to the SMEs. Eighteen SMEs were interviewed to understand their knowledge and understanding on the role of strategic foresight and the impact on agility and competitiveness. From the findings, SMEs agencies believe that SMEs need to be a future ready and agile for any circumstances that affect their businesses by having a clear future direction. For SMEs, they need to be agile by practicing entrepreneurial bricolage in which they have to deploy all the available resources to sustain their performance during pandemic. The originality of this is to provide insights into how Malaysian SMEs could formulate their strategy for business sustainability during the pandemic through the identifications of strategic foresight and agility in their business activities and process.","author":[{"dropping-particle":"","family":"Halima","given":"Hasliza Abdul","non-dropping-particle":"","parse-names":false,"suffix":""},{"dropping-particle":"","family":"Zainala","given":"Siti Rohaida Mohamed","non-dropping-particle":"","parse-names":false,"suffix":""},{"dropping-particle":"","family":"Ahmada","given":"Noor Hazlina","non-dropping-particle":"","parse-names":false,"suffix":""}],"container-title":"International Journal of Economics and Management","id":"ITEM-1","issue":"SpecialIssue1","issued":{"date-parts":[["2022"]]},"page":"81-97","title":"Strategic Foresight and Agility: Upholding Sustainable Competitiveness Among SMEs During COVID-19 Pandemic","type":"article-journal","volume":"16"},"uris":["http://www.mendeley.com/documents/?uuid=ea0b25dc-b3b7-4dbc-a2aa-f18274c3e772"]}],"mendeley":{"formattedCitation":"[29]","plainTextFormattedCitation":"[29]","previouslyFormattedCitation":"[29]"},"properties":{"noteIndex":0},"schema":"https://github.com/citation-style-language/schema/raw/master/csl-citation.json"}</w:instrText>
      </w:r>
      <w:r>
        <w:rPr>
          <w:rFonts w:ascii="Arial" w:eastAsia="Arial" w:hAnsi="Arial" w:cs="Arial"/>
          <w:sz w:val="20"/>
          <w:szCs w:val="20"/>
        </w:rPr>
        <w:fldChar w:fldCharType="separate"/>
      </w:r>
      <w:r w:rsidRPr="00582FF6">
        <w:rPr>
          <w:rFonts w:ascii="Arial" w:eastAsia="Arial" w:hAnsi="Arial" w:cs="Arial"/>
          <w:noProof/>
          <w:sz w:val="20"/>
          <w:szCs w:val="20"/>
        </w:rPr>
        <w:t>[29]</w:t>
      </w:r>
      <w:r>
        <w:rPr>
          <w:rFonts w:ascii="Arial" w:eastAsia="Arial" w:hAnsi="Arial" w:cs="Arial"/>
          <w:sz w:val="20"/>
          <w:szCs w:val="20"/>
        </w:rPr>
        <w:fldChar w:fldCharType="end"/>
      </w:r>
      <w:r w:rsidRPr="00DC01B9">
        <w:rPr>
          <w:rFonts w:ascii="Arial" w:hAnsi="Arial" w:cs="Arial"/>
          <w:bCs/>
          <w:sz w:val="20"/>
          <w:szCs w:val="20"/>
        </w:rPr>
        <w:t>.</w:t>
      </w:r>
    </w:p>
    <w:p w:rsidR="00593099" w:rsidRDefault="00EC7FF1" w:rsidP="00EC7FF1">
      <w:pPr>
        <w:spacing w:after="0" w:line="240" w:lineRule="auto"/>
        <w:ind w:firstLine="567"/>
        <w:jc w:val="both"/>
        <w:rPr>
          <w:rFonts w:ascii="Arial" w:hAnsi="Arial" w:cs="Arial"/>
          <w:bCs/>
          <w:sz w:val="20"/>
          <w:szCs w:val="20"/>
        </w:rPr>
      </w:pPr>
      <w:r w:rsidRPr="00EC7FF1">
        <w:rPr>
          <w:rFonts w:ascii="Arial" w:hAnsi="Arial" w:cs="Arial"/>
          <w:bCs/>
          <w:sz w:val="20"/>
          <w:szCs w:val="20"/>
        </w:rPr>
        <w:t>Human resources must have new knowledge because it is one of the strategic assets that drives innovation, increasing competence and how to adapt to market changes, new knowledge enriches human capital (improving skills), structural capital (better systems and processes) and relational capital (strategic partnerships) for the long-term competitiveness of SMEs.</w:t>
      </w:r>
    </w:p>
    <w:p w:rsidR="00EC7FF1" w:rsidRDefault="00EC7FF1" w:rsidP="00EC7FF1">
      <w:pPr>
        <w:spacing w:after="0" w:line="240" w:lineRule="auto"/>
        <w:jc w:val="both"/>
        <w:rPr>
          <w:rFonts w:ascii="Arial" w:hAnsi="Arial" w:cs="Arial"/>
          <w:bCs/>
          <w:sz w:val="20"/>
          <w:szCs w:val="20"/>
        </w:rPr>
      </w:pPr>
    </w:p>
    <w:p w:rsidR="00EC7FF1" w:rsidRDefault="00EC7FF1" w:rsidP="00EC7FF1">
      <w:pPr>
        <w:spacing w:after="0" w:line="240" w:lineRule="auto"/>
        <w:jc w:val="center"/>
        <w:rPr>
          <w:rFonts w:ascii="Arial" w:hAnsi="Arial" w:cs="Arial"/>
          <w:bCs/>
          <w:sz w:val="20"/>
          <w:szCs w:val="20"/>
        </w:rPr>
      </w:pPr>
      <w:r w:rsidRPr="00EC7FF1">
        <w:rPr>
          <w:rFonts w:ascii="Arial" w:hAnsi="Arial" w:cs="Arial"/>
          <w:bCs/>
          <w:sz w:val="20"/>
          <w:szCs w:val="20"/>
        </w:rPr>
        <w:t>Table 3. Dimensions and factors of sustainable competitiveness of SMEs</w:t>
      </w:r>
    </w:p>
    <w:tbl>
      <w:tblPr>
        <w:tblW w:w="4151" w:type="dxa"/>
        <w:jc w:val="center"/>
        <w:tblInd w:w="226" w:type="dxa"/>
        <w:tblBorders>
          <w:top w:val="single" w:sz="4" w:space="0" w:color="auto"/>
          <w:bottom w:val="single" w:sz="4" w:space="0" w:color="auto"/>
        </w:tblBorders>
        <w:tblLook w:val="04A0"/>
      </w:tblPr>
      <w:tblGrid>
        <w:gridCol w:w="1350"/>
        <w:gridCol w:w="1617"/>
        <w:gridCol w:w="1184"/>
      </w:tblGrid>
      <w:tr w:rsidR="00EC7FF1" w:rsidRPr="00A12A79" w:rsidTr="00B0441B">
        <w:trPr>
          <w:trHeight w:val="300"/>
          <w:tblHeader/>
          <w:jc w:val="center"/>
        </w:trPr>
        <w:tc>
          <w:tcPr>
            <w:tcW w:w="1350" w:type="dxa"/>
            <w:tcBorders>
              <w:top w:val="single" w:sz="4" w:space="0" w:color="auto"/>
              <w:bottom w:val="single" w:sz="4" w:space="0" w:color="auto"/>
            </w:tcBorders>
            <w:shd w:val="clear" w:color="auto" w:fill="auto"/>
            <w:vAlign w:val="center"/>
            <w:hideMark/>
          </w:tcPr>
          <w:p w:rsidR="00EC7FF1" w:rsidRPr="00A12A79" w:rsidRDefault="00EC7FF1" w:rsidP="00EC7FF1">
            <w:pPr>
              <w:spacing w:after="0" w:line="240" w:lineRule="auto"/>
              <w:jc w:val="center"/>
              <w:rPr>
                <w:rFonts w:ascii="Arial" w:hAnsi="Arial" w:cs="Arial"/>
                <w:b/>
                <w:bCs/>
                <w:color w:val="000000"/>
                <w:sz w:val="20"/>
                <w:szCs w:val="20"/>
              </w:rPr>
            </w:pPr>
            <w:r w:rsidRPr="00A12A79">
              <w:rPr>
                <w:rFonts w:ascii="Arial" w:hAnsi="Arial" w:cs="Arial"/>
                <w:b/>
                <w:bCs/>
                <w:color w:val="000000"/>
                <w:sz w:val="20"/>
                <w:szCs w:val="20"/>
              </w:rPr>
              <w:t xml:space="preserve">Dimenssion </w:t>
            </w:r>
          </w:p>
        </w:tc>
        <w:tc>
          <w:tcPr>
            <w:tcW w:w="1617" w:type="dxa"/>
            <w:tcBorders>
              <w:top w:val="single" w:sz="4" w:space="0" w:color="auto"/>
              <w:bottom w:val="single" w:sz="4" w:space="0" w:color="auto"/>
            </w:tcBorders>
            <w:shd w:val="clear" w:color="auto" w:fill="auto"/>
            <w:vAlign w:val="center"/>
            <w:hideMark/>
          </w:tcPr>
          <w:p w:rsidR="00EC7FF1" w:rsidRPr="00A12A79" w:rsidRDefault="00EC7FF1" w:rsidP="00EC7FF1">
            <w:pPr>
              <w:spacing w:after="0" w:line="240" w:lineRule="auto"/>
              <w:jc w:val="center"/>
              <w:rPr>
                <w:rFonts w:ascii="Arial" w:hAnsi="Arial" w:cs="Arial"/>
                <w:b/>
                <w:bCs/>
                <w:color w:val="000000"/>
                <w:sz w:val="20"/>
                <w:szCs w:val="20"/>
              </w:rPr>
            </w:pPr>
            <w:r w:rsidRPr="00A12A79">
              <w:rPr>
                <w:rFonts w:ascii="Arial" w:hAnsi="Arial" w:cs="Arial"/>
                <w:b/>
                <w:bCs/>
                <w:color w:val="000000"/>
                <w:sz w:val="20"/>
                <w:szCs w:val="20"/>
              </w:rPr>
              <w:t>Factors</w:t>
            </w:r>
          </w:p>
        </w:tc>
        <w:tc>
          <w:tcPr>
            <w:tcW w:w="1184" w:type="dxa"/>
            <w:tcBorders>
              <w:top w:val="single" w:sz="4" w:space="0" w:color="auto"/>
              <w:bottom w:val="single" w:sz="4" w:space="0" w:color="auto"/>
            </w:tcBorders>
            <w:shd w:val="clear" w:color="auto" w:fill="auto"/>
            <w:vAlign w:val="center"/>
            <w:hideMark/>
          </w:tcPr>
          <w:p w:rsidR="00EC7FF1" w:rsidRPr="00A12A79" w:rsidRDefault="00EC7FF1" w:rsidP="00EC7FF1">
            <w:pPr>
              <w:spacing w:after="0" w:line="240" w:lineRule="auto"/>
              <w:jc w:val="center"/>
              <w:rPr>
                <w:rFonts w:ascii="Arial" w:hAnsi="Arial" w:cs="Arial"/>
                <w:b/>
                <w:bCs/>
                <w:color w:val="000000"/>
                <w:sz w:val="20"/>
                <w:szCs w:val="20"/>
              </w:rPr>
            </w:pPr>
            <w:r w:rsidRPr="00A12A79">
              <w:rPr>
                <w:rFonts w:ascii="Arial" w:hAnsi="Arial" w:cs="Arial"/>
                <w:b/>
                <w:bCs/>
                <w:color w:val="000000"/>
                <w:sz w:val="20"/>
                <w:szCs w:val="20"/>
              </w:rPr>
              <w:t>Referance</w:t>
            </w:r>
          </w:p>
        </w:tc>
      </w:tr>
      <w:tr w:rsidR="00EC7FF1" w:rsidRPr="00A12A79" w:rsidTr="00B0441B">
        <w:trPr>
          <w:trHeight w:val="300"/>
          <w:jc w:val="center"/>
        </w:trPr>
        <w:tc>
          <w:tcPr>
            <w:tcW w:w="1350" w:type="dxa"/>
            <w:vMerge w:val="restart"/>
            <w:tcBorders>
              <w:top w:val="single" w:sz="4" w:space="0" w:color="auto"/>
              <w:bottom w:val="nil"/>
            </w:tcBorders>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A12A79">
              <w:rPr>
                <w:rFonts w:ascii="Arial" w:hAnsi="Arial" w:cs="Arial"/>
                <w:color w:val="000000"/>
                <w:sz w:val="20"/>
                <w:szCs w:val="20"/>
              </w:rPr>
              <w:t>Economic</w:t>
            </w:r>
          </w:p>
        </w:tc>
        <w:tc>
          <w:tcPr>
            <w:tcW w:w="1617" w:type="dxa"/>
            <w:tcBorders>
              <w:top w:val="single" w:sz="4" w:space="0" w:color="auto"/>
              <w:bottom w:val="nil"/>
            </w:tcBorders>
            <w:shd w:val="clear" w:color="auto" w:fill="auto"/>
            <w:hideMark/>
          </w:tcPr>
          <w:p w:rsidR="00EC7FF1" w:rsidRPr="00A12A79" w:rsidRDefault="00EC7FF1" w:rsidP="00EC7FF1">
            <w:pPr>
              <w:spacing w:after="0" w:line="240" w:lineRule="auto"/>
              <w:ind w:left="-52"/>
              <w:rPr>
                <w:rFonts w:ascii="Arial" w:hAnsi="Arial" w:cs="Arial"/>
                <w:color w:val="000000"/>
                <w:sz w:val="20"/>
                <w:szCs w:val="20"/>
              </w:rPr>
            </w:pPr>
            <w:r w:rsidRPr="00A12A79">
              <w:rPr>
                <w:rFonts w:ascii="Arial" w:hAnsi="Arial" w:cs="Arial"/>
                <w:color w:val="000000"/>
                <w:sz w:val="20"/>
                <w:szCs w:val="20"/>
              </w:rPr>
              <w:t>Financial Capacity and Stability</w:t>
            </w:r>
          </w:p>
        </w:tc>
        <w:tc>
          <w:tcPr>
            <w:tcW w:w="1184" w:type="dxa"/>
            <w:tcBorders>
              <w:top w:val="single" w:sz="4" w:space="0" w:color="auto"/>
              <w:bottom w:val="nil"/>
            </w:tcBorders>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D63BE2">
              <w:fldChar w:fldCharType="begin" w:fldLock="1"/>
            </w:r>
            <w:r>
              <w:instrText>ADDIN CSL_CITATION {"citationItems":[{"id":"ITEM-1","itemData":{"DOI":"https://doi.org/10.14505/jemt.v13.3(59).09","author":[{"dropping-particle":"","family":"Belgibayeva","given":"Anargul","non-dropping-particle":"","parse-names":false,"suffix":""},{"dropping-particle":"","family":"Denissova","given":"Oxana","non-dropping-particle":"","parse-names":false,"suffix":""},{"dropping-particle":"","family":"Kozlova","given":"Marina","non-dropping-particle":"","parse-names":false,"suffix":""},{"dropping-particle":"","family":"Savchenko","given":"Irina","non-dropping-particle":"","parse-names":false,"suffix":""},{"dropping-particle":"","family":"Tleubayev","given":"Azat","non-dropping-particle":"","parse-names":false,"suffix":""},{"dropping-particle":"","family":"Siximbayeva","given":"Gaukhar","non-dropping-particle":"","parse-names":false,"suffix":""}],"container-title":"Journal of Environmental Management and Tourism","id":"ITEM-1","issue":"4","issued":{"date-parts":[["2022"]]},"title":"Analysis of Sustainable Development of SMEs in Agriculture","type":"article-journal","volume":"VII"},"uris":["http://www.mendeley.com/documents/?uuid=e2d74feb-4f38-49e8-9ce5-26daa9470ad7"]}],"mendeley":{"formattedCitation":"[22]","plainTextFormattedCitation":"[22]","previouslyFormattedCitation":"[22]"},"properties":{"noteIndex":0},"schema":"https://github.com/citation-style-language/schema/raw/master/csl-citation.json"}</w:instrText>
            </w:r>
            <w:r w:rsidRPr="00D63BE2">
              <w:fldChar w:fldCharType="separate"/>
            </w:r>
            <w:r w:rsidRPr="00E64F19">
              <w:rPr>
                <w:noProof/>
              </w:rPr>
              <w:t>[22]</w:t>
            </w:r>
            <w:r w:rsidRPr="00D63BE2">
              <w:fldChar w:fldCharType="end"/>
            </w:r>
            <w:r>
              <w:t xml:space="preserve">, </w:t>
            </w:r>
            <w:r w:rsidRPr="00D63BE2">
              <w:fldChar w:fldCharType="begin" w:fldLock="1"/>
            </w:r>
            <w:r w:rsidR="008516C5">
              <w:instrText>ADDIN CSL_CITATION {"citationItems":[{"id":"ITEM-1","itemData":{"DOI":"https://doi.org/10.25077/josi.v23.n1.p109-119.2024","author":[{"dropping-particle":"","family":"Rahman","given":"Hafiz","non-dropping-particle":"","parse-names":false,"suffix":""},{"dropping-particle":"","family":"Oktavia","given":"Sri","non-dropping-particle":"","parse-names":false,"suffix":""},{"dropping-particle":"","family":"Shetye","given":"Niyanta","non-dropping-particle":"","parse-names":false,"suffix":""},{"dropping-particle":"","family":"Azonhoumon","given":"Winny Leocade Sedjiro","non-dropping-particle":"","parse-names":false,"suffix":""}],"container-title":"Jurnal Optimasi Sistem Industri","id":"ITEM-1","issue":"1","issued":{"date-parts":[["2024"]]},"page":"109-119","title":"Enhancing Operations for Sustainability in Indonesian SMEs through Climate Change Awareness and Business Orientation","type":"article-journal","volume":"23"},"uris":["http://www.mendeley.com/documents/?uuid=d2f0db5b-06cf-48ac-9282-ce78754db3f7"]}],"mendeley":{"formattedCitation":"[26]","plainTextFormattedCitation":"[26]","previouslyFormattedCitation":"[26]"},"properties":{"noteIndex":0},"schema":"https://github.com/citation-style-language/schema/raw/master/csl-citation.json"}</w:instrText>
            </w:r>
            <w:r w:rsidRPr="00D63BE2">
              <w:fldChar w:fldCharType="separate"/>
            </w:r>
            <w:r w:rsidRPr="00E64F19">
              <w:rPr>
                <w:noProof/>
              </w:rPr>
              <w:t>[26]</w:t>
            </w:r>
            <w:r w:rsidRPr="00D63BE2">
              <w:fldChar w:fldCharType="end"/>
            </w:r>
          </w:p>
        </w:tc>
      </w:tr>
      <w:tr w:rsidR="00EC7FF1" w:rsidRPr="00A12A79" w:rsidTr="00B0441B">
        <w:trPr>
          <w:trHeight w:val="375"/>
          <w:jc w:val="center"/>
        </w:trPr>
        <w:tc>
          <w:tcPr>
            <w:tcW w:w="1350" w:type="dxa"/>
            <w:vMerge/>
            <w:tcBorders>
              <w:top w:val="nil"/>
              <w:bottom w:val="nil"/>
            </w:tcBorders>
            <w:vAlign w:val="center"/>
            <w:hideMark/>
          </w:tcPr>
          <w:p w:rsidR="00EC7FF1" w:rsidRPr="00A12A79" w:rsidRDefault="00EC7FF1" w:rsidP="00EC7FF1">
            <w:pPr>
              <w:spacing w:after="0" w:line="240" w:lineRule="auto"/>
              <w:rPr>
                <w:rFonts w:ascii="Arial" w:hAnsi="Arial" w:cs="Arial"/>
                <w:color w:val="000000"/>
                <w:sz w:val="20"/>
                <w:szCs w:val="20"/>
              </w:rPr>
            </w:pPr>
          </w:p>
        </w:tc>
        <w:tc>
          <w:tcPr>
            <w:tcW w:w="1617" w:type="dxa"/>
            <w:tcBorders>
              <w:top w:val="nil"/>
              <w:bottom w:val="nil"/>
            </w:tcBorders>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A12A79">
              <w:rPr>
                <w:rFonts w:ascii="Arial" w:hAnsi="Arial" w:cs="Arial"/>
                <w:color w:val="000000"/>
                <w:sz w:val="20"/>
                <w:szCs w:val="20"/>
              </w:rPr>
              <w:t>Funding and Financial Resources</w:t>
            </w:r>
          </w:p>
        </w:tc>
        <w:tc>
          <w:tcPr>
            <w:tcW w:w="1184" w:type="dxa"/>
            <w:tcBorders>
              <w:top w:val="nil"/>
              <w:bottom w:val="nil"/>
            </w:tcBorders>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D63BE2">
              <w:fldChar w:fldCharType="begin" w:fldLock="1"/>
            </w:r>
            <w:r>
              <w:instrText>ADDIN CSL_CITATION {"citationItems":[{"id":"ITEM-1","itemData":{"DOI":"https://doi.org/10.32479/irmm.16103","ISSN":"21464405","abstract":"This study investigates the impact and operational challenges of the Shared Service Facility (SSF) for Micro, Small, and Medium Enterprises (MSMEs) in the Philippines, focusing on enhancing MSME competitiveness and sustainability. Through a mixed-methods approach, including surveys, interviews, and data analysis, the study assesses the SSF’s effectiveness in supporting MSMEs and identifies key challenges hindering its operation. The findings reveal significant improvements in MSMEs’ access to resources, innovation capacity, and market competitiveness following SSF assistance. However, logistical, managerial, and resource-related challenges pose significant hurdles to the SSF’s operational efficiency and effectiveness. To address these challenges, a comprehensive Strategic Plan is formulated, outlining key actions to improve logistical efficiency, enhance managerial effectiveness, strengthen financial sustainability, upgrade technological infrastructure, and foster collaboration and partnerships. Implementation of these strategic initiatives is crucial for optimizing the SSF’s operation, enhancing its impact on MSME competitiveness, and ensuring long-term sustainability. Overall, this study contributes valuable insights into the role of the SSF in fostering MSME development and economic growth in the Philippines, highlighting the importance of targeted interventions and collaborative efforts to support inclusive and sustainable development.","author":[{"dropping-particle":"","family":"Armas","given":"Kenneth L.","non-dropping-particle":"","parse-names":false,"suffix":""},{"dropping-particle":"Dela","family":"Cruz","given":"Catherine","non-dropping-particle":"","parse-names":false,"suffix":""},{"dropping-particle":"","family":"Navarro","given":"Jonas Emmanuel","non-dropping-particle":"","parse-names":false,"suffix":""},{"dropping-particle":"","family":"Viloria","given":"Vivien","non-dropping-particle":"","parse-names":false,"suffix":""}],"container-title":"International Review of Management and Marketing","id":"ITEM-1","issue":"3","issued":{"date-parts":[["2024"]]},"page":"65-73","title":"Triple Helix for Sustainable Development Goals: An Impact Assessment of Shared Service Facility for Micro, Small, and Medium Enterprises Competitiveness in the Philippines","type":"article-journal","volume":"14"},"uris":["http://www.mendeley.com/documents/?uuid=f1d1f46c-5bd6-4eff-b6f5-09bb992f0dee"]}],"mendeley":{"formattedCitation":"[20]","plainTextFormattedCitation":"[20]","previouslyFormattedCitation":"[20]"},"properties":{"noteIndex":0},"schema":"https://github.com/citation-style-language/schema/raw/master/csl-citation.json"}</w:instrText>
            </w:r>
            <w:r w:rsidRPr="00D63BE2">
              <w:fldChar w:fldCharType="separate"/>
            </w:r>
            <w:r w:rsidRPr="00E64F19">
              <w:rPr>
                <w:noProof/>
              </w:rPr>
              <w:t>[20]</w:t>
            </w:r>
            <w:r w:rsidRPr="00D63BE2">
              <w:fldChar w:fldCharType="end"/>
            </w:r>
            <w:r>
              <w:t xml:space="preserve">, </w:t>
            </w:r>
            <w:r w:rsidRPr="00D63BE2">
              <w:fldChar w:fldCharType="begin" w:fldLock="1"/>
            </w:r>
            <w:r>
              <w:instrText>ADDIN CSL_CITATION {"citationItems":[{"id":"ITEM-1","itemData":{"DOI":"https://doi.org/10.24294/jipd.v8i12.8934","ISSN":"25727931","abstract":"The significant climate change the planet has faced in recent decades has prompted global leaders, policymakers, business leaders, environmentalists, academics, and scientists from around the world to unite their efforts since 1987 around sustainable development. This development not only promotes economic sustainability but also environmental, social, and corporate sustainability, where clean production, responsible consumption, and sustainable infrastructures prevail. In this context, the present article aims to propose a development framework for sustainability in food sector SMEs, which includes Life Cycle Assessment (LCA) and the integration of Environmental, Social, and Governance (ESG) strategies as key elements to reduce CO2 emissions and improve operational efficiency. The methodology includes a comparative analysis of strategies implemented between 2019 and 2023, supported by quantitative data showing a 20% reduction in operating costs, a 10% increase in market share, and a 25% increase in productivity for companies that adopted clean technologies. This study offers a significant contribution to the field of corporate sustainability, providing a model that is adaptable and applicable across different regions, enhancing innovation and business resilience in a global context that requires collective efforts to achieve the sustainable development goals.","author":[{"dropping-particle":"","family":"Pinedo-López","given":"Jhon","non-dropping-particle":"","parse-names":false,"suffix":""},{"dropping-particle":"","family":"Baena-Navarro","given":"Rubén","non-dropping-particle":"","parse-names":false,"suffix":""},{"dropping-particle":"","family":"Carriazo-Regino","given":"Yulieth","non-dropping-particle":"","parse-names":false,"suffix":""},{"dropping-particle":"","family":"Urrea-Ortiz","given":"Adriana","non-dropping-particle":"","parse-names":false,"suffix":""},{"dropping-particle":"","family":"Reyes-Guevara","given":"Diana","non-dropping-particle":"","parse-names":false,"suffix":""}],"container-title":"Journal of Infrastructure, Policy and Development","id":"ITEM-1","issue":"12","issued":{"date-parts":[["2024"]]},"page":"1-30","title":"Sustainability strategies: A proposal for food sector SMEs, based on the integration of life cycle assessment and ESG strategies","type":"article-journal","volume":"8"},"uris":["http://www.mendeley.com/documents/?uuid=30884c61-e18e-4c01-9993-bfd213a38150"]}],"mendeley":{"formattedCitation":"[3]","plainTextFormattedCitation":"[3]","previouslyFormattedCitation":"[3]"},"properties":{"noteIndex":0},"schema":"https://github.com/citation-style-language/schema/raw/master/csl-citation.json"}</w:instrText>
            </w:r>
            <w:r w:rsidRPr="00D63BE2">
              <w:fldChar w:fldCharType="separate"/>
            </w:r>
            <w:r w:rsidRPr="00D63BE2">
              <w:rPr>
                <w:noProof/>
              </w:rPr>
              <w:t>[3]</w:t>
            </w:r>
            <w:r w:rsidRPr="00D63BE2">
              <w:fldChar w:fldCharType="end"/>
            </w:r>
          </w:p>
        </w:tc>
      </w:tr>
      <w:tr w:rsidR="00EC7FF1" w:rsidRPr="00A12A79" w:rsidTr="00B0441B">
        <w:trPr>
          <w:trHeight w:val="300"/>
          <w:jc w:val="center"/>
        </w:trPr>
        <w:tc>
          <w:tcPr>
            <w:tcW w:w="1350" w:type="dxa"/>
            <w:vMerge/>
            <w:tcBorders>
              <w:top w:val="nil"/>
              <w:bottom w:val="nil"/>
            </w:tcBorders>
            <w:vAlign w:val="center"/>
            <w:hideMark/>
          </w:tcPr>
          <w:p w:rsidR="00EC7FF1" w:rsidRPr="00A12A79" w:rsidRDefault="00EC7FF1" w:rsidP="00EC7FF1">
            <w:pPr>
              <w:spacing w:after="0" w:line="240" w:lineRule="auto"/>
              <w:rPr>
                <w:rFonts w:ascii="Arial" w:hAnsi="Arial" w:cs="Arial"/>
                <w:color w:val="000000"/>
                <w:sz w:val="20"/>
                <w:szCs w:val="20"/>
              </w:rPr>
            </w:pPr>
          </w:p>
        </w:tc>
        <w:tc>
          <w:tcPr>
            <w:tcW w:w="1617" w:type="dxa"/>
            <w:tcBorders>
              <w:top w:val="nil"/>
              <w:bottom w:val="nil"/>
            </w:tcBorders>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A12A79">
              <w:rPr>
                <w:rFonts w:ascii="Arial" w:hAnsi="Arial" w:cs="Arial"/>
                <w:color w:val="000000"/>
                <w:sz w:val="20"/>
                <w:szCs w:val="20"/>
              </w:rPr>
              <w:t>competitive prices</w:t>
            </w:r>
          </w:p>
        </w:tc>
        <w:tc>
          <w:tcPr>
            <w:tcW w:w="1184" w:type="dxa"/>
            <w:tcBorders>
              <w:top w:val="nil"/>
              <w:bottom w:val="nil"/>
            </w:tcBorders>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D63BE2">
              <w:fldChar w:fldCharType="begin" w:fldLock="1"/>
            </w:r>
            <w:r>
              <w:instrText>ADDIN CSL_CITATION {"citationItems":[{"id":"ITEM-1","itemData":{"DOI":"https://doi.org/10.26656/fr.2017.8(5).639R","ISSN":"25502166","abstract":"Jackfruit chips small and medium enterprises (SMEs) in Malang Regency play an important role in national economic growth. The purpose of this study was to find a strategy to improve the competitiveness of jackfruit chips in Malang Regency. Technical analysis of research data was conducted using analysis of external and internal factors and the concept of the house model for determining strategies for increasing the competitiveness of jackfruit chips SMEs in Malang Regency. The results showed that by increasing product variables, improving human resources and marketing institutions could be a strengthening strategy for increasing the sustainable competitiveness of jackfruit chips SMEs.","author":[{"dropping-particle":"","family":"Novia","given":"C.","non-dropping-particle":"","parse-names":false,"suffix":""},{"dropping-particle":"","family":"Syaiful","given":"S.","non-dropping-particle":"","parse-names":false,"suffix":""},{"dropping-particle":"","family":"Utomo","given":"D.","non-dropping-particle":"","parse-names":false,"suffix":""}],"container-title":"Food Research","id":"ITEM-1","issue":"5","issued":{"date-parts":[["2024"]]},"page":"303-309","title":"Analysis of strategies for increasing the competitiveness of jackfruit chips small medium enterprises in Malang Regency, Indonesia","type":"article-journal","volume":"8"},"uris":["http://www.mendeley.com/documents/?uuid=ef4deb0f-97a5-4056-86a3-c6a3fc8e68c6"]}],"mendeley":{"formattedCitation":"[21]","plainTextFormattedCitation":"[21]","previouslyFormattedCitation":"[21]"},"properties":{"noteIndex":0},"schema":"https://github.com/citation-style-language/schema/raw/master/csl-citation.json"}</w:instrText>
            </w:r>
            <w:r w:rsidRPr="00D63BE2">
              <w:fldChar w:fldCharType="separate"/>
            </w:r>
            <w:r w:rsidRPr="00E64F19">
              <w:rPr>
                <w:noProof/>
              </w:rPr>
              <w:t>[21]</w:t>
            </w:r>
            <w:r w:rsidRPr="00D63BE2">
              <w:fldChar w:fldCharType="end"/>
            </w:r>
          </w:p>
        </w:tc>
      </w:tr>
      <w:tr w:rsidR="00EC7FF1" w:rsidRPr="00A12A79" w:rsidTr="00B0441B">
        <w:trPr>
          <w:trHeight w:val="300"/>
          <w:jc w:val="center"/>
        </w:trPr>
        <w:tc>
          <w:tcPr>
            <w:tcW w:w="1350" w:type="dxa"/>
            <w:vMerge/>
            <w:tcBorders>
              <w:top w:val="nil"/>
              <w:bottom w:val="nil"/>
            </w:tcBorders>
            <w:vAlign w:val="center"/>
            <w:hideMark/>
          </w:tcPr>
          <w:p w:rsidR="00EC7FF1" w:rsidRPr="00A12A79" w:rsidRDefault="00EC7FF1" w:rsidP="00EC7FF1">
            <w:pPr>
              <w:spacing w:after="0" w:line="240" w:lineRule="auto"/>
              <w:rPr>
                <w:rFonts w:ascii="Arial" w:hAnsi="Arial" w:cs="Arial"/>
                <w:color w:val="000000"/>
                <w:sz w:val="20"/>
                <w:szCs w:val="20"/>
              </w:rPr>
            </w:pPr>
          </w:p>
        </w:tc>
        <w:tc>
          <w:tcPr>
            <w:tcW w:w="1617" w:type="dxa"/>
            <w:tcBorders>
              <w:top w:val="nil"/>
              <w:bottom w:val="nil"/>
            </w:tcBorders>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A12A79">
              <w:rPr>
                <w:rFonts w:ascii="Arial" w:hAnsi="Arial" w:cs="Arial"/>
                <w:color w:val="000000"/>
                <w:sz w:val="20"/>
                <w:szCs w:val="20"/>
              </w:rPr>
              <w:t>Understanding of the Market</w:t>
            </w:r>
          </w:p>
        </w:tc>
        <w:tc>
          <w:tcPr>
            <w:tcW w:w="1184" w:type="dxa"/>
            <w:tcBorders>
              <w:top w:val="nil"/>
              <w:bottom w:val="nil"/>
            </w:tcBorders>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D63BE2">
              <w:fldChar w:fldCharType="begin" w:fldLock="1"/>
            </w:r>
            <w:r>
              <w:instrText>ADDIN CSL_CITATION {"citationItems":[{"id":"ITEM-1","itemData":{"DOI":"http://doi.org/10.14569/IJACSA.2022.0130871","ISSN":"21565570","abstract":"One of the main problems of small companies is not knowing how to properly manage investments, resources, strategies, tools and responsibilities to be more competitive, the research objective is the development of management and innovation processes required by the new company for its permanence in the market and decision making to be carried out every day; small companies face the competitiveness of new products that emerge. Today there are a great variety of products, which are globally interconnected, therefore it is required to implement a structural equation model for its management, so that the company continuously improves and optimizes the available resources, therefore as a result is the management, focused on greater effectiveness of resources; so it is necessary that small businesses need to manage a model of investments, resources, tools and responsibilities to obtain support from the competitiveness of the market; which would allow it to be oriented to a sustainable development and be one step ahead of the competition.","author":[{"dropping-particle":"","family":"Advincula","given":"Rafael Roosell Paez","non-dropping-particle":"","parse-names":false,"suffix":""},{"dropping-particle":"","family":"Chavesta","given":"Celso Gonzales","non-dropping-particle":"","parse-names":false,"suffix":""},{"dropping-particle":"","family":"Ocares-Cunyarachi","given":"Lilian","non-dropping-particle":"","parse-names":false,"suffix":""}],"container-title":"International Journal of Advanced Computer Science and Applications","id":"ITEM-1","issue":"8","issued":{"date-parts":[["2022"]]},"page":"620-627","title":"Innovation Management Model as a Source of Business Competitiveness for Industrial SMEs","type":"article-journal","volume":"13"},"uris":["http://www.mendeley.com/documents/?uuid=b3df2901-6ecb-487c-aa1c-47807419c60a"]}],"mendeley":{"formattedCitation":"[27]","plainTextFormattedCitation":"[27]","previouslyFormattedCitation":"[27]"},"properties":{"noteIndex":0},"schema":"https://github.com/citation-style-language/schema/raw/master/csl-citation.json"}</w:instrText>
            </w:r>
            <w:r w:rsidRPr="00D63BE2">
              <w:fldChar w:fldCharType="separate"/>
            </w:r>
            <w:r w:rsidRPr="00E64F19">
              <w:rPr>
                <w:noProof/>
              </w:rPr>
              <w:t>[27]</w:t>
            </w:r>
            <w:r w:rsidRPr="00D63BE2">
              <w:fldChar w:fldCharType="end"/>
            </w:r>
            <w:r>
              <w:t>,</w:t>
            </w:r>
            <w:r w:rsidRPr="00D63BE2">
              <w:fldChar w:fldCharType="begin" w:fldLock="1"/>
            </w:r>
            <w:r>
              <w:instrText>ADDIN CSL_CITATION {"citationItems":[{"id":"ITEM-1","itemData":{"DOI":"https://doi.org/10.3390/w14192964","ISSN":"20734441","abstract":"The blue economy contributes significantly to the creation of the Atlantic Area’s identity. In addition, the search for outdoor experiences after the COVID-19 lockdown suspensions has renewed the popularity of nautical tourism in this area and in the world. Despite the negative effects of the economic crisis on tourism, evidence suggests that some tourist destinations in the Atlantic area are resilient. Thus, whereas some branches of the blue economy face considerable challenges to increasing competitiveness, others offer opportunities for economic growth and employment. In this context, investment is necessary to lay the foundations for the sustainable development of nautical tourism. However, regarding the role of investment in productivity and competitiveness in the context of crisis, there is no consensus among academics. Thus, we investigate whether the investment contributed to competitiveness in nautical tourism in the Atlantic Area in 2016–2020. We collected data from ORBIS for 29 nautical-tourism companies and performed a quantitative and qualitative narrative analysis of competitiveness indicators, enabling comparisons pre and during crisis. The results highlight the multiplicity of ways in which crisis impacts nautical-tourism firms. The research fills a gap in the literature by investigating the dynamic capabilities of nautical-tourism SMEs in periods of recession, with a special focus on restructuring and competitiveness strategies. Some recommendations are outlined to promote the efficiency of resources and stimulate the competitiveness of companies to allow the regional development of nautical tourism in the territory of the Atlantic area.","author":[{"dropping-particle":"","family":"Santos","given":"Eleonora","non-dropping-particle":"","parse-names":false,"suffix":""},{"dropping-particle":"","family":"Castanho","given":"Rui Alexandre","non-dropping-particle":"","parse-names":false,"suffix":""},{"dropping-particle":"","family":"Meyer","given":"Daniel","non-dropping-particle":"","parse-names":false,"suffix":""}],"container-title":"Water (Switzerland)","id":"ITEM-1","issue":"19","issued":{"date-parts":[["2022"]]},"page":"1-17","title":"Is Investment Contributing to Competitiveness in Nautical Tourism in the Atlantic Area?","type":"article-journal","volume":"14"},"uris":["http://www.mendeley.com/documents/?uuid=30aecf1b-328f-435a-a76d-a191dbe74f2b"]}],"mendeley":{"formattedCitation":"[28]","plainTextFormattedCitation":"[28]","previouslyFormattedCitation":"[28]"},"properties":{"noteIndex":0},"schema":"https://github.com/citation-style-language/schema/raw/master/csl-citation.json"}</w:instrText>
            </w:r>
            <w:r w:rsidRPr="00D63BE2">
              <w:fldChar w:fldCharType="separate"/>
            </w:r>
            <w:r w:rsidRPr="00E64F19">
              <w:rPr>
                <w:noProof/>
              </w:rPr>
              <w:t>[28]</w:t>
            </w:r>
            <w:r w:rsidRPr="00D63BE2">
              <w:fldChar w:fldCharType="end"/>
            </w:r>
            <w:r>
              <w:rPr>
                <w:rFonts w:ascii="Arial" w:hAnsi="Arial" w:cs="Arial"/>
                <w:color w:val="000000"/>
                <w:sz w:val="20"/>
                <w:szCs w:val="20"/>
              </w:rPr>
              <w:t xml:space="preserve">, </w:t>
            </w:r>
            <w:r w:rsidRPr="00D63BE2">
              <w:fldChar w:fldCharType="begin" w:fldLock="1"/>
            </w:r>
            <w:r>
              <w:instrText>ADDIN CSL_CITATION {"citationItems":[{"id":"ITEM-1","itemData":{"DOI":"http://doi.org/10.47836/ijeamsi.16.1.006","ISSN":"1823836X","abstract":"The global economy is facing the outbreak of COVID-19 which has exposed the people around the world with a dangerous virus. Despite of appeals put by the Government, SMEs need to understand on how to confront this crisis and search for strategies to curb with the pandemic. This research aims to scrutinize the prevalence of strategic foresight to assist the SMEs to be agile the pandemic and secure their sustainable performance. A series of interview with SMEs Agencies and SMEs was conducted to understand their behaviours on the strategies to combat the pandemic. Five agencies were interviewed to obtain their insights on their support provided to the SMEs. Eighteen SMEs were interviewed to understand their knowledge and understanding on the role of strategic foresight and the impact on agility and competitiveness. From the findings, SMEs agencies believe that SMEs need to be a future ready and agile for any circumstances that affect their businesses by having a clear future direction. For SMEs, they need to be agile by practicing entrepreneurial bricolage in which they have to deploy all the available resources to sustain their performance during pandemic. The originality of this is to provide insights into how Malaysian SMEs could formulate their strategy for business sustainability during the pandemic through the identifications of strategic foresight and agility in their business activities and process.","author":[{"dropping-particle":"","family":"Halima","given":"Hasliza Abdul","non-dropping-particle":"","parse-names":false,"suffix":""},{"dropping-particle":"","family":"Zainala","given":"Siti Rohaida Mohamed","non-dropping-particle":"","parse-names":false,"suffix":""},{"dropping-particle":"","family":"Ahmada","given":"Noor Hazlina","non-dropping-particle":"","parse-names":false,"suffix":""}],"container-title":"International Journal of Economics and Management","id":"ITEM-1","issue":"SpecialIssue1","issued":{"date-parts":[["2022"]]},"page":"81-97","title":"Strategic Foresight and Agility: Upholding Sustainable Competitiveness Among SMEs During COVID-19 Pandemic","type":"article-journal","volume":"16"},"uris":["http://www.mendeley.com/documents/?uuid=ea0b25dc-b3b7-4dbc-a2aa-f18274c3e772"]}],"mendeley":{"formattedCitation":"[29]","plainTextFormattedCitation":"[29]","previouslyFormattedCitation":"[29]"},"properties":{"noteIndex":0},"schema":"https://github.com/citation-style-language/schema/raw/master/csl-citation.json"}</w:instrText>
            </w:r>
            <w:r w:rsidRPr="00D63BE2">
              <w:fldChar w:fldCharType="separate"/>
            </w:r>
            <w:r w:rsidRPr="00E64F19">
              <w:rPr>
                <w:noProof/>
              </w:rPr>
              <w:t>[29]</w:t>
            </w:r>
            <w:r w:rsidRPr="00D63BE2">
              <w:fldChar w:fldCharType="end"/>
            </w:r>
            <w:r>
              <w:rPr>
                <w:noProof/>
              </w:rPr>
              <w:t xml:space="preserve">, </w:t>
            </w:r>
            <w:r w:rsidRPr="00D63BE2">
              <w:fldChar w:fldCharType="begin" w:fldLock="1"/>
            </w:r>
            <w:r>
              <w:instrText>ADDIN CSL_CITATION {"citationItems":[{"id":"ITEM-1","itemData":{"DOI":"https://doi.org/10.3390/su141912505","ISSN":"20711050","abstract":"In the extremely competitive business environment typical of the 20th century, small and medium-sized enterprises have had to face countless challenges. As time progressed, digitization and the development of information and communication technology has had increasing impacts on the lives of both individuals and businesses. Now, from an organizational point of view, social media has become a corporate strategic tool the significant role of which is indisputable. The relevance of our study can be found in the fact that social media is now one of the most popular solutions if the goal of a business is to reach a specific target audience, to receive feedback about products/services, and to initiate the immediate communication that contributes to the loyalty of consumers and customers in the long term, as well as to take advantage of cost-effective advertising opportunities. The primary goal of our research is to provide the reader with a comprehensive picture of the thinking in the SME sector regarding the corporate application of social media. In our study, following a comprehensive literature review related to the topic, we use primary data collection to examine small and medium-sized enterprises operating in Hungary and Slovakia. The reason for choosing the subjects of the research is that, taking into account the territorial size of the regions under investigation, similar districts were selected, and the regions have similar numbers of businesses engaged in economic activity. The investigation process covers two regions in the two selected countries, examining a total of 1114 enterprises. Before starting our research, two hypotheses were defined. In order to test the correctness of the hypotheses, we performed statistical analyses using the SPSS program, specifically the Mantel–Haenszel test and the chi-square test. Considering the results, the hypotheses formulated by the authors proved to be correct in the case of both countries. As a result, it can be stated that the success of traditional marketing tools used before the online space greatly influences the extent to which businesses feel their presence in social media is important.","author":[{"dropping-particle":"","family":"Korcsmáros","given":"Enikő","non-dropping-particle":"","parse-names":false,"suffix":""},{"dropping-particle":"","family":"Csinger","given":"Bence","non-dropping-particle":"","parse-names":false,"suffix":""}],"container-title":"Sustainability (Switzerland)","id":"ITEM-1","issue":"19","issued":{"date-parts":[["2022"]]},"page":"1-18","title":"Sustainable Competitiveness in the Case of SMEs—Opportunities Provided by Social Media in an International Comparison","type":"article-journal","volume":"14"},"uris":["http://www.mendeley.com/documents/?uuid=21bbe036-b1e7-44e5-9211-ec5ffd7659db"]}],"mendeley":{"formattedCitation":"[5]","plainTextFormattedCitation":"[5]","previouslyFormattedCitation":"[5]"},"properties":{"noteIndex":0},"schema":"https://github.com/citation-style-language/schema/raw/master/csl-citation.json"}</w:instrText>
            </w:r>
            <w:r w:rsidRPr="00D63BE2">
              <w:fldChar w:fldCharType="separate"/>
            </w:r>
            <w:r w:rsidRPr="00D63BE2">
              <w:rPr>
                <w:noProof/>
              </w:rPr>
              <w:t>[5]</w:t>
            </w:r>
            <w:r w:rsidRPr="00D63BE2">
              <w:fldChar w:fldCharType="end"/>
            </w:r>
          </w:p>
        </w:tc>
      </w:tr>
      <w:tr w:rsidR="00EC7FF1" w:rsidRPr="00A12A79" w:rsidTr="00B0441B">
        <w:trPr>
          <w:trHeight w:val="435"/>
          <w:jc w:val="center"/>
        </w:trPr>
        <w:tc>
          <w:tcPr>
            <w:tcW w:w="1350" w:type="dxa"/>
            <w:vMerge w:val="restart"/>
            <w:tcBorders>
              <w:top w:val="nil"/>
            </w:tcBorders>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A12A79">
              <w:rPr>
                <w:rFonts w:ascii="Arial" w:hAnsi="Arial" w:cs="Arial"/>
                <w:color w:val="000000"/>
                <w:sz w:val="20"/>
                <w:szCs w:val="20"/>
              </w:rPr>
              <w:t>Social</w:t>
            </w:r>
          </w:p>
        </w:tc>
        <w:tc>
          <w:tcPr>
            <w:tcW w:w="1617" w:type="dxa"/>
            <w:tcBorders>
              <w:top w:val="nil"/>
            </w:tcBorders>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A12A79">
              <w:rPr>
                <w:rFonts w:ascii="Arial" w:hAnsi="Arial" w:cs="Arial"/>
                <w:color w:val="000000"/>
                <w:sz w:val="20"/>
                <w:szCs w:val="20"/>
              </w:rPr>
              <w:t xml:space="preserve">Support from local communities </w:t>
            </w:r>
          </w:p>
        </w:tc>
        <w:tc>
          <w:tcPr>
            <w:tcW w:w="1184" w:type="dxa"/>
            <w:tcBorders>
              <w:top w:val="nil"/>
            </w:tcBorders>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D63BE2">
              <w:fldChar w:fldCharType="begin" w:fldLock="1"/>
            </w:r>
            <w:r>
              <w:instrText>ADDIN CSL_CITATION {"citationItems":[{"id":"ITEM-1","itemData":{"DOI":"http://dx.doi.org/10.36096/ijbes.v6i1.465","abstract":"This study aims to explore key drivers of tourism sustainability practices and their impact on the sustainable competitive performance of the tourism accommodation industry. The study adopts an exploratory research design under qualitative research, using semi-structured interviewing of owners and managers of tourism accommodation firms using the TOE framework and RBV theory. The findings reveal that technological sustainability expertise, executive sustainability support, organizational resources and capability, service intermediary sustainability practices, collaborative innovation adoption capability, tourism sustainability regulatory policy, and sustainability practices perceived by residents are the key drivers of TSP. The outcomes also show that tourism sustainability practices have a positive impact on the SCP of accommodation firms. This study makes a theoretical contribution to the literature on tourism sustainability by exploring how TOE antecedents motivate firms to adopt sustainability practices as product innovation, which in turn enhance SCP. Also, this study provides strong backing for the premises of the TOE framework, and RBV theory offers valuable practical insights for managers and owners. This will aid in identifying the pivotal factors influencing TSP and SCP, enabling the implementation of innovative strategies to enhance firm competitiveness. Also, the research can help the government and policymakers formulate sustainable tourism policies to promote tourism innovations. The adoption of sustainable practices has been a focal point for both academic researchers and professionals in the tourism industry. However, there has been insufficient exploration of the TOE drivers that facilitate the integration of tourism sustainability within the context of TAFs in a developing country. Therefore, this study aims to fill this gap in knowledge.","author":[{"dropping-particle":"","family":"Islam","given":"Md Farijul","non-dropping-particle":"","parse-names":false,"suffix":""}],"container-title":"International Journal of Business Ecosystem &amp; Strategy (2687-2293)","id":"ITEM-1","issue":"1","issued":{"date-parts":[["2024"]]},"page":"28-44","title":"Exploring key drivers of tourism sustainability practices and their impact on sustainable competitive performance in the accommodation industry","type":"article-journal","volume":"6"},"uris":["http://www.mendeley.com/documents/?uuid=97152403-85ae-4c1a-803b-922b1defc716"]}],"mendeley":{"formattedCitation":"[18]","plainTextFormattedCitation":"[18]","previouslyFormattedCitation":"[18]"},"properties":{"noteIndex":0},"schema":"https://github.com/citation-style-language/schema/raw/master/csl-citation.json"}</w:instrText>
            </w:r>
            <w:r w:rsidRPr="00D63BE2">
              <w:fldChar w:fldCharType="separate"/>
            </w:r>
            <w:r w:rsidRPr="00E64F19">
              <w:rPr>
                <w:noProof/>
              </w:rPr>
              <w:t>[18]</w:t>
            </w:r>
            <w:r w:rsidRPr="00D63BE2">
              <w:fldChar w:fldCharType="end"/>
            </w:r>
            <w:r w:rsidRPr="00A12A79">
              <w:rPr>
                <w:rFonts w:ascii="Arial" w:hAnsi="Arial" w:cs="Arial"/>
                <w:color w:val="000000"/>
                <w:sz w:val="20"/>
                <w:szCs w:val="20"/>
              </w:rPr>
              <w:t xml:space="preserve">, </w:t>
            </w:r>
            <w:r w:rsidRPr="00D63BE2">
              <w:fldChar w:fldCharType="begin" w:fldLock="1"/>
            </w:r>
            <w:r w:rsidR="008516C5">
              <w:instrText>ADDIN CSL_CITATION {"citationItems":[{"id":"ITEM-1","itemData":{"DOI":"https://doi.org/10.25077/josi.v23.n1.p109-119.2024","author":[{"dropping-particle":"","family":"Rahman","given":"Hafiz","non-dropping-particle":"","parse-names":false,"suffix":""},{"dropping-particle":"","family":"Oktavia","given":"Sri","non-dropping-particle":"","parse-names":false,"suffix":""},{"dropping-particle":"","family":"Shetye","given":"Niyanta","non-dropping-particle":"","parse-names":false,"suffix":""},{"dropping-particle":"","family":"Azonhoumon","given":"Winny Leocade Sedjiro","non-dropping-particle":"","parse-names":false,"suffix":""}],"container-title":"Jurnal Optimasi Sistem Industri","id":"ITEM-1","issue":"1","issued":{"date-parts":[["2024"]]},"page":"109-119","title":"Enhancing Operations for Sustainability in Indonesian SMEs through Climate Change Awareness and Business Orientation","type":"article-journal","volume":"23"},"uris":["http://www.mendeley.com/documents/?uuid=d2f0db5b-06cf-48ac-9282-ce78754db3f7"]}],"mendeley":{"formattedCitation":"[26]","plainTextFormattedCitation":"[26]","previouslyFormattedCitation":"[26]"},"properties":{"noteIndex":0},"schema":"https://github.com/citation-style-language/schema/raw/master/csl-citation.json"}</w:instrText>
            </w:r>
            <w:r w:rsidRPr="00D63BE2">
              <w:fldChar w:fldCharType="separate"/>
            </w:r>
            <w:r w:rsidRPr="00E64F19">
              <w:rPr>
                <w:noProof/>
              </w:rPr>
              <w:t>[26]</w:t>
            </w:r>
            <w:r w:rsidRPr="00D63BE2">
              <w:fldChar w:fldCharType="end"/>
            </w:r>
          </w:p>
        </w:tc>
      </w:tr>
      <w:tr w:rsidR="00EC7FF1" w:rsidRPr="00A12A79" w:rsidTr="00B0441B">
        <w:trPr>
          <w:trHeight w:val="900"/>
          <w:jc w:val="center"/>
        </w:trPr>
        <w:tc>
          <w:tcPr>
            <w:tcW w:w="1350" w:type="dxa"/>
            <w:vMerge/>
            <w:vAlign w:val="center"/>
            <w:hideMark/>
          </w:tcPr>
          <w:p w:rsidR="00EC7FF1" w:rsidRPr="00A12A79" w:rsidRDefault="00EC7FF1" w:rsidP="00EC7FF1">
            <w:pPr>
              <w:spacing w:after="0" w:line="240" w:lineRule="auto"/>
              <w:rPr>
                <w:rFonts w:ascii="Arial" w:hAnsi="Arial" w:cs="Arial"/>
                <w:color w:val="000000"/>
                <w:sz w:val="20"/>
                <w:szCs w:val="20"/>
              </w:rPr>
            </w:pPr>
          </w:p>
        </w:tc>
        <w:tc>
          <w:tcPr>
            <w:tcW w:w="1617" w:type="dxa"/>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A12A79">
              <w:rPr>
                <w:rFonts w:ascii="Arial" w:hAnsi="Arial" w:cs="Arial"/>
                <w:color w:val="000000"/>
                <w:sz w:val="20"/>
                <w:szCs w:val="20"/>
              </w:rPr>
              <w:t>Collaboration and Patnership</w:t>
            </w:r>
          </w:p>
        </w:tc>
        <w:tc>
          <w:tcPr>
            <w:tcW w:w="1184" w:type="dxa"/>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D63BE2">
              <w:fldChar w:fldCharType="begin" w:fldLock="1"/>
            </w:r>
            <w:r>
              <w:instrText>ADDIN CSL_CITATION {"citationItems":[{"id":"ITEM-1","itemData":{"DOI":"https://doi.org/10.32479/irmm.16103","ISSN":"21464405","abstract":"This study investigates the impact and operational challenges of the Shared Service Facility (SSF) for Micro, Small, and Medium Enterprises (MSMEs) in the Philippines, focusing on enhancing MSME competitiveness and sustainability. Through a mixed-methods approach, including surveys, interviews, and data analysis, the study assesses the SSF’s effectiveness in supporting MSMEs and identifies key challenges hindering its operation. The findings reveal significant improvements in MSMEs’ access to resources, innovation capacity, and market competitiveness following SSF assistance. However, logistical, managerial, and resource-related challenges pose significant hurdles to the SSF’s operational efficiency and effectiveness. To address these challenges, a comprehensive Strategic Plan is formulated, outlining key actions to improve logistical efficiency, enhance managerial effectiveness, strengthen financial sustainability, upgrade technological infrastructure, and foster collaboration and partnerships. Implementation of these strategic initiatives is crucial for optimizing the SSF’s operation, enhancing its impact on MSME competitiveness, and ensuring long-term sustainability. Overall, this study contributes valuable insights into the role of the SSF in fostering MSME development and economic growth in the Philippines, highlighting the importance of targeted interventions and collaborative efforts to support inclusive and sustainable development.","author":[{"dropping-particle":"","family":"Armas","given":"Kenneth L.","non-dropping-particle":"","parse-names":false,"suffix":""},{"dropping-particle":"Dela","family":"Cruz","given":"Catherine","non-dropping-particle":"","parse-names":false,"suffix":""},{"dropping-particle":"","family":"Navarro","given":"Jonas Emmanuel","non-dropping-particle":"","parse-names":false,"suffix":""},{"dropping-particle":"","family":"Viloria","given":"Vivien","non-dropping-particle":"","parse-names":false,"suffix":""}],"container-title":"International Review of Management and Marketing","id":"ITEM-1","issue":"3","issued":{"date-parts":[["2024"]]},"page":"65-73","title":"Triple Helix for Sustainable Development Goals: An Impact Assessment of Shared Service Facility for Micro, Small, and Medium Enterprises Competitiveness in the Philippines","type":"article-journal","volume":"14"},"uris":["http://www.mendeley.com/documents/?uuid=f1d1f46c-5bd6-4eff-b6f5-09bb992f0dee"]}],"mendeley":{"formattedCitation":"[20]","plainTextFormattedCitation":"[20]","previouslyFormattedCitation":"[20]"},"properties":{"noteIndex":0},"schema":"https://github.com/citation-style-language/schema/raw/master/csl-citation.json"}</w:instrText>
            </w:r>
            <w:r w:rsidRPr="00D63BE2">
              <w:fldChar w:fldCharType="separate"/>
            </w:r>
            <w:r w:rsidRPr="00E64F19">
              <w:rPr>
                <w:noProof/>
              </w:rPr>
              <w:t>[20]</w:t>
            </w:r>
            <w:r w:rsidRPr="00D63BE2">
              <w:fldChar w:fldCharType="end"/>
            </w:r>
            <w:r w:rsidRPr="00A12A79">
              <w:rPr>
                <w:rFonts w:ascii="Arial" w:hAnsi="Arial" w:cs="Arial"/>
                <w:color w:val="000000"/>
                <w:sz w:val="20"/>
                <w:szCs w:val="20"/>
              </w:rPr>
              <w:t xml:space="preserve">, </w:t>
            </w:r>
            <w:r w:rsidRPr="00D63BE2">
              <w:fldChar w:fldCharType="begin" w:fldLock="1"/>
            </w:r>
            <w:r>
              <w:instrText>ADDIN CSL_CITATION {"citationItems":[{"id":"ITEM-1","itemData":{"DOI":"https://doi.org/10.3390/su141711036","author":[{"dropping-particle":"","family":"Acosta-Velásquez","given":"Rubén Dario","non-dropping-particle":"","parse-names":false,"suffix":""},{"dropping-particle":"","family":"León-Pulido","given":"Jeffrey","non-dropping-particle":"","parse-names":false,"suffix":""},{"dropping-particle":"","family":"García-Pérez","given":"Alexander","non-dropping-particle":"","parse-names":false,"suffix":""},{"dropping-particle":"","family":"Fajardo-Moreno","given":"William Stive","non-dropping-particle":"","parse-names":false,"suffix":""},{"dropping-particle":"","family":"Espinosa-Leal","given":"Leonardo","non-dropping-particle":"","parse-names":false,"suffix":""}],"container-title":"Sustainability","id":"ITEM-1","issue":"11036","issued":{"date-parts":[["2022"]]},"page":"1-12","title":"Contemporary Management Practice Applying the Dynamic Absorptive Capacity Measurement Model ( PM 4 AC ) for Improved Business Sustainability","type":"article-journal","volume":"14"},"uris":["http://www.mendeley.com/documents/?uuid=92a60348-40f5-48c9-a7fe-e61af01c4a3c"]}],"mendeley":{"formattedCitation":"[23]","plainTextFormattedCitation":"[23]","previouslyFormattedCitation":"[23]"},"properties":{"noteIndex":0},"schema":"https://github.com/citation-style-language/schema/raw/master/csl-citation.json"}</w:instrText>
            </w:r>
            <w:r w:rsidRPr="00D63BE2">
              <w:fldChar w:fldCharType="separate"/>
            </w:r>
            <w:r w:rsidRPr="00E64F19">
              <w:rPr>
                <w:noProof/>
              </w:rPr>
              <w:t>[23]</w:t>
            </w:r>
            <w:r w:rsidRPr="00D63BE2">
              <w:fldChar w:fldCharType="end"/>
            </w:r>
            <w:r w:rsidRPr="00A12A79">
              <w:rPr>
                <w:rFonts w:ascii="Arial" w:hAnsi="Arial" w:cs="Arial"/>
                <w:color w:val="000000"/>
                <w:sz w:val="20"/>
                <w:szCs w:val="20"/>
              </w:rPr>
              <w:t xml:space="preserve">, </w:t>
            </w:r>
            <w:r w:rsidRPr="00D63BE2">
              <w:fldChar w:fldCharType="begin" w:fldLock="1"/>
            </w:r>
            <w:r w:rsidR="008516C5">
              <w:instrText>ADDIN CSL_CITATION {"citationItems":[{"id":"ITEM-1","itemData":{"DOI":"https://doi.org/10.25077/josi.v23.n1.p109-119.2024","author":[{"dropping-particle":"","family":"Rahman","given":"Hafiz","non-dropping-particle":"","parse-names":false,"suffix":""},{"dropping-particle":"","family":"Oktavia","given":"Sri","non-dropping-particle":"","parse-names":false,"suffix":""},{"dropping-particle":"","family":"Shetye","given":"Niyanta","non-dropping-particle":"","parse-names":false,"suffix":""},{"dropping-particle":"","family":"Azonhoumon","given":"Winny Leocade Sedjiro","non-dropping-particle":"","parse-names":false,"suffix":""}],"container-title":"Jurnal Optimasi Sistem Industri","id":"ITEM-1","issue":"1","issued":{"date-parts":[["2024"]]},"page":"109-119","title":"Enhancing Operations for Sustainability in Indonesian SMEs through Climate Change Awareness and Business Orientation","type":"article-journal","volume":"23"},"uris":["http://www.mendeley.com/documents/?uuid=d2f0db5b-06cf-48ac-9282-ce78754db3f7"]}],"mendeley":{"formattedCitation":"[26]","plainTextFormattedCitation":"[26]","previouslyFormattedCitation":"[26]"},"properties":{"noteIndex":0},"schema":"https://github.com/citation-style-language/schema/raw/master/csl-citation.json"}</w:instrText>
            </w:r>
            <w:r w:rsidRPr="00D63BE2">
              <w:fldChar w:fldCharType="separate"/>
            </w:r>
            <w:r w:rsidRPr="00E64F19">
              <w:rPr>
                <w:noProof/>
              </w:rPr>
              <w:t>[26]</w:t>
            </w:r>
            <w:r w:rsidRPr="00D63BE2">
              <w:fldChar w:fldCharType="end"/>
            </w:r>
            <w:r w:rsidRPr="00A12A79">
              <w:rPr>
                <w:rFonts w:ascii="Arial" w:hAnsi="Arial" w:cs="Arial"/>
                <w:color w:val="000000"/>
                <w:sz w:val="20"/>
                <w:szCs w:val="20"/>
              </w:rPr>
              <w:t xml:space="preserve">, </w:t>
            </w:r>
            <w:r w:rsidRPr="00D63BE2">
              <w:fldChar w:fldCharType="begin" w:fldLock="1"/>
            </w:r>
            <w:r>
              <w:instrText>ADDIN CSL_CITATION {"citationItems":[{"id":"ITEM-1","itemData":{"DOI":"http://doi.org/10.14569/IJACSA.2022.0130871","ISSN":"21565570","abstract":"One of the main problems of small companies is not knowing how to properly manage investments, resources, strategies, tools and responsibilities to be more competitive, the research objective is the development of management and innovation processes required by the new company for its permanence in the market and decision making to be carried out every day; small companies face the competitiveness of new products that emerge. Today there are a great variety of products, which are globally interconnected, therefore it is required to implement a structural equation model for its management, so that the company continuously improves and optimizes the available resources, therefore as a result is the management, focused on greater effectiveness of resources; so it is necessary that small businesses need to manage a model of investments, resources, tools and responsibilities to obtain support from the competitiveness of the market; which would allow it to be oriented to a sustainable development and be one step ahead of the competition.","author":[{"dropping-particle":"","family":"Advincula","given":"Rafael Roosell Paez","non-dropping-particle":"","parse-names":false,"suffix":""},{"dropping-particle":"","family":"Chavesta","given":"Celso Gonzales","non-dropping-particle":"","parse-names":false,"suffix":""},{"dropping-particle":"","family":"Ocares-Cunyarachi","given":"Lilian","non-dropping-particle":"","parse-names":false,"suffix":""}],"container-title":"International Journal of Advanced Computer Science and Applications","id":"ITEM-1","issue":"8","issued":{"date-parts":[["2022"]]},"page":"620-627","title":"Innovation Management Model as a Source of Business Competitiveness for Industrial SMEs","type":"article-journal","volume":"13"},"uris":["http://www.mendeley.com/documents/?uuid=b3df2901-6ecb-487c-aa1c-47807419c60a"]}],"mendeley":{"formattedCitation":"[27]","plainTextFormattedCitation":"[27]","previouslyFormattedCitation":"[27]"},"properties":{"noteIndex":0},"schema":"https://github.com/citation-style-language/schema/raw/master/csl-citation.json"}</w:instrText>
            </w:r>
            <w:r w:rsidRPr="00D63BE2">
              <w:fldChar w:fldCharType="separate"/>
            </w:r>
            <w:r w:rsidRPr="00E64F19">
              <w:rPr>
                <w:noProof/>
              </w:rPr>
              <w:t>[27]</w:t>
            </w:r>
            <w:r w:rsidRPr="00D63BE2">
              <w:fldChar w:fldCharType="end"/>
            </w:r>
            <w:r w:rsidRPr="00A12A79">
              <w:rPr>
                <w:rFonts w:ascii="Arial" w:hAnsi="Arial" w:cs="Arial"/>
                <w:color w:val="000000"/>
                <w:sz w:val="20"/>
                <w:szCs w:val="20"/>
              </w:rPr>
              <w:t xml:space="preserve">, </w:t>
            </w:r>
            <w:r w:rsidRPr="00D63BE2">
              <w:fldChar w:fldCharType="begin" w:fldLock="1"/>
            </w:r>
            <w:r>
              <w:instrText>ADDIN CSL_CITATION {"citationItems":[{"id":"ITEM-1","itemData":{"DOI":"https://doi.org/10.3390/w14192964","ISSN":"20734441","abstract":"The blue economy contributes significantly to the creation of the Atlantic Area’s identity. In addition, the search for outdoor experiences after the COVID-19 lockdown suspensions has renewed the popularity of nautical tourism in this area and in the world. Despite the negative effects of the economic crisis on tourism, evidence suggests that some tourist destinations in the Atlantic area are resilient. Thus, whereas some branches of the blue economy face considerable challenges to increasing competitiveness, others offer opportunities for economic growth and employment. In this context, investment is necessary to lay the foundations for the sustainable development of nautical tourism. However, regarding the role of investment in productivity and competitiveness in the context of crisis, there is no consensus among academics. Thus, we investigate whether the investment contributed to competitiveness in nautical tourism in the Atlantic Area in 2016–2020. We collected data from ORBIS for 29 nautical-tourism companies and performed a quantitative and qualitative narrative analysis of competitiveness indicators, enabling comparisons pre and during crisis. The results highlight the multiplicity of ways in which crisis impacts nautical-tourism firms. The research fills a gap in the literature by investigating the dynamic capabilities of nautical-tourism SMEs in periods of recession, with a special focus on restructuring and competitiveness strategies. Some recommendations are outlined to promote the efficiency of resources and stimulate the competitiveness of companies to allow the regional development of nautical tourism in the territory of the Atlantic area.","author":[{"dropping-particle":"","family":"Santos","given":"Eleonora","non-dropping-particle":"","parse-names":false,"suffix":""},{"dropping-particle":"","family":"Castanho","given":"Rui Alexandre","non-dropping-particle":"","parse-names":false,"suffix":""},{"dropping-particle":"","family":"Meyer","given":"Daniel","non-dropping-particle":"","parse-names":false,"suffix":""}],"container-title":"Water (Switzerland)","id":"ITEM-1","issue":"19","issued":{"date-parts":[["2022"]]},"page":"1-17","title":"Is Investment Contributing to Competitiveness in Nautical Tourism in the Atlantic Area?","type":"article-journal","volume":"14"},"uris":["http://www.mendeley.com/documents/?uuid=30aecf1b-328f-435a-a76d-a191dbe74f2b"]}],"mendeley":{"formattedCitation":"[28]","plainTextFormattedCitation":"[28]","previouslyFormattedCitation":"[28]"},"properties":{"noteIndex":0},"schema":"https://github.com/citation-style-language/schema/raw/master/csl-citation.json"}</w:instrText>
            </w:r>
            <w:r w:rsidRPr="00D63BE2">
              <w:fldChar w:fldCharType="separate"/>
            </w:r>
            <w:r w:rsidRPr="00E64F19">
              <w:rPr>
                <w:noProof/>
              </w:rPr>
              <w:t>[28]</w:t>
            </w:r>
            <w:r w:rsidRPr="00D63BE2">
              <w:fldChar w:fldCharType="end"/>
            </w:r>
            <w:r w:rsidRPr="00A12A79">
              <w:rPr>
                <w:rFonts w:ascii="Arial" w:hAnsi="Arial" w:cs="Arial"/>
                <w:color w:val="000000"/>
                <w:sz w:val="20"/>
                <w:szCs w:val="20"/>
              </w:rPr>
              <w:t xml:space="preserve">, </w:t>
            </w:r>
            <w:r w:rsidRPr="00D63BE2">
              <w:fldChar w:fldCharType="begin" w:fldLock="1"/>
            </w:r>
            <w:r>
              <w:instrText>ADDIN CSL_CITATION {"citationItems":[{"id":"ITEM-1","itemData":{"DOI":"http://doi.org/10.47836/ijeamsi.16.1.006","ISSN":"1823836X","abstract":"The global economy is facing the outbreak of COVID-19 which has exposed the people around the world with a dangerous virus. Despite of appeals put by the Government, SMEs need to understand on how to confront this crisis and search for strategies to curb with the pandemic. This research aims to scrutinize the prevalence of strategic foresight to assist the SMEs to be agile the pandemic and secure their sustainable performance. A series of interview with SMEs Agencies and SMEs was conducted to understand their behaviours on the strategies to combat the pandemic. Five agencies were interviewed to obtain their insights on their support provided to the SMEs. Eighteen SMEs were interviewed to understand their knowledge and understanding on the role of strategic foresight and the impact on agility and competitiveness. From the findings, SMEs agencies believe that SMEs need to be a future ready and agile for any circumstances that affect their businesses by having a clear future direction. For SMEs, they need to be agile by practicing entrepreneurial bricolage in which they have to deploy all the available resources to sustain their performance during pandemic. The originality of this is to provide insights into how Malaysian SMEs could formulate their strategy for business sustainability during the pandemic through the identifications of strategic foresight and agility in their business activities and process.","author":[{"dropping-particle":"","family":"Halima","given":"Hasliza Abdul","non-dropping-particle":"","parse-names":false,"suffix":""},{"dropping-particle":"","family":"Zainala","given":"Siti Rohaida Mohamed","non-dropping-particle":"","parse-names":false,"suffix":""},{"dropping-particle":"","family":"Ahmada","given":"Noor Hazlina","non-dropping-particle":"","parse-names":false,"suffix":""}],"container-title":"International Journal of Economics and Management","id":"ITEM-1","issue":"SpecialIssue1","issued":{"date-parts":[["2022"]]},"page":"81-97","title":"Strategic Foresight and Agility: Upholding Sustainable Competitiveness Among SMEs During COVID-19 Pandemic","type":"article-journal","volume":"16"},"uris":["http://www.mendeley.com/documents/?uuid=ea0b25dc-b3b7-4dbc-a2aa-f18274c3e772"]}],"mendeley":{"formattedCitation":"[29]","plainTextFormattedCitation":"[29]","previouslyFormattedCitation":"[29]"},"properties":{"noteIndex":0},"schema":"https://github.com/citation-style-language/schema/raw/master/csl-citation.json"}</w:instrText>
            </w:r>
            <w:r w:rsidRPr="00D63BE2">
              <w:fldChar w:fldCharType="separate"/>
            </w:r>
            <w:r w:rsidRPr="00E64F19">
              <w:rPr>
                <w:noProof/>
              </w:rPr>
              <w:t>[29]</w:t>
            </w:r>
            <w:r w:rsidRPr="00D63BE2">
              <w:fldChar w:fldCharType="end"/>
            </w:r>
            <w:r w:rsidRPr="00A12A79">
              <w:rPr>
                <w:rFonts w:ascii="Arial" w:hAnsi="Arial" w:cs="Arial"/>
                <w:color w:val="000000"/>
                <w:sz w:val="20"/>
                <w:szCs w:val="20"/>
              </w:rPr>
              <w:t xml:space="preserve">, </w:t>
            </w:r>
            <w:r w:rsidRPr="00D63BE2">
              <w:fldChar w:fldCharType="begin" w:fldLock="1"/>
            </w:r>
            <w:r w:rsidR="008516C5">
              <w:instrText>ADDIN CSL_CITATION {"citationItems":[{"id":"ITEM-1","itemData":{"DOI":"DOI: https://doi.org/10.34190/ecmlg.18.1.906","ISBN":"9781914587573","ISSN":"2048903X","abstract":"Thailand is implementing the Thailand 4.0 policy that aims to bring technology and innovation to build sustainable competitiveness for the private sector. However, in the context of SMEs, the ability to transfer technology from universities is still a limitation. The objective of this research is to identify the technology assistance needs of SMEs, as well as, to study the key factors that make the technology transfer successful in the context of collaboration between universities, government agencies and SMEs. The sample group of this research is 226 SME entrepreneurs participating in the Boost up New Entrepreneurs with Technology and Innovation Program carried out by The Office of SMEs Promotion and Thammasat University between 2019-2020. The research results indicated that to create sustainable competitiveness, SMEs need technology assistance in 4 areas: (1) enhancing digital marketing capabilities, (2) developing product innovations, (3) raising product standards, and (4) improving production efficiency. In addition, this research also indicated that the technology transfer success factors for SMEs has 3 key elements: (1) a technology transferor who stands out for collaboration between researchers and business consultants, (2)atechnology transferee who has key characteristics of entrepreneur orientation and absorptive capacity of SMEs, and (3)the technology characteristics which can be connected to the original business processes of the organization which is a technology that gives SMEs' products uniqueness that is difficult for competitors in the market to copy.","author":[{"dropping-particle":"","family":"Khongmalai","given":"Orapan","non-dropping-particle":"","parse-names":false,"suffix":""},{"dropping-particle":"","family":"Distanont","given":"Anyanitha","non-dropping-particle":"","parse-names":false,"suffix":""}],"container-title":"Proceedings of the European Conference on Management, Leadership and Governance","id":"ITEM-1","issued":{"date-parts":[["2022"]]},"page":"222-228","title":"Technology Transfer Model to Enhance Sustainable Competitiveness of SMEs","type":"article-journal","volume":"2022-Novem"},"uris":["http://www.mendeley.com/documents/?uuid=98401e0f-17d4-4eb2-ab8c-8ca5bde66391"]}],"mendeley":{"formattedCitation":"[30]","plainTextFormattedCitation":"[30]","previouslyFormattedCitation":"[30]"},"properties":{"noteIndex":0},"schema":"https://github.com/citation-style-language/schema/raw/master/csl-citation.json"}</w:instrText>
            </w:r>
            <w:r w:rsidRPr="00D63BE2">
              <w:fldChar w:fldCharType="separate"/>
            </w:r>
            <w:r w:rsidRPr="00E64F19">
              <w:rPr>
                <w:noProof/>
              </w:rPr>
              <w:t>[30]</w:t>
            </w:r>
            <w:r w:rsidRPr="00D63BE2">
              <w:fldChar w:fldCharType="end"/>
            </w:r>
            <w:r w:rsidRPr="00A12A79">
              <w:rPr>
                <w:rFonts w:ascii="Arial" w:hAnsi="Arial" w:cs="Arial"/>
                <w:color w:val="000000"/>
                <w:sz w:val="20"/>
                <w:szCs w:val="20"/>
              </w:rPr>
              <w:t xml:space="preserve">, </w:t>
            </w:r>
            <w:r w:rsidRPr="00D63BE2">
              <w:fldChar w:fldCharType="begin" w:fldLock="1"/>
            </w:r>
            <w:r>
              <w:instrText>ADDIN CSL_CITATION {"citationItems":[{"id":"ITEM-1","itemData":{"DOI":"https://doi.org/10.18280/ijsdp.170408","ISSN":"1743761X","abstract":"Business today has been globalized. This has made business even more competitive. Companies, regardless of their size, have to improve their competitiveness. Sustainable competitiveness is the core need for innovation. This study aims at exploring the correlation between IT-based innovation or technopreneurship and business competitiveness. This was a quantitative study with survey method. The respondents in this study were small business owners in handicraft and creative content production in Gorontalo city. The data were collected by online form and after three month collecting data, data were collected were 163 respondents. Product, process and organizational innovation and business competitiveness instruments use instruments from previous research. All instruments use a Likert scale with points 1 to 5 which indicate a scale of disagreement to agreement from the respondents. The data were analyzed using PLS-SEM. The Results show that information technology-based product innovation, IT based process innovation, and IT organizational innovation significantly and positively influence the growth of business competitiveness. Product innovation of business owners in Gorontalo city, Indonesia is actively producing new products. Also, innovation is not only limited to product innovation but also production process innovation, which uses information technology. Utilization of technopreneurship is significantly able to increase business competitiveness, especially for small businesses in Gorontalo city. Utilization of innovation in information technology assumed to strongly develop business competitiveness. The business competitiveness of small businesses in the high-tech field is influenced by products, processes and organizational innovation. SMEs must be able to create products, or product segments, and services that exceed the performance limitations of traditional products by utilizing everything possible through digital models","author":[{"dropping-particle":"","family":"Machmud","given":"Rizan","non-dropping-particle":"","parse-names":false,"suffix":""},{"dropping-particle":"","family":"Wuryaningrat","given":"Nikolas F.","non-dropping-particle":"","parse-names":false,"suffix":""},{"dropping-particle":"","family":"Mutiarasari","given":"Diah","non-dropping-particle":"","parse-names":false,"suffix":""}],"container-title":"International Journal of Sustainable Development and Planning","id":"ITEM-1","issue":"4","issued":{"date-parts":[["2022"]]},"page":"1117-1122","title":"Technopreneurship-Based Competitiveness and Innovation at Small Business in Gorontalo City","type":"article-journal","volume":"17"},"uris":["http://www.mendeley.com/documents/?uuid=7953932c-869d-457c-9dec-83df5ab570d3"]}],"mendeley":{"formattedCitation":"[31]","plainTextFormattedCitation":"[31]","previouslyFormattedCitation":"[31]"},"properties":{"noteIndex":0},"schema":"https://github.com/citation-style-language/schema/raw/master/csl-citation.json"}</w:instrText>
            </w:r>
            <w:r w:rsidRPr="00D63BE2">
              <w:fldChar w:fldCharType="separate"/>
            </w:r>
            <w:r w:rsidRPr="00E64F19">
              <w:rPr>
                <w:noProof/>
              </w:rPr>
              <w:t>[31]</w:t>
            </w:r>
            <w:r w:rsidRPr="00D63BE2">
              <w:fldChar w:fldCharType="end"/>
            </w:r>
            <w:r w:rsidRPr="00A12A79">
              <w:rPr>
                <w:rFonts w:ascii="Arial" w:hAnsi="Arial" w:cs="Arial"/>
                <w:color w:val="000000"/>
                <w:sz w:val="20"/>
                <w:szCs w:val="20"/>
              </w:rPr>
              <w:t xml:space="preserve">, </w:t>
            </w:r>
            <w:r w:rsidRPr="00D63BE2">
              <w:fldChar w:fldCharType="begin" w:fldLock="1"/>
            </w:r>
            <w:r w:rsidR="008516C5">
              <w:instrText>ADDIN CSL_CITATION {"citationItems":[{"id":"ITEM-1","itemData":{"DOI":"https://doi.org/10.24294/jipd.v8i11.8209","ISSN":"2572-7931","abstract":"In response to the increasing global emphasis on sustainability and the specific challenges faced by small and medium-sized enterprises (SMEs) in China, this study explores the integration of green reverse logistics within these enterprises to enhance their sustainability and competitiveness. The aim of this study is to understand the relationship between reverse logistics, green logistics, and sustainable development. Data analysis was conducted utilizing a combination of descriptive statistics and correlation analysis. A survey of 311 participants examined SMEs’ performance in reverse logistics practices and their initiatives in green logistics and sustainable development. The empirical findings reveal significant progress in reverse logistics practices among SMEs, reducing environmental impact and improving resource efficiency. Moreover, a notable positive correlation was identified between reverse logistics promotion and advancements in green logistics and sustainable development. SMEs’ investment in reverse logistics is closely linked to their efforts in environmentally conscious and sustainable supply chain management. These insights benefit SMEs and supply chain practitioners and offer a valuable reference for future research and practical applications in this field.","author":[{"dropping-particle":"","family":"Chen","given":"Yunlin","non-dropping-particle":"","parse-names":false,"suffix":""}],"container-title":"Journal of Infrastructure, Policy and Development","id":"ITEM-1","issue":"11","issued":{"date-parts":[["2024","10","11"]]},"page":"8209","title":"The sustainable development of small and midsize enterprises in China on green reverse logistics","type":"article-journal","volume":"8"},"uris":["http://www.mendeley.com/documents/?uuid=4f713186-9a6c-4520-8e12-a9c09bcdf014"]}],"mendeley":{"formattedCitation":"[32]","plainTextFormattedCitation":"[32]","previouslyFormattedCitation":"[32]"},"properties":{"noteIndex":0},"schema":"https://github.com/citation-style-language/schema/raw/master/csl-citation.json"}</w:instrText>
            </w:r>
            <w:r w:rsidRPr="00D63BE2">
              <w:fldChar w:fldCharType="separate"/>
            </w:r>
            <w:r w:rsidRPr="00E64F19">
              <w:rPr>
                <w:noProof/>
              </w:rPr>
              <w:t>[32]</w:t>
            </w:r>
            <w:r w:rsidRPr="00D63BE2">
              <w:fldChar w:fldCharType="end"/>
            </w:r>
            <w:r>
              <w:rPr>
                <w:rFonts w:ascii="Arial" w:hAnsi="Arial" w:cs="Arial"/>
                <w:color w:val="000000"/>
                <w:sz w:val="20"/>
                <w:szCs w:val="20"/>
              </w:rPr>
              <w:t>,</w:t>
            </w:r>
            <w:r w:rsidRPr="00D63BE2">
              <w:fldChar w:fldCharType="begin" w:fldLock="1"/>
            </w:r>
            <w:r w:rsidR="008516C5">
              <w:instrText>ADDIN CSL_CITATION {"citationItems":[{"id":"ITEM-1","itemData":{"DOI":"http://dx.doi.org/10. 28991/HEF-2023-04-04-03","ISSN":"27852997","abstract":"This qualitative study aims to investigate the Triple Layered Business Model Canvas (TLBMC) strategy to drive environmental progress within the Indonesian fashion industry. Employing the descriptive phenomenological method, the research focuses on applying the TLBMC model to enhance the environmental sustainability of Micro, Small, and Medium Enterprises (MSMEs) in Yan An. The Yan An case study serves as a practical illustration, demonstrating the successful implementation of the TLBMC model and offering valuable insights into sustainable solutions for challenges faced by the Indonesian fashion industry. In contributing to the existing literature, this study introduces and applies the TLBMC strategy as an innovative approach to address environmental and competitiveness challenges within the Indonesian fashion industry. The research emphasizes the urgent need for a cost-effective and environmentally friendly business strategy, considering the industry’s substantial contribution to environmental issues, accounting for 20% of global wastewater production. The changing consumer perceptions, where fashion is seen as a symbol of social status, have fueled rapid industry growth and intensified challenges for local fashion products, especially those from small and medium-sized enterprises (SMEs). The study underscores the critical importance of embracing sustainable business practices in the dynamic landscape of the Indonesian fashion industry.","author":[{"dropping-particle":"","family":"Hurriyati","given":"Ratih","non-dropping-particle":"","parse-names":false,"suffix":""},{"dropping-particle":"","family":"Dagustani","given":"Dani","non-dropping-particle":"","parse-names":false,"suffix":""},{"dropping-particle":"","family":"Surachim","given":"Ahim","non-dropping-particle":"","parse-names":false,"suffix":""},{"dropping-particle":"","family":"Sulastri","given":"S.","non-dropping-particle":"","parse-names":false,"suffix":""},{"dropping-particle":"","family":"Lisnawati","given":"L.","non-dropping-particle":"","parse-names":false,"suffix":""}],"container-title":"Journal of Human, Earth, and Future","id":"ITEM-1","issue":"4","issued":{"date-parts":[["2023"]]},"page":"411-423","title":"Triple-Layered Business Model Canvas Environment Based in the Fashion Industry","type":"article-journal","volume":"4"},"uris":["http://www.mendeley.com/documents/?uuid=aaf14e7b-8381-4c97-a5a5-abc0866d6728"]}],"mendeley":{"formattedCitation":"[33]","plainTextFormattedCitation":"[33]","previouslyFormattedCitation":"[33]"},"properties":{"noteIndex":0},"schema":"https://github.com/citation-style-language/schema/raw/master/csl-citation.json"}</w:instrText>
            </w:r>
            <w:r w:rsidRPr="00D63BE2">
              <w:fldChar w:fldCharType="separate"/>
            </w:r>
            <w:r w:rsidRPr="00E64F19">
              <w:rPr>
                <w:noProof/>
              </w:rPr>
              <w:t>[33]</w:t>
            </w:r>
            <w:r w:rsidRPr="00D63BE2">
              <w:fldChar w:fldCharType="end"/>
            </w:r>
            <w:r w:rsidRPr="00A12A79">
              <w:rPr>
                <w:rFonts w:ascii="Arial" w:hAnsi="Arial" w:cs="Arial"/>
                <w:color w:val="000000"/>
                <w:sz w:val="20"/>
                <w:szCs w:val="20"/>
              </w:rPr>
              <w:t>,</w:t>
            </w:r>
            <w:r w:rsidRPr="00D63BE2">
              <w:t xml:space="preserve"> </w:t>
            </w:r>
            <w:r w:rsidRPr="00D63BE2">
              <w:fldChar w:fldCharType="begin" w:fldLock="1"/>
            </w:r>
            <w:r w:rsidR="008516C5">
              <w:instrText>ADDIN CSL_CITATION {"citationItems":[{"id":"ITEM-1","itemData":{"DOI":"https://doi.org/10.1007/s13132-022-01043-5","ISBN":"0123456789","ISSN":"18687873","abstract":"This paper aims to analyze the strategic effects of the association of small and medium-sized enterprises (SMEs) in knowledge networks (k-networks) on their information and knowledge management (IKM) and intellectual capital (IC). Taking as the object of study two innovative and successful Brazilian experiences, a descriptive survey with top-level executives (managing partners, presidents, and executive directors — henceforth CEOs) was held. Based on theories of management and economics, the findings revealed (i) that the network formation process (encompassing culture, context, incentives for information and knowledge sharing and especially strategy) is an important factor to explain IKM (for creating, systematizing and sharing data, information and knowledge) and IC in its three dimensions (human, relational and structural capital), promoting long-term sustainable growth (perceived by improvements in innovation, competitiveness and corporate results) for SMEs and their networks — a very relevant issue, but whose theoretical and managerial understanding is very incipient in international literature, especially in emerging economies.","author":[{"dropping-particle":"","family":"Jordão","given":"Ricardo Vinícius Dias","non-dropping-particle":"","parse-names":false,"suffix":""},{"dropping-particle":"","family":"Novas","given":"Jorge Casas","non-dropping-particle":"","parse-names":false,"suffix":""}],"container-title":"Journal of the Knowledge Economy","id":"ITEM-1","issue":"1","issued":{"date-parts":[["2024"]]},"page":"563-595","publisher":"Springer US","title":"Information and Knowledge Management, Intellectual Capital, and Sustainable Growth in Networked Small and Medium Enterprises","type":"article-journal","volume":"15"},"uris":["http://www.mendeley.com/documents/?uuid=b1040710-1b3c-4079-b801-300ef8fbf19c"]}],"mendeley":{"formattedCitation":"[34]","plainTextFormattedCitation":"[34]","previouslyFormattedCitation":"[34]"},"properties":{"noteIndex":0},"schema":"https://github.com/citation-style-language/schema/raw/master/csl-citation.json"}</w:instrText>
            </w:r>
            <w:r w:rsidRPr="00D63BE2">
              <w:fldChar w:fldCharType="separate"/>
            </w:r>
            <w:r w:rsidRPr="00E64F19">
              <w:rPr>
                <w:noProof/>
              </w:rPr>
              <w:t>[34]</w:t>
            </w:r>
            <w:r w:rsidRPr="00D63BE2">
              <w:fldChar w:fldCharType="end"/>
            </w:r>
            <w:r>
              <w:t>,</w:t>
            </w:r>
            <w:r w:rsidRPr="00A12A79">
              <w:rPr>
                <w:rFonts w:ascii="Arial" w:hAnsi="Arial" w:cs="Arial"/>
                <w:color w:val="000000"/>
                <w:sz w:val="20"/>
                <w:szCs w:val="20"/>
              </w:rPr>
              <w:t xml:space="preserve"> </w:t>
            </w:r>
            <w:r w:rsidRPr="00D63BE2">
              <w:fldChar w:fldCharType="begin" w:fldLock="1"/>
            </w:r>
            <w:r w:rsidR="008516C5">
              <w:instrText>ADDIN CSL_CITATION {"citationItems":[{"id":"ITEM-1","itemData":{"DOI":"https://doi.org/10.1007/s11846-023-00656-7","ISBN":"0123456789","ISSN":"18636691","abstract":"The paper aims to investigate the characteristics of SMEs’ partners that can better contribute to the achievement of the SDGs. Given the explorative nature of this research, a qualitative methodology is adopted, with a longitudinal case study employed as the research method. The Wråd case study confirmed that SMEs can contribute to the achievement of the SDGs by developing partnerships with multiple stakeholders. In addition, this research revealed that the characteristics of the SMEs’ partners can be referred to the four following dimensions: economic, environmental, social and purpose. Furthermore, it proposed that quality utility value, technique level, profitability are the subdimensions of the economic dimension and that resource consumption efficiency, pollution production, energy efficiency, environment management system and environment equipment and facilities are the subdimensions of the environmental dimension. This research expressed also that public health, employee engagement, brand reputation and local communities’ influence are the subdimensions of the social dimension. Finally, it underlined that sustainability-oriented awareness development, sustainable orientation, sustainable collective culture, proactive managerial skills, organisational learning and proactive and innovative leadership are the subdimensions of the purpose dimension. In line with previous studies underlining the importance of increasing the TBL dimensions, this study suggests a further extension of this theory with the ‘purpose’ dimension. This study highlights the importance of developing a vision supported by a social awareness of the problems that need to be addressed and that transcend the fashion sector. Further researches could explore a larger sample of SMEs operating in different businesses and the point of view of the SME’s partners.","author":[{"dropping-particle":"","family":"Castellani","given":"Paola","non-dropping-particle":"","parse-names":false,"suffix":""},{"dropping-particle":"","family":"Rossato","given":"Chiara","non-dropping-particle":"","parse-names":false,"suffix":""},{"dropping-particle":"","family":"Giaretta","given":"Elena","non-dropping-particle":"","parse-names":false,"suffix":""},{"dropping-particle":"","family":"Vargas-Sánchez","given":"Alfonso","non-dropping-particle":"","parse-names":false,"suffix":""}],"container-title":"Review of Managerial Science","id":"ITEM-1","issue":"5","issued":{"date-parts":[["2024"]]},"page":"1317-1352","publisher":"Springer Berlin Heidelberg","title":"Partner selection strategies of SMEs for reaching the Sustainable Development Goals","type":"article-journal","volume":"18"},"uris":["http://www.mendeley.com/documents/?uuid=a7b7e54e-b54c-458c-b337-146199e35055"]}],"mendeley":{"formattedCitation":"[35]","plainTextFormattedCitation":"[35]","previouslyFormattedCitation":"[35]"},"properties":{"noteIndex":0},"schema":"https://github.com/citation-style-language/schema/raw/master/csl-citation.json"}</w:instrText>
            </w:r>
            <w:r w:rsidRPr="00D63BE2">
              <w:fldChar w:fldCharType="separate"/>
            </w:r>
            <w:r w:rsidRPr="00E64F19">
              <w:rPr>
                <w:noProof/>
              </w:rPr>
              <w:t>[35]</w:t>
            </w:r>
            <w:r w:rsidRPr="00D63BE2">
              <w:fldChar w:fldCharType="end"/>
            </w:r>
            <w:r w:rsidRPr="00A12A79">
              <w:rPr>
                <w:rFonts w:ascii="Arial" w:hAnsi="Arial" w:cs="Arial"/>
                <w:color w:val="000000"/>
                <w:sz w:val="20"/>
                <w:szCs w:val="20"/>
              </w:rPr>
              <w:t xml:space="preserve">, </w:t>
            </w:r>
            <w:r w:rsidRPr="00D63BE2">
              <w:fldChar w:fldCharType="begin" w:fldLock="1"/>
            </w:r>
            <w:r w:rsidRPr="00D63BE2">
              <w:instrText>ADDIN CSL_CITATION {"citationItems":[{"id":"ITEM-1","itemData":{"DOI":"https://doi.org/10.3390/su16114377","ISSN":"20711050","abstract":"This paper investigates the incorporation of sustainable development within the Portuguese agri-food sector amid global environmental and resource challenges. It underscores the role of the Sustainable Development Goals (SDGs) and environmental, social, and governance (ESG) criteria in steering businesses towards sustainable practices. Through qualitative analysis, in-depth interviews with managers and experts explored sustainable business model adoption, highlighting SMEs’ unique challenges. The study reveals a divergence in sustainability practice maturity, advocating for integration into organizational culture and strategy. It points out SMEs’ reactive stance due to resource constraints and external pressures, contrasting with larger firms’ proactive approaches. The research supports a strategic reevaluation of business models for sustainability, emphasizing innovation, leadership, organizational commitment, and transparent communication. Practical contributions include embedding sustainability into core operations, enhancing competitiveness, fostering sustainable organizational culture, prioritizing employee well-being, and leveraging innovative marketing for sustainability communication. Recognizing its limitations, this study advocates exploring blockchain and AI for transparency, leadership’s role in sustainable models, and the importance of marketing in the agri-food sector for sustainable management. Insights indicate that innovation and strategic partnerships are crucial for enhancing organizational sustainability and achieving the SDGs.","author":[{"dropping-particle":"","family":"Camelo","given":"Gonçalo","non-dropping-particle":"","parse-names":false,"suffix":""},{"dropping-particle":"","family":"Nogueira","given":"Mafalda","non-dropping-particle":"","parse-names":false,"suffix":""}],"container-title":"Sustainability (Switzerland)","id":"ITEM-1","issue":"11","issued":{"date-parts":[["2024"]]},"title":"The ESG Menu: Integrating Sustainable Practices in the Portuguese Agri-Food Sector","type":"article-journal","volume":"16"},"uris":["http://www.mendeley.com/documents/?uuid=a509d32a-b739-4e9a-8b7c-acda6a44c797"]}],"mendeley":{"formattedCitation":"[4]","plainTextFormattedCitation":"[4]","previouslyFormattedCitation":"[4]"},"properties":{"noteIndex":0},"schema":"https://github.com/citation-style-language/schema/raw/master/csl-citation.json"}</w:instrText>
            </w:r>
            <w:r w:rsidRPr="00D63BE2">
              <w:fldChar w:fldCharType="separate"/>
            </w:r>
            <w:r w:rsidRPr="00D63BE2">
              <w:rPr>
                <w:noProof/>
              </w:rPr>
              <w:t>[4]</w:t>
            </w:r>
            <w:r w:rsidRPr="00D63BE2">
              <w:fldChar w:fldCharType="end"/>
            </w:r>
          </w:p>
        </w:tc>
      </w:tr>
      <w:tr w:rsidR="00EC7FF1" w:rsidRPr="00A12A79" w:rsidTr="00B0441B">
        <w:trPr>
          <w:trHeight w:val="300"/>
          <w:jc w:val="center"/>
        </w:trPr>
        <w:tc>
          <w:tcPr>
            <w:tcW w:w="1350" w:type="dxa"/>
            <w:vMerge/>
            <w:vAlign w:val="center"/>
            <w:hideMark/>
          </w:tcPr>
          <w:p w:rsidR="00EC7FF1" w:rsidRPr="00A12A79" w:rsidRDefault="00EC7FF1" w:rsidP="00EC7FF1">
            <w:pPr>
              <w:spacing w:after="0" w:line="240" w:lineRule="auto"/>
              <w:rPr>
                <w:rFonts w:ascii="Arial" w:hAnsi="Arial" w:cs="Arial"/>
                <w:color w:val="000000"/>
                <w:sz w:val="20"/>
                <w:szCs w:val="20"/>
              </w:rPr>
            </w:pPr>
          </w:p>
        </w:tc>
        <w:tc>
          <w:tcPr>
            <w:tcW w:w="1617" w:type="dxa"/>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A12A79">
              <w:rPr>
                <w:rFonts w:ascii="Arial" w:hAnsi="Arial" w:cs="Arial"/>
                <w:color w:val="000000"/>
                <w:sz w:val="20"/>
                <w:szCs w:val="20"/>
              </w:rPr>
              <w:t>Corporate Social Responsibility</w:t>
            </w:r>
          </w:p>
        </w:tc>
        <w:tc>
          <w:tcPr>
            <w:tcW w:w="1184" w:type="dxa"/>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D63BE2">
              <w:fldChar w:fldCharType="begin" w:fldLock="1"/>
            </w:r>
            <w:r w:rsidR="008516C5">
              <w:instrText>ADDIN CSL_CITATION {"citationItems":[{"id":"ITEM-1","itemData":{"DOI":"https://doi.org/10.1108/IJOEM-07-2021-1164","author":[{"dropping-particle":"","family":"Le","given":"Thanh Tiep","non-dropping-particle":"","parse-names":false,"suffix":""}],"container-title":"International Journal of Emerging Markets","id":"ITEM-1","issue":"10","issued":{"date-parts":[["2023"]]},"page":"4565-4590","title":"Corporate social responsibility and SMEs ’ performance : mediating role of corporate image , corporate reputation and customer loyalty","type":"article-journal","volume":"18"},"uris":["http://www.mendeley.com/documents/?uuid=72811685-9f18-4e0f-a2df-c6d8223b9fcb"]}],"mendeley":{"formattedCitation":"[24]","plainTextFormattedCitation":"[24]","previouslyFormattedCitation":"[24]"},"properties":{"noteIndex":0},"schema":"https://github.com/citation-style-language/schema/raw/master/csl-citation.json"}</w:instrText>
            </w:r>
            <w:r w:rsidRPr="00D63BE2">
              <w:fldChar w:fldCharType="separate"/>
            </w:r>
            <w:r w:rsidRPr="00E64F19">
              <w:rPr>
                <w:noProof/>
              </w:rPr>
              <w:t>[24]</w:t>
            </w:r>
            <w:r w:rsidRPr="00D63BE2">
              <w:fldChar w:fldCharType="end"/>
            </w:r>
            <w:r>
              <w:t>,</w:t>
            </w:r>
            <w:r w:rsidRPr="00D63BE2">
              <w:fldChar w:fldCharType="begin" w:fldLock="1"/>
            </w:r>
            <w:r>
              <w:instrText>ADDIN CSL_CITATION {"citationItems":[{"id":"ITEM-1","itemData":{"DOI":"https://doi.org/10.1080/23311975.2021.1893246","author":[{"dropping-particle":"Le","family":"Thanh","given":"Tiep","non-dropping-particle":"","parse-names":false,"suffix":""},{"dropping-particle":"","family":"Huan","given":"Ngo Quang","non-dropping-particle":"","parse-names":false,"suffix":""},{"dropping-particle":"","family":"Thi","given":"Tran","non-dropping-particle":"","parse-names":false,"suffix":""},{"dropping-particle":"","family":"Hong","given":"Thuy","non-dropping-particle":"","parse-names":false,"suffix":""}],"container-title":"Cogent Business &amp; Management","id":"ITEM-1","issue":"1","issued":{"date-parts":[["2021"]]},"publisher":"Cogent","title":"Determinants for competitiveness in the context of international integration pressure : Case of small and medium enterprises in emerging economy – Vietnam","type":"article-journal","volume":"8"},"uris":["http://www.mendeley.com/documents/?uuid=e02f0b10-24be-4c80-bd3f-9411fc84d856"]}],"mendeley":{"formattedCitation":"[25]","plainTextFormattedCitation":"[25]","previouslyFormattedCitation":"[25]"},"properties":{"noteIndex":0},"schema":"https://github.com/citation-style-language/schema/raw/master/csl-citation.json"}</w:instrText>
            </w:r>
            <w:r w:rsidRPr="00D63BE2">
              <w:fldChar w:fldCharType="separate"/>
            </w:r>
            <w:r w:rsidRPr="00E64F19">
              <w:rPr>
                <w:noProof/>
              </w:rPr>
              <w:t>[25]</w:t>
            </w:r>
            <w:r w:rsidRPr="00D63BE2">
              <w:fldChar w:fldCharType="end"/>
            </w:r>
            <w:r w:rsidRPr="00A12A79">
              <w:rPr>
                <w:rFonts w:ascii="Arial" w:hAnsi="Arial" w:cs="Arial"/>
                <w:color w:val="000000"/>
                <w:sz w:val="20"/>
                <w:szCs w:val="20"/>
              </w:rPr>
              <w:t xml:space="preserve">, </w:t>
            </w:r>
            <w:r w:rsidRPr="00D63BE2">
              <w:fldChar w:fldCharType="begin" w:fldLock="1"/>
            </w:r>
            <w:r w:rsidRPr="00D63BE2">
              <w:instrText>ADDIN CSL_CITATION {"citationItems":[{"id":"ITEM-1","itemData":{"DOI":"https://doi.org/10.3390/su16114377","ISSN":"20711050","abstract":"This paper investigates the incorporation of sustainable development within the Portuguese agri-food sector amid global environmental and resource challenges. It underscores the role of the Sustainable Development Goals (SDGs) and environmental, social, and governance (ESG) criteria in steering businesses towards sustainable practices. Through qualitative analysis, in-depth interviews with managers and experts explored sustainable business model adoption, highlighting SMEs’ unique challenges. The study reveals a divergence in sustainability practice maturity, advocating for integration into organizational culture and strategy. It points out SMEs’ reactive stance due to resource constraints and external pressures, contrasting with larger firms’ proactive approaches. The research supports a strategic reevaluation of business models for sustainability, emphasizing innovation, leadership, organizational commitment, and transparent communication. Practical contributions include embedding sustainability into core operations, enhancing competitiveness, fostering sustainable organizational culture, prioritizing employee well-being, and leveraging innovative marketing for sustainability communication. Recognizing its limitations, this study advocates exploring blockchain and AI for transparency, leadership’s role in sustainable models, and the importance of marketing in the agri-food sector for sustainable management. Insights indicate that innovation and strategic partnerships are crucial for enhancing organizational sustainability and achieving the SDGs.","author":[{"dropping-particle":"","family":"Camelo","given":"Gonçalo","non-dropping-particle":"","parse-names":false,"suffix":""},{"dropping-particle":"","family":"Nogueira","given":"Mafalda","non-dropping-particle":"","parse-names":false,"suffix":""}],"container-title":"Sustainability (Switzerland)","id":"ITEM-1","issue":"11","issued":{"date-parts":[["2024"]]},"title":"The ESG Menu: Integrating Sustainable Practices in the Portuguese Agri-Food Sector","type":"article-journal","volume":"16"},"uris":["http://www.mendeley.com/documents/?uuid=a509d32a-b739-4e9a-8b7c-acda6a44c797"]}],"mendeley":{"formattedCitation":"[4]","plainTextFormattedCitation":"[4]","previouslyFormattedCitation":"[4]"},"properties":{"noteIndex":0},"schema":"https://github.com/citation-style-language/schema/raw/master/csl-citation.json"}</w:instrText>
            </w:r>
            <w:r w:rsidRPr="00D63BE2">
              <w:fldChar w:fldCharType="separate"/>
            </w:r>
            <w:r w:rsidRPr="00D63BE2">
              <w:rPr>
                <w:noProof/>
              </w:rPr>
              <w:t>[4]</w:t>
            </w:r>
            <w:r w:rsidRPr="00D63BE2">
              <w:fldChar w:fldCharType="end"/>
            </w:r>
          </w:p>
        </w:tc>
      </w:tr>
      <w:tr w:rsidR="00EC7FF1" w:rsidRPr="00A12A79" w:rsidTr="00B0441B">
        <w:trPr>
          <w:trHeight w:val="300"/>
          <w:jc w:val="center"/>
        </w:trPr>
        <w:tc>
          <w:tcPr>
            <w:tcW w:w="1350" w:type="dxa"/>
            <w:vMerge/>
            <w:vAlign w:val="center"/>
            <w:hideMark/>
          </w:tcPr>
          <w:p w:rsidR="00EC7FF1" w:rsidRPr="00A12A79" w:rsidRDefault="00EC7FF1" w:rsidP="00EC7FF1">
            <w:pPr>
              <w:spacing w:after="0" w:line="240" w:lineRule="auto"/>
              <w:rPr>
                <w:rFonts w:ascii="Arial" w:hAnsi="Arial" w:cs="Arial"/>
                <w:color w:val="000000"/>
                <w:sz w:val="20"/>
                <w:szCs w:val="20"/>
              </w:rPr>
            </w:pPr>
          </w:p>
        </w:tc>
        <w:tc>
          <w:tcPr>
            <w:tcW w:w="1617" w:type="dxa"/>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A12A79">
              <w:rPr>
                <w:rFonts w:ascii="Arial" w:hAnsi="Arial" w:cs="Arial"/>
                <w:color w:val="000000"/>
                <w:sz w:val="20"/>
                <w:szCs w:val="20"/>
              </w:rPr>
              <w:t xml:space="preserve">Relationships with Customers </w:t>
            </w:r>
          </w:p>
        </w:tc>
        <w:tc>
          <w:tcPr>
            <w:tcW w:w="1184" w:type="dxa"/>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D63BE2">
              <w:fldChar w:fldCharType="begin" w:fldLock="1"/>
            </w:r>
            <w:r w:rsidR="008516C5">
              <w:instrText>ADDIN CSL_CITATION {"citationItems":[{"id":"ITEM-1","itemData":{"DOI":"https://doi.org/10.1108/IJOEM-07-2021-1164","author":[{"dropping-particle":"","family":"Le","given":"Thanh Tiep","non-dropping-particle":"","parse-names":false,"suffix":""}],"container-title":"International Journal of Emerging Markets","id":"ITEM-1","issue":"10","issued":{"date-parts":[["2023"]]},"page":"4565-4590","title":"Corporate social responsibility and SMEs ’ performance : mediating role of corporate image , corporate reputation and customer loyalty","type":"article-journal","volume":"18"},"uris":["http://www.mendeley.com/documents/?uuid=72811685-9f18-4e0f-a2df-c6d8223b9fcb"]}],"mendeley":{"formattedCitation":"[24]","plainTextFormattedCitation":"[24]","previouslyFormattedCitation":"[24]"},"properties":{"noteIndex":0},"schema":"https://github.com/citation-style-language/schema/raw/master/csl-citation.json"}</w:instrText>
            </w:r>
            <w:r w:rsidRPr="00D63BE2">
              <w:fldChar w:fldCharType="separate"/>
            </w:r>
            <w:r w:rsidRPr="00E64F19">
              <w:rPr>
                <w:noProof/>
              </w:rPr>
              <w:t>[24]</w:t>
            </w:r>
            <w:r w:rsidRPr="00D63BE2">
              <w:fldChar w:fldCharType="end"/>
            </w:r>
          </w:p>
        </w:tc>
      </w:tr>
      <w:tr w:rsidR="00EC7FF1" w:rsidRPr="00A12A79" w:rsidTr="00B0441B">
        <w:trPr>
          <w:trHeight w:val="600"/>
          <w:jc w:val="center"/>
        </w:trPr>
        <w:tc>
          <w:tcPr>
            <w:tcW w:w="1350" w:type="dxa"/>
            <w:vMerge w:val="restart"/>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A12A79">
              <w:rPr>
                <w:rFonts w:ascii="Arial" w:hAnsi="Arial" w:cs="Arial"/>
                <w:color w:val="000000"/>
                <w:sz w:val="20"/>
                <w:szCs w:val="20"/>
              </w:rPr>
              <w:t>Environment</w:t>
            </w:r>
          </w:p>
        </w:tc>
        <w:tc>
          <w:tcPr>
            <w:tcW w:w="1617" w:type="dxa"/>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A12A79">
              <w:rPr>
                <w:rFonts w:ascii="Arial" w:hAnsi="Arial" w:cs="Arial"/>
                <w:color w:val="000000"/>
                <w:sz w:val="20"/>
                <w:szCs w:val="20"/>
              </w:rPr>
              <w:t>Environmental Regulatory and Policy</w:t>
            </w:r>
          </w:p>
        </w:tc>
        <w:tc>
          <w:tcPr>
            <w:tcW w:w="1184" w:type="dxa"/>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D63BE2">
              <w:fldChar w:fldCharType="begin" w:fldLock="1"/>
            </w:r>
            <w:r w:rsidR="008516C5">
              <w:instrText>ADDIN CSL_CITATION {"citationItems":[{"id":"ITEM-1","itemData":{"DOI":"https://doi.org/10.3389/fenvs.2024.1348994","author":[{"dropping-particle":"","family":"Sohu","given":"Jan Muhammad","non-dropping-particle":"","parse-names":false,"suffix":""},{"dropping-particle":"","family":"Hongyun","given":"Tian","non-dropping-particle":"","parse-names":false,"suffix":""},{"dropping-particle":"","family":"Junejo","given":"Ikramuddin","non-dropping-particle":"","parse-names":false,"suffix":""},{"dropping-particle":"","family":"Akhtar","given":"Sadaf","non-dropping-particle":"","parse-names":false,"suffix":""},{"dropping-particle":"","family":"Ejaz","given":"Faisal","non-dropping-particle":"","parse-names":false,"suffix":""},{"dropping-particle":"","family":"Dunay","given":"Anna","non-dropping-particle":"","parse-names":false,"suffix":""},{"dropping-particle":"","family":"Hossain","given":"Billal","non-dropping-particle":"","parse-names":false,"suffix":""}],"container-title":"Frontiers in Environmental Science","id":"ITEM-1","issue":"February","issued":{"date-parts":[["2024"]]},"page":"1-13","title":"Driving sustainable competitiveness : unveiling the nexus of green intellectual capital and environmental regulations on greening SME performance","type":"article-journal"},"uris":["http://www.mendeley.com/documents/?uuid=902f3cdc-9d05-44e9-9926-cf5ae89292ca"]}],"mendeley":{"formattedCitation":"[2]","plainTextFormattedCitation":"[2]","previouslyFormattedCitation":"[2]"},"properties":{"noteIndex":0},"schema":"https://github.com/citation-style-language/schema/raw/master/csl-citation.json"}</w:instrText>
            </w:r>
            <w:r w:rsidRPr="00D63BE2">
              <w:fldChar w:fldCharType="separate"/>
            </w:r>
            <w:r w:rsidRPr="00D63BE2">
              <w:rPr>
                <w:noProof/>
              </w:rPr>
              <w:t>[2]</w:t>
            </w:r>
            <w:r w:rsidRPr="00D63BE2">
              <w:fldChar w:fldCharType="end"/>
            </w:r>
            <w:r>
              <w:t xml:space="preserve">, </w:t>
            </w:r>
            <w:r w:rsidRPr="00D63BE2">
              <w:fldChar w:fldCharType="begin" w:fldLock="1"/>
            </w:r>
            <w:r>
              <w:instrText>ADDIN CSL_CITATION {"citationItems":[{"id":"ITEM-1","itemData":{"DOI":"https://doi.org/10.14505/jemt.v13.3(59).09","author":[{"dropping-particle":"","family":"Belgibayeva","given":"Anargul","non-dropping-particle":"","parse-names":false,"suffix":""},{"dropping-particle":"","family":"Denissova","given":"Oxana","non-dropping-particle":"","parse-names":false,"suffix":""},{"dropping-particle":"","family":"Kozlova","given":"Marina","non-dropping-particle":"","parse-names":false,"suffix":""},{"dropping-particle":"","family":"Savchenko","given":"Irina","non-dropping-particle":"","parse-names":false,"suffix":""},{"dropping-particle":"","family":"Tleubayev","given":"Azat","non-dropping-particle":"","parse-names":false,"suffix":""},{"dropping-particle":"","family":"Siximbayeva","given":"Gaukhar","non-dropping-particle":"","parse-names":false,"suffix":""}],"container-title":"Journal of Environmental Management and Tourism","id":"ITEM-1","issue":"4","issued":{"date-parts":[["2022"]]},"title":"Analysis of Sustainable Development of SMEs in Agriculture","type":"article-journal","volume":"VII"},"uris":["http://www.mendeley.com/documents/?uuid=e2d74feb-4f38-49e8-9ce5-26daa9470ad7"]}],"mendeley":{"formattedCitation":"[22]","plainTextFormattedCitation":"[22]","previouslyFormattedCitation":"[22]"},"properties":{"noteIndex":0},"schema":"https://github.com/citation-style-language/schema/raw/master/csl-citation.json"}</w:instrText>
            </w:r>
            <w:r w:rsidRPr="00D63BE2">
              <w:fldChar w:fldCharType="separate"/>
            </w:r>
            <w:r w:rsidRPr="00E64F19">
              <w:rPr>
                <w:noProof/>
              </w:rPr>
              <w:t>[22]</w:t>
            </w:r>
            <w:r w:rsidRPr="00D63BE2">
              <w:fldChar w:fldCharType="end"/>
            </w:r>
            <w:r>
              <w:rPr>
                <w:rFonts w:ascii="Arial" w:hAnsi="Arial" w:cs="Arial"/>
                <w:color w:val="000000"/>
                <w:sz w:val="20"/>
                <w:szCs w:val="20"/>
              </w:rPr>
              <w:t xml:space="preserve">, </w:t>
            </w:r>
            <w:r w:rsidRPr="00D63BE2">
              <w:fldChar w:fldCharType="begin" w:fldLock="1"/>
            </w:r>
            <w:r>
              <w:instrText>ADDIN CSL_CITATION {"citationItems":[{"id":"ITEM-1","itemData":{"DOI":"https://doi.org/10.26437/ajar.v11i1","ISSN":"24087920","abstract":"Purpose: The primary objective of this study is to assess the factors that have the most significant impact on SMEs' adoption rate of Advanced Manufacturing Technologies (AMT). Design/Methodology/Approach: An interpretive structural modelling (ISM) approach was applied to assess drivers for AMT adoption. Data was gathered from literature and supplemented by expert opinions from academics and professionals. The identified drivers were ranked and classified through the ISM framework, and their reliability and influence were examined using the Matrice d'impacts croisés multiplication appliquée á un classment (MICMAC) analysis. Findings: The ISM analysis revealed that government policy support and customer/buyer pressure are primary drivers for AMT adoption in SMEs. These drivers form the foundational factors influencing the successful implementation of AMTs and enabling SMEs to develop strategic, priority-based business plans. Research Limitation: The study is limited to SME environments, which may restrict its applicability to larger firms. Practical Implication: Emphasising government support and responding to buyer pressure can guide SMEs in integrating AMTs more effectively. Social Implication: Successful AMT implementation in SMEs can promote job creation, local economic growth, and sustainable manufacturing practices, benefiting society by enhancing regional competitiveness and innovation. Originality/Value: This study provides a structured framework for understanding AMT adoption drivers in SMEs, incorporating ISM and MICMAC analyses to bridge a gap in the literature.","author":[{"dropping-particle":"V.","family":"Bhise","given":"D.","non-dropping-particle":"","parse-names":false,"suffix":""},{"dropping-particle":"","family":"Kumbhalkar","given":"M. A.","non-dropping-particle":"","parse-names":false,"suffix":""},{"dropping-particle":"","family":"Sardeshmukh","given":"M. M.","non-dropping-particle":"","parse-names":false,"suffix":""},{"dropping-particle":"","family":"Choudhari","given":"S. A.","non-dropping-particle":"","parse-names":false,"suffix":""},{"dropping-particle":"","family":"Sarje","given":"S. H.","non-dropping-particle":"","parse-names":false,"suffix":""},{"dropping-particle":"","family":"Kardekar","given":"N. B.","non-dropping-particle":"","parse-names":false,"suffix":""}],"container-title":"African Journal of Applied Research","id":"ITEM-1","issue":"1","issued":{"date-parts":[["2025"]]},"page":"388-407","title":"Study for Identification and Classification of Advanced Manufacturing Technology Implementation Drivers in Small and Medium Enterprises","type":"article-journal","volume":"11"},"uris":["http://www.mendeley.com/documents/?uuid=c3089cad-35d0-4a7f-a2a3-ec22650b952b"]}],"mendeley":{"formattedCitation":"[36]","plainTextFormattedCitation":"[36]","previouslyFormattedCitation":"[36]"},"properties":{"noteIndex":0},"schema":"https://github.com/citation-style-language/schema/raw/master/csl-citation.json"}</w:instrText>
            </w:r>
            <w:r w:rsidRPr="00D63BE2">
              <w:fldChar w:fldCharType="separate"/>
            </w:r>
            <w:r w:rsidRPr="00E64F19">
              <w:rPr>
                <w:noProof/>
              </w:rPr>
              <w:t>[36]</w:t>
            </w:r>
            <w:r w:rsidRPr="00D63BE2">
              <w:fldChar w:fldCharType="end"/>
            </w:r>
            <w:r w:rsidRPr="00A12A79">
              <w:rPr>
                <w:rFonts w:ascii="Arial" w:hAnsi="Arial" w:cs="Arial"/>
                <w:color w:val="000000"/>
                <w:sz w:val="20"/>
                <w:szCs w:val="20"/>
              </w:rPr>
              <w:t xml:space="preserve">, </w:t>
            </w:r>
            <w:r w:rsidRPr="00D63BE2">
              <w:fldChar w:fldCharType="begin" w:fldLock="1"/>
            </w:r>
            <w:r w:rsidRPr="00D63BE2">
              <w:instrText>ADDIN CSL_CITATION {"citationItems":[{"id":"ITEM-1","itemData":{"DOI":"https://doi.org/10.3390/su16114377","ISSN":"20711050","abstract":"This paper investigates the incorporation of sustainable development within the Portuguese agri-food sector amid global environmental and resource challenges. It underscores the role of the Sustainable Development Goals (SDGs) and environmental, social, and governance (ESG) criteria in steering businesses towards sustainable practices. Through qualitative analysis, in-depth interviews with managers and experts explored sustainable business model adoption, highlighting SMEs’ unique challenges. The study reveals a divergence in sustainability practice maturity, advocating for integration into organizational culture and strategy. It points out SMEs’ reactive stance due to resource constraints and external pressures, contrasting with larger firms’ proactive approaches. The research supports a strategic reevaluation of business models for sustainability, emphasizing innovation, leadership, organizational commitment, and transparent communication. Practical contributions include embedding sustainability into core operations, enhancing competitiveness, fostering sustainable organizational culture, prioritizing employee well-being, and leveraging innovative marketing for sustainability communication. Recognizing its limitations, this study advocates exploring blockchain and AI for transparency, leadership’s role in sustainable models, and the importance of marketing in the agri-food sector for sustainable management. Insights indicate that innovation and strategic partnerships are crucial for enhancing organizational sustainability and achieving the SDGs.","author":[{"dropping-particle":"","family":"Camelo","given":"Gonçalo","non-dropping-particle":"","parse-names":false,"suffix":""},{"dropping-particle":"","family":"Nogueira","given":"Mafalda","non-dropping-particle":"","parse-names":false,"suffix":""}],"container-title":"Sustainability (Switzerland)","id":"ITEM-1","issue":"11","issued":{"date-parts":[["2024"]]},"title":"The ESG Menu: Integrating Sustainable Practices in the Portuguese Agri-Food Sector","type":"article-journal","volume":"16"},"uris":["http://www.mendeley.com/documents/?uuid=a509d32a-b739-4e9a-8b7c-acda6a44c797"]}],"mendeley":{"formattedCitation":"[4]","plainTextFormattedCitation":"[4]","previouslyFormattedCitation":"[4]"},"properties":{"noteIndex":0},"schema":"https://github.com/citation-style-language/schema/raw/master/csl-citation.json"}</w:instrText>
            </w:r>
            <w:r w:rsidRPr="00D63BE2">
              <w:fldChar w:fldCharType="separate"/>
            </w:r>
            <w:r w:rsidRPr="00D63BE2">
              <w:rPr>
                <w:noProof/>
              </w:rPr>
              <w:t>[4]</w:t>
            </w:r>
            <w:r w:rsidRPr="00D63BE2">
              <w:fldChar w:fldCharType="end"/>
            </w:r>
          </w:p>
        </w:tc>
      </w:tr>
      <w:tr w:rsidR="00EC7FF1" w:rsidRPr="00A12A79" w:rsidTr="00B0441B">
        <w:trPr>
          <w:trHeight w:val="600"/>
          <w:jc w:val="center"/>
        </w:trPr>
        <w:tc>
          <w:tcPr>
            <w:tcW w:w="1350" w:type="dxa"/>
            <w:vMerge/>
            <w:vAlign w:val="center"/>
            <w:hideMark/>
          </w:tcPr>
          <w:p w:rsidR="00EC7FF1" w:rsidRPr="00A12A79" w:rsidRDefault="00EC7FF1" w:rsidP="00EC7FF1">
            <w:pPr>
              <w:spacing w:after="0" w:line="240" w:lineRule="auto"/>
              <w:rPr>
                <w:rFonts w:ascii="Arial" w:hAnsi="Arial" w:cs="Arial"/>
                <w:color w:val="000000"/>
                <w:sz w:val="20"/>
                <w:szCs w:val="20"/>
              </w:rPr>
            </w:pPr>
          </w:p>
        </w:tc>
        <w:tc>
          <w:tcPr>
            <w:tcW w:w="1617" w:type="dxa"/>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A12A79">
              <w:rPr>
                <w:rFonts w:ascii="Arial" w:hAnsi="Arial" w:cs="Arial"/>
                <w:color w:val="000000"/>
                <w:sz w:val="20"/>
                <w:szCs w:val="20"/>
              </w:rPr>
              <w:t>environmentally friendly products</w:t>
            </w:r>
          </w:p>
        </w:tc>
        <w:tc>
          <w:tcPr>
            <w:tcW w:w="1184" w:type="dxa"/>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D63BE2">
              <w:fldChar w:fldCharType="begin" w:fldLock="1"/>
            </w:r>
            <w:r w:rsidR="008516C5">
              <w:instrText>ADDIN CSL_CITATION {"citationItems":[{"id":"ITEM-1","itemData":{"DOI":"http://dx.doi.org/10. 28991/HEF-2023-04-04-03","ISSN":"27852997","abstract":"This qualitative study aims to investigate the Triple Layered Business Model Canvas (TLBMC) strategy to drive environmental progress within the Indonesian fashion industry. Employing the descriptive phenomenological method, the research focuses on applying the TLBMC model to enhance the environmental sustainability of Micro, Small, and Medium Enterprises (MSMEs) in Yan An. The Yan An case study serves as a practical illustration, demonstrating the successful implementation of the TLBMC model and offering valuable insights into sustainable solutions for challenges faced by the Indonesian fashion industry. In contributing to the existing literature, this study introduces and applies the TLBMC strategy as an innovative approach to address environmental and competitiveness challenges within the Indonesian fashion industry. The research emphasizes the urgent need for a cost-effective and environmentally friendly business strategy, considering the industry’s substantial contribution to environmental issues, accounting for 20% of global wastewater production. The changing consumer perceptions, where fashion is seen as a symbol of social status, have fueled rapid industry growth and intensified challenges for local fashion products, especially those from small and medium-sized enterprises (SMEs). The study underscores the critical importance of embracing sustainable business practices in the dynamic landscape of the Indonesian fashion industry.","author":[{"dropping-particle":"","family":"Hurriyati","given":"Ratih","non-dropping-particle":"","parse-names":false,"suffix":""},{"dropping-particle":"","family":"Dagustani","given":"Dani","non-dropping-particle":"","parse-names":false,"suffix":""},{"dropping-particle":"","family":"Surachim","given":"Ahim","non-dropping-particle":"","parse-names":false,"suffix":""},{"dropping-particle":"","family":"Sulastri","given":"S.","non-dropping-particle":"","parse-names":false,"suffix":""},{"dropping-particle":"","family":"Lisnawati","given":"L.","non-dropping-particle":"","parse-names":false,"suffix":""}],"container-title":"Journal of Human, Earth, and Future","id":"ITEM-1","issue":"4","issued":{"date-parts":[["2023"]]},"page":"411-423","title":"Triple-Layered Business Model Canvas Environment Based in the Fashion Industry","type":"article-journal","volume":"4"},"uris":["http://www.mendeley.com/documents/?uuid=aaf14e7b-8381-4c97-a5a5-abc0866d6728"]}],"mendeley":{"formattedCitation":"[33]","plainTextFormattedCitation":"[33]","previouslyFormattedCitation":"[33]"},"properties":{"noteIndex":0},"schema":"https://github.com/citation-style-language/schema/raw/master/csl-citation.json"}</w:instrText>
            </w:r>
            <w:r w:rsidRPr="00D63BE2">
              <w:fldChar w:fldCharType="separate"/>
            </w:r>
            <w:r w:rsidRPr="00E64F19">
              <w:rPr>
                <w:noProof/>
              </w:rPr>
              <w:t>[33]</w:t>
            </w:r>
            <w:r w:rsidRPr="00D63BE2">
              <w:fldChar w:fldCharType="end"/>
            </w:r>
          </w:p>
        </w:tc>
      </w:tr>
      <w:tr w:rsidR="00EC7FF1" w:rsidRPr="00A12A79" w:rsidTr="00B0441B">
        <w:trPr>
          <w:trHeight w:val="900"/>
          <w:jc w:val="center"/>
        </w:trPr>
        <w:tc>
          <w:tcPr>
            <w:tcW w:w="1350" w:type="dxa"/>
            <w:vMerge w:val="restart"/>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A12A79">
              <w:rPr>
                <w:rFonts w:ascii="Arial" w:hAnsi="Arial" w:cs="Arial"/>
                <w:color w:val="000000"/>
                <w:sz w:val="20"/>
                <w:szCs w:val="20"/>
              </w:rPr>
              <w:t>Technology</w:t>
            </w:r>
          </w:p>
        </w:tc>
        <w:tc>
          <w:tcPr>
            <w:tcW w:w="1617" w:type="dxa"/>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A12A79">
              <w:rPr>
                <w:rFonts w:ascii="Arial" w:hAnsi="Arial" w:cs="Arial"/>
                <w:color w:val="000000"/>
                <w:sz w:val="20"/>
                <w:szCs w:val="20"/>
              </w:rPr>
              <w:t>Technological innovation</w:t>
            </w:r>
          </w:p>
        </w:tc>
        <w:tc>
          <w:tcPr>
            <w:tcW w:w="1184" w:type="dxa"/>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D63BE2">
              <w:fldChar w:fldCharType="begin" w:fldLock="1"/>
            </w:r>
            <w:r>
              <w:instrText>ADDIN CSL_CITATION {"citationItems":[{"id":"ITEM-1","itemData":{"DOI":"https://doi.org/10.3390/ su15129387 Academic","ISSN":"20711050","abstract":"The primary objective of this study is the development of an integrated framework for sustainable development in agri-food Small and Medium Enterprises (SMEs) with a variety of production types. Dealing with the significant research problem of defining a successful record-keeping system, as this is the foundation of an integrated information framework in agri-food SMEs, this research identifies and explicates the several conceptual, methodological, organizational, and technical concerns related to the data collection, processing, and recording, as well as information generation in agri-food SMEs. Two main fields of research are distinguished: the micro-level, which is related to the monitoring of agri-food SMEs, and the macro-level, which relates to the collection, processing, and collective interpretation of different types of data. The findings show how the creation of a database for all levels of analysis, primarily business analyses, followed by an analysis of the development of the agri-food sector, as a whole and by individual regions and branches, etc., constitutes the basis for the effective operation and ongoing improvement of an integrated framework for the sustainable development of agri-food SMEs. Methodologically, this study employs the system approach, system analysis, and synthesis sequence to produce business, economic, and social findings of theoretical and practicable worth to scholars, executives, and decision makers.","author":[{"dropping-particle":"","family":"Figurek","given":"Aleksandra","non-dropping-particle":"","parse-names":false,"suffix":""},{"dropping-particle":"","family":"Thrassou","given":"Alkis","non-dropping-particle":"","parse-names":false,"suffix":""}],"container-title":"Sustainability (Switzerland)","id":"ITEM-1","issue":"12","issued":{"date-parts":[["2023"]]},"title":"An Integrated Framework for Sustainable Development in Agri-Food SMEs","type":"article-journal","volume":"15"},"uris":["http://www.mendeley.com/documents/?uuid=8c046342-98a6-4a93-b7ac-8e8b9a62a81d"]}],"mendeley":{"formattedCitation":"[17]","plainTextFormattedCitation":"[17]","previouslyFormattedCitation":"[17]"},"properties":{"noteIndex":0},"schema":"https://github.com/citation-style-language/schema/raw/master/csl-citation.json"}</w:instrText>
            </w:r>
            <w:r w:rsidRPr="00D63BE2">
              <w:fldChar w:fldCharType="separate"/>
            </w:r>
            <w:r w:rsidRPr="00E64F19">
              <w:rPr>
                <w:noProof/>
              </w:rPr>
              <w:t>[17]</w:t>
            </w:r>
            <w:r w:rsidRPr="00D63BE2">
              <w:fldChar w:fldCharType="end"/>
            </w:r>
            <w:r>
              <w:rPr>
                <w:rFonts w:ascii="Arial" w:hAnsi="Arial" w:cs="Arial"/>
                <w:color w:val="000000"/>
                <w:sz w:val="20"/>
                <w:szCs w:val="20"/>
              </w:rPr>
              <w:t xml:space="preserve">, </w:t>
            </w:r>
            <w:r w:rsidRPr="00D63BE2">
              <w:fldChar w:fldCharType="begin" w:fldLock="1"/>
            </w:r>
            <w:r w:rsidRPr="00D63BE2">
              <w:instrText>ADDIN CSL_CITATION {"citationItems":[{"id":"ITEM-1","itemData":{"DOI":"https://doi.org/10.3390/su152316325","abstract":"The main purpose of this research paper is to investigate the role of information and communication technology (ICT) in providing small and medium-sized enterprises (SMEs) with a competitive advantage. To do this, we propose five dimensions to detect ICT (human resources, equipment and devices, databases, software, and networks) and four dimensions (service quality, market control, creativity and development, and operational efficiency) to decide competitive advantage. To achieve this paper’s purposes, a questionnaire was developed to collect data from respondents to a sample of 128 subjects by using the Statistical Package for Social Sciences (SPSS) for the survey data analysis. Several methods have been used in the statistical analysis of the data, including descriptive statistics tests, a normal distribution test (one-sample Kolmogorov–Smirnov test), simple linear regression coefficient (simple regression), variance analysis (one-way ANOVA), and a T-test for independent samples. This study reports a series of findings, underlined by the significant role of ICT with its various dimensions and the competitive advantage of SMEs. This study concludes with several suggestions including that SMEs must increase their investments in ICT components and take more care of creativity and development for the preemption to create new services.","author":[{"dropping-particle":"","family":"Kahouli","given":"Bassem","non-dropping-particle":"","parse-names":false,"suffix":""},{"dropping-particle":"","family":"Nafla","given":"Amine","non-dropping-particle":"","parse-names":false,"suffix":""},{"dropping-particle":"","family":"Chaaben","given":"Nahla","non-dropping-particle":"","parse-names":false,"suffix":""}],"container-title":"Sustainability","id":"ITEM-1","issue":"16325","issued":{"date-parts":[["2023"]]},"page":"1-19","title":"Exploring the Influence of the Information and Communication Technology Dimensions on the Sustainability of Competitiveness in Small and Medium-sized Enterprises in the Hail Region","type":"article-journal","volume":"15"},"uris":["http://www.mendeley.com/documents/?uuid=043dbef2-37b9-4610-8f19-1d2b1bdba940"]}],"mendeley":{"formattedCitation":"[1]","plainTextFormattedCitation":"[1]","previouslyFormattedCitation":"[1]"},"properties":{"noteIndex":0},"schema":"https://github.com/citation-style-language/schema/raw/master/csl-citation.json"}</w:instrText>
            </w:r>
            <w:r w:rsidRPr="00D63BE2">
              <w:fldChar w:fldCharType="separate"/>
            </w:r>
            <w:r w:rsidRPr="00D63BE2">
              <w:rPr>
                <w:noProof/>
              </w:rPr>
              <w:t>[1]</w:t>
            </w:r>
            <w:r w:rsidRPr="00D63BE2">
              <w:fldChar w:fldCharType="end"/>
            </w:r>
            <w:r>
              <w:rPr>
                <w:rFonts w:ascii="Arial" w:hAnsi="Arial" w:cs="Arial"/>
                <w:color w:val="000000"/>
                <w:sz w:val="20"/>
                <w:szCs w:val="20"/>
              </w:rPr>
              <w:t xml:space="preserve">, </w:t>
            </w:r>
            <w:r w:rsidRPr="00D63BE2">
              <w:fldChar w:fldCharType="begin" w:fldLock="1"/>
            </w:r>
            <w:r>
              <w:instrText>ADDIN CSL_CITATION {"citationItems":[{"id":"ITEM-1","itemData":{"DOI":"https://doi.org/10.32479/irmm.16103","ISSN":"21464405","abstract":"This study investigates the impact and operational challenges of the Shared Service Facility (SSF) for Micro, Small, and Medium Enterprises (MSMEs) in the Philippines, focusing on enhancing MSME competitiveness and sustainability. Through a mixed-methods approach, including surveys, interviews, and data analysis, the study assesses the SSF’s effectiveness in supporting MSMEs and identifies key challenges hindering its operation. The findings reveal significant improvements in MSMEs’ access to resources, innovation capacity, and market competitiveness following SSF assistance. However, logistical, managerial, and resource-related challenges pose significant hurdles to the SSF’s operational efficiency and effectiveness. To address these challenges, a comprehensive Strategic Plan is formulated, outlining key actions to improve logistical efficiency, enhance managerial effectiveness, strengthen financial sustainability, upgrade technological infrastructure, and foster collaboration and partnerships. Implementation of these strategic initiatives is crucial for optimizing the SSF’s operation, enhancing its impact on MSME competitiveness, and ensuring long-term sustainability. Overall, this study contributes valuable insights into the role of the SSF in fostering MSME development and economic growth in the Philippines, highlighting the importance of targeted interventions and collaborative efforts to support inclusive and sustainable development.","author":[{"dropping-particle":"","family":"Armas","given":"Kenneth L.","non-dropping-particle":"","parse-names":false,"suffix":""},{"dropping-particle":"Dela","family":"Cruz","given":"Catherine","non-dropping-particle":"","parse-names":false,"suffix":""},{"dropping-particle":"","family":"Navarro","given":"Jonas Emmanuel","non-dropping-particle":"","parse-names":false,"suffix":""},{"dropping-particle":"","family":"Viloria","given":"Vivien","non-dropping-particle":"","parse-names":false,"suffix":""}],"container-title":"International Review of Management and Marketing","id":"ITEM-1","issue":"3","issued":{"date-parts":[["2024"]]},"page":"65-73","title":"Triple Helix for Sustainable Development Goals: An Impact Assessment of Shared Service Facility for Micro, Small, and Medium Enterprises Competitiveness in the Philippines","type":"article-journal","volume":"14"},"uris":["http://www.mendeley.com/documents/?uuid=f1d1f46c-5bd6-4eff-b6f5-09bb992f0dee"]}],"mendeley":{"formattedCitation":"[20]","plainTextFormattedCitation":"[20]","previouslyFormattedCitation":"[20]"},"properties":{"noteIndex":0},"schema":"https://github.com/citation-style-language/schema/raw/master/csl-citation.json"}</w:instrText>
            </w:r>
            <w:r w:rsidRPr="00D63BE2">
              <w:fldChar w:fldCharType="separate"/>
            </w:r>
            <w:r w:rsidRPr="00E64F19">
              <w:rPr>
                <w:noProof/>
              </w:rPr>
              <w:t>[20]</w:t>
            </w:r>
            <w:r w:rsidRPr="00D63BE2">
              <w:fldChar w:fldCharType="end"/>
            </w:r>
            <w:r>
              <w:rPr>
                <w:rFonts w:ascii="Arial" w:hAnsi="Arial" w:cs="Arial"/>
                <w:color w:val="000000"/>
                <w:sz w:val="20"/>
                <w:szCs w:val="20"/>
              </w:rPr>
              <w:t xml:space="preserve">, </w:t>
            </w:r>
            <w:r w:rsidRPr="00D63BE2">
              <w:fldChar w:fldCharType="begin" w:fldLock="1"/>
            </w:r>
            <w:r>
              <w:instrText>ADDIN CSL_CITATION {"citationItems":[{"id":"ITEM-1","itemData":{"DOI":"https://doi.org/10.26656/fr.2017.8(5).639R","ISSN":"25502166","abstract":"Jackfruit chips small and medium enterprises (SMEs) in Malang Regency play an important role in national economic growth. The purpose of this study was to find a strategy to improve the competitiveness of jackfruit chips in Malang Regency. Technical analysis of research data was conducted using analysis of external and internal factors and the concept of the house model for determining strategies for increasing the competitiveness of jackfruit chips SMEs in Malang Regency. The results showed that by increasing product variables, improving human resources and marketing institutions could be a strengthening strategy for increasing the sustainable competitiveness of jackfruit chips SMEs.","author":[{"dropping-particle":"","family":"Novia","given":"C.","non-dropping-particle":"","parse-names":false,"suffix":""},{"dropping-particle":"","family":"Syaiful","given":"S.","non-dropping-particle":"","parse-names":false,"suffix":""},{"dropping-particle":"","family":"Utomo","given":"D.","non-dropping-particle":"","parse-names":false,"suffix":""}],"container-title":"Food Research","id":"ITEM-1","issue":"5","issued":{"date-parts":[["2024"]]},"page":"303-309","title":"Analysis of strategies for increasing the competitiveness of jackfruit chips small medium enterprises in Malang Regency, Indonesia","type":"article-journal","volume":"8"},"uris":["http://www.mendeley.com/documents/?uuid=ef4deb0f-97a5-4056-86a3-c6a3fc8e68c6"]}],"mendeley":{"formattedCitation":"[21]","plainTextFormattedCitation":"[21]","previouslyFormattedCitation":"[21]"},"properties":{"noteIndex":0},"schema":"https://github.com/citation-style-language/schema/raw/master/csl-citation.json"}</w:instrText>
            </w:r>
            <w:r w:rsidRPr="00D63BE2">
              <w:fldChar w:fldCharType="separate"/>
            </w:r>
            <w:r w:rsidRPr="00E64F19">
              <w:rPr>
                <w:noProof/>
              </w:rPr>
              <w:t>[21]</w:t>
            </w:r>
            <w:r w:rsidRPr="00D63BE2">
              <w:fldChar w:fldCharType="end"/>
            </w:r>
            <w:r>
              <w:rPr>
                <w:rFonts w:ascii="Arial" w:hAnsi="Arial" w:cs="Arial"/>
                <w:color w:val="000000"/>
                <w:sz w:val="20"/>
                <w:szCs w:val="20"/>
              </w:rPr>
              <w:t xml:space="preserve">, </w:t>
            </w:r>
            <w:r w:rsidRPr="00D63BE2">
              <w:fldChar w:fldCharType="begin" w:fldLock="1"/>
            </w:r>
            <w:r>
              <w:instrText>ADDIN CSL_CITATION {"citationItems":[{"id":"ITEM-1","itemData":{"DOI":"https://doi.org/10.3390/su141711036","author":[{"dropping-particle":"","family":"Acosta-Velásquez","given":"Rubén Dario","non-dropping-particle":"","parse-names":false,"suffix":""},{"dropping-particle":"","family":"León-Pulido","given":"Jeffrey","non-dropping-particle":"","parse-names":false,"suffix":""},{"dropping-particle":"","family":"García-Pérez","given":"Alexander","non-dropping-particle":"","parse-names":false,"suffix":""},{"dropping-particle":"","family":"Fajardo-Moreno","given":"William Stive","non-dropping-particle":"","parse-names":false,"suffix":""},{"dropping-particle":"","family":"Espinosa-Leal","given":"Leonardo","non-dropping-particle":"","parse-names":false,"suffix":""}],"container-title":"Sustainability","id":"ITEM-1","issue":"11036","issued":{"date-parts":[["2022"]]},"page":"1-12","title":"Contemporary Management Practice Applying the Dynamic Absorptive Capacity Measurement Model ( PM 4 AC ) for Improved Business Sustainability","type":"article-journal","volume":"14"},"uris":["http://www.mendeley.com/documents/?uuid=92a60348-40f5-48c9-a7fe-e61af01c4a3c"]}],"mendeley":{"formattedCitation":"[23]","plainTextFormattedCitation":"[23]","previouslyFormattedCitation":"[23]"},"properties":{"noteIndex":0},"schema":"https://github.com/citation-style-language/schema/raw/master/csl-citation.json"}</w:instrText>
            </w:r>
            <w:r w:rsidRPr="00D63BE2">
              <w:fldChar w:fldCharType="separate"/>
            </w:r>
            <w:r w:rsidRPr="00E64F19">
              <w:rPr>
                <w:noProof/>
              </w:rPr>
              <w:t>[23]</w:t>
            </w:r>
            <w:r w:rsidRPr="00D63BE2">
              <w:fldChar w:fldCharType="end"/>
            </w:r>
            <w:r>
              <w:rPr>
                <w:rFonts w:ascii="Arial" w:hAnsi="Arial" w:cs="Arial"/>
                <w:color w:val="000000"/>
                <w:sz w:val="20"/>
                <w:szCs w:val="20"/>
              </w:rPr>
              <w:t xml:space="preserve">, </w:t>
            </w:r>
            <w:r w:rsidRPr="00D63BE2">
              <w:fldChar w:fldCharType="begin" w:fldLock="1"/>
            </w:r>
            <w:r w:rsidR="008516C5">
              <w:instrText>ADDIN CSL_CITATION {"citationItems":[{"id":"ITEM-1","itemData":{"DOI":"https://doi.org/10.1108/IJOEM-07-2021-1164","author":[{"dropping-particle":"","family":"Le","given":"Thanh Tiep","non-dropping-particle":"","parse-names":false,"suffix":""}],"container-title":"International Journal of Emerging Markets","id":"ITEM-1","issue":"10","issued":{"date-parts":[["2023"]]},"page":"4565-4590","title":"Corporate social responsibility and SMEs ’ performance : mediating role of corporate image , corporate reputation and customer loyalty","type":"article-journal","volume":"18"},"uris":["http://www.mendeley.com/documents/?uuid=72811685-9f18-4e0f-a2df-c6d8223b9fcb"]}],"mendeley":{"formattedCitation":"[24]","plainTextFormattedCitation":"[24]","previouslyFormattedCitation":"[24]"},"properties":{"noteIndex":0},"schema":"https://github.com/citation-style-language/schema/raw/master/csl-citation.json"}</w:instrText>
            </w:r>
            <w:r w:rsidRPr="00D63BE2">
              <w:fldChar w:fldCharType="separate"/>
            </w:r>
            <w:r w:rsidRPr="00E64F19">
              <w:rPr>
                <w:noProof/>
              </w:rPr>
              <w:t>[24]</w:t>
            </w:r>
            <w:r w:rsidRPr="00D63BE2">
              <w:fldChar w:fldCharType="end"/>
            </w:r>
            <w:r>
              <w:rPr>
                <w:rFonts w:ascii="Arial" w:hAnsi="Arial" w:cs="Arial"/>
                <w:color w:val="000000"/>
                <w:sz w:val="20"/>
                <w:szCs w:val="20"/>
              </w:rPr>
              <w:t>,</w:t>
            </w:r>
            <w:r w:rsidRPr="00D63BE2">
              <w:t xml:space="preserve"> </w:t>
            </w:r>
            <w:r w:rsidRPr="00D63BE2">
              <w:fldChar w:fldCharType="begin" w:fldLock="1"/>
            </w:r>
            <w:r w:rsidR="008516C5">
              <w:instrText>ADDIN CSL_CITATION {"citationItems":[{"id":"ITEM-1","itemData":{"DOI":"https://doi.org/10.25077/josi.v23.n1.p109-119.2024","author":[{"dropping-particle":"","family":"Rahman","given":"Hafiz","non-dropping-particle":"","parse-names":false,"suffix":""},{"dropping-particle":"","family":"Oktavia","given":"Sri","non-dropping-particle":"","parse-names":false,"suffix":""},{"dropping-particle":"","family":"Shetye","given":"Niyanta","non-dropping-particle":"","parse-names":false,"suffix":""},{"dropping-particle":"","family":"Azonhoumon","given":"Winny Leocade Sedjiro","non-dropping-particle":"","parse-names":false,"suffix":""}],"container-title":"Jurnal Optimasi Sistem Industri","id":"ITEM-1","issue":"1","issued":{"date-parts":[["2024"]]},"page":"109-119","title":"Enhancing Operations for Sustainability in Indonesian SMEs through Climate Change Awareness and Business Orientation","type":"article-journal","volume":"23"},"uris":["http://www.mendeley.com/documents/?uuid=d2f0db5b-06cf-48ac-9282-ce78754db3f7"]}],"mendeley":{"formattedCitation":"[26]","plainTextFormattedCitation":"[26]","previouslyFormattedCitation":"[26]"},"properties":{"noteIndex":0},"schema":"https://github.com/citation-style-language/schema/raw/master/csl-citation.json"}</w:instrText>
            </w:r>
            <w:r w:rsidRPr="00D63BE2">
              <w:fldChar w:fldCharType="separate"/>
            </w:r>
            <w:r w:rsidRPr="00E64F19">
              <w:rPr>
                <w:noProof/>
              </w:rPr>
              <w:t>[26]</w:t>
            </w:r>
            <w:r w:rsidRPr="00D63BE2">
              <w:fldChar w:fldCharType="end"/>
            </w:r>
            <w:r w:rsidRPr="00A12A79">
              <w:rPr>
                <w:rFonts w:ascii="Arial" w:hAnsi="Arial" w:cs="Arial"/>
                <w:color w:val="000000"/>
                <w:sz w:val="20"/>
                <w:szCs w:val="20"/>
              </w:rPr>
              <w:t>,</w:t>
            </w:r>
            <w:r w:rsidRPr="00D63BE2">
              <w:t xml:space="preserve"> </w:t>
            </w:r>
            <w:r w:rsidRPr="00D63BE2">
              <w:fldChar w:fldCharType="begin" w:fldLock="1"/>
            </w:r>
            <w:r w:rsidR="008516C5">
              <w:instrText>ADDIN CSL_CITATION {"citationItems":[{"id":"ITEM-1","itemData":{"DOI":"https://doi.org/10.3389/fenvs.2024.1348994","author":[{"dropping-particle":"","family":"Sohu","given":"Jan Muhammad","non-dropping-particle":"","parse-names":false,"suffix":""},{"dropping-particle":"","family":"Hongyun","given":"Tian","non-dropping-particle":"","parse-names":false,"suffix":""},{"dropping-particle":"","family":"Junejo","given":"Ikramuddin","non-dropping-particle":"","parse-names":false,"suffix":""},{"dropping-particle":"","family":"Akhtar","given":"Sadaf","non-dropping-particle":"","parse-names":false,"suffix":""},{"dropping-particle":"","family":"Ejaz","given":"Faisal","non-dropping-particle":"","parse-names":false,"suffix":""},{"dropping-particle":"","family":"Dunay","given":"Anna","non-dropping-particle":"","parse-names":false,"suffix":""},{"dropping-particle":"","family":"Hossain","given":"Billal","non-dropping-particle":"","parse-names":false,"suffix":""}],"container-title":"Frontiers in Environmental Science","id":"ITEM-1","issue":"February","issued":{"date-parts":[["2024"]]},"page":"1-13","title":"Driving sustainable competitiveness : unveiling the nexus of green intellectual capital and environmental regulations on greening SME performance","type":"article-journal"},"uris":["http://www.mendeley.com/documents/?uuid=902f3cdc-9d05-44e9-9926-cf5ae89292ca"]}],"mendeley":{"formattedCitation":"[2]","plainTextFormattedCitation":"[2]","previouslyFormattedCitation":"[2]"},"properties":{"noteIndex":0},"schema":"https://github.com/citation-style-language/schema/raw/master/csl-citation.json"}</w:instrText>
            </w:r>
            <w:r w:rsidRPr="00D63BE2">
              <w:fldChar w:fldCharType="separate"/>
            </w:r>
            <w:r w:rsidRPr="00D63BE2">
              <w:rPr>
                <w:noProof/>
              </w:rPr>
              <w:t>[2]</w:t>
            </w:r>
            <w:r w:rsidRPr="00D63BE2">
              <w:fldChar w:fldCharType="end"/>
            </w:r>
            <w:r>
              <w:t xml:space="preserve">, </w:t>
            </w:r>
            <w:r w:rsidRPr="00D63BE2">
              <w:fldChar w:fldCharType="begin" w:fldLock="1"/>
            </w:r>
            <w:r>
              <w:instrText>ADDIN CSL_CITATION {"citationItems":[{"id":"ITEM-1","itemData":{"DOI":"https://doi.org/10.24294/jipd.v8i12.8934","ISSN":"25727931","abstract":"The significant climate change the planet has faced in recent decades has prompted global leaders, policymakers, business leaders, environmentalists, academics, and scientists from around the world to unite their efforts since 1987 around sustainable development. This development not only promotes economic sustainability but also environmental, social, and corporate sustainability, where clean production, responsible consumption, and sustainable infrastructures prevail. In this context, the present article aims to propose a development framework for sustainability in food sector SMEs, which includes Life Cycle Assessment (LCA) and the integration of Environmental, Social, and Governance (ESG) strategies as key elements to reduce CO2 emissions and improve operational efficiency. The methodology includes a comparative analysis of strategies implemented between 2019 and 2023, supported by quantitative data showing a 20% reduction in operating costs, a 10% increase in market share, and a 25% increase in productivity for companies that adopted clean technologies. This study offers a significant contribution to the field of corporate sustainability, providing a model that is adaptable and applicable across different regions, enhancing innovation and business resilience in a global context that requires collective efforts to achieve the sustainable development goals.","author":[{"dropping-particle":"","family":"Pinedo-López","given":"Jhon","non-dropping-particle":"","parse-names":false,"suffix":""},{"dropping-particle":"","family":"Baena-Navarro","given":"Rubén","non-dropping-particle":"","parse-names":false,"suffix":""},{"dropping-particle":"","family":"Carriazo-Regino","given":"Yulieth","non-dropping-particle":"","parse-names":false,"suffix":""},{"dropping-particle":"","family":"Urrea-Ortiz","given":"Adriana","non-dropping-particle":"","parse-names":false,"suffix":""},{"dropping-particle":"","family":"Reyes-Guevara","given":"Diana","non-dropping-particle":"","parse-names":false,"suffix":""}],"container-title":"Journal of Infrastructure, Policy and Development","id":"ITEM-1","issue":"12","issued":{"date-parts":[["2024"]]},"page":"1-30","title":"Sustainability strategies: A proposal for food sector SMEs, based on the integration of life cycle assessment and ESG strategies","type":"article-journal","volume":"8"},"uris":["http://www.mendeley.com/documents/?uuid=30884c61-e18e-4c01-9993-bfd213a38150"]}],"mendeley":{"formattedCitation":"[3]","plainTextFormattedCitation":"[3]","previouslyFormattedCitation":"[3]"},"properties":{"noteIndex":0},"schema":"https://github.com/citation-style-language/schema/raw/master/csl-citation.json"}</w:instrText>
            </w:r>
            <w:r w:rsidRPr="00D63BE2">
              <w:fldChar w:fldCharType="separate"/>
            </w:r>
            <w:r w:rsidRPr="00D63BE2">
              <w:rPr>
                <w:noProof/>
              </w:rPr>
              <w:t>[3]</w:t>
            </w:r>
            <w:r w:rsidRPr="00D63BE2">
              <w:fldChar w:fldCharType="end"/>
            </w:r>
            <w:r>
              <w:t xml:space="preserve">, </w:t>
            </w:r>
            <w:r w:rsidRPr="00D63BE2">
              <w:fldChar w:fldCharType="begin" w:fldLock="1"/>
            </w:r>
            <w:r>
              <w:instrText>ADDIN CSL_CITATION {"citationItems":[{"id":"ITEM-1","itemData":{"DOI":"https://doi.org/10.3390/w14192964","ISSN":"20734441","abstract":"The blue economy contributes significantly to the creation of the Atlantic Area’s identity. In addition, the search for outdoor experiences after the COVID-19 lockdown suspensions has renewed the popularity of nautical tourism in this area and in the world. Despite the negative effects of the economic crisis on tourism, evidence suggests that some tourist destinations in the Atlantic area are resilient. Thus, whereas some branches of the blue economy face considerable challenges to increasing competitiveness, others offer opportunities for economic growth and employment. In this context, investment is necessary to lay the foundations for the sustainable development of nautical tourism. However, regarding the role of investment in productivity and competitiveness in the context of crisis, there is no consensus among academics. Thus, we investigate whether the investment contributed to competitiveness in nautical tourism in the Atlantic Area in 2016–2020. We collected data from ORBIS for 29 nautical-tourism companies and performed a quantitative and qualitative narrative analysis of competitiveness indicators, enabling comparisons pre and during crisis. The results highlight the multiplicity of ways in which crisis impacts nautical-tourism firms. The research fills a gap in the literature by investigating the dynamic capabilities of nautical-tourism SMEs in periods of recession, with a special focus on restructuring and competitiveness strategies. Some recommendations are outlined to promote the efficiency of resources and stimulate the competitiveness of companies to allow the regional development of nautical tourism in the territory of the Atlantic area.","author":[{"dropping-particle":"","family":"Santos","given":"Eleonora","non-dropping-particle":"","parse-names":false,"suffix":""},{"dropping-particle":"","family":"Castanho","given":"Rui Alexandre","non-dropping-particle":"","parse-names":false,"suffix":""},{"dropping-particle":"","family":"Meyer","given":"Daniel","non-dropping-particle":"","parse-names":false,"suffix":""}],"container-title":"Water (Switzerland)","id":"ITEM-1","issue":"19","issued":{"date-parts":[["2022"]]},"page":"1-17","title":"Is Investment Contributing to Competitiveness in Nautical Tourism in the Atlantic Area?","type":"article-journal","volume":"14"},"uris":["http://www.mendeley.com/documents/?uuid=30aecf1b-328f-435a-a76d-a191dbe74f2b"]}],"mendeley":{"formattedCitation":"[28]","plainTextFormattedCitation":"[28]","previouslyFormattedCitation":"[28]"},"properties":{"noteIndex":0},"schema":"https://github.com/citation-style-language/schema/raw/master/csl-citation.json"}</w:instrText>
            </w:r>
            <w:r w:rsidRPr="00D63BE2">
              <w:fldChar w:fldCharType="separate"/>
            </w:r>
            <w:r w:rsidRPr="00E64F19">
              <w:rPr>
                <w:noProof/>
              </w:rPr>
              <w:t>[28]</w:t>
            </w:r>
            <w:r w:rsidRPr="00D63BE2">
              <w:fldChar w:fldCharType="end"/>
            </w:r>
            <w:r w:rsidRPr="00A12A79">
              <w:rPr>
                <w:rFonts w:ascii="Arial" w:hAnsi="Arial" w:cs="Arial"/>
                <w:color w:val="000000"/>
                <w:sz w:val="20"/>
                <w:szCs w:val="20"/>
              </w:rPr>
              <w:t xml:space="preserve">, </w:t>
            </w:r>
            <w:r w:rsidRPr="00D63BE2">
              <w:fldChar w:fldCharType="begin" w:fldLock="1"/>
            </w:r>
            <w:r>
              <w:instrText>ADDIN CSL_CITATION {"citationItems":[{"id":"ITEM-1","itemData":{"DOI":"https://doi.org/10.18280/ijsdp.170408","ISSN":"1743761X","abstract":"Business today has been globalized. This has made business even more competitive. Companies, regardless of their size, have to improve their competitiveness. Sustainable competitiveness is the core need for innovation. This study aims at exploring the correlation between IT-based innovation or technopreneurship and business competitiveness. This was a quantitative study with survey method. The respondents in this study were small business owners in handicraft and creative content production in Gorontalo city. The data were collected by online form and after three month collecting data, data were collected were 163 respondents. Product, process and organizational innovation and business competitiveness instruments use instruments from previous research. All instruments use a Likert scale with points 1 to 5 which indicate a scale of disagreement to agreement from the respondents. The data were analyzed using PLS-SEM. The Results show that information technology-based product innovation, IT based process innovation, and IT organizational innovation significantly and positively influence the growth of business competitiveness. Product innovation of business owners in Gorontalo city, Indonesia is actively producing new products. Also, innovation is not only limited to product innovation but also production process innovation, which uses information technology. Utilization of technopreneurship is significantly able to increase business competitiveness, especially for small businesses in Gorontalo city. Utilization of innovation in information technology assumed to strongly develop business competitiveness. The business competitiveness of small businesses in the high-tech field is influenced by products, processes and organizational innovation. SMEs must be able to create products, or product segments, and services that exceed the performance limitations of traditional products by utilizing everything possible through digital models","author":[{"dropping-particle":"","family":"Machmud","given":"Rizan","non-dropping-particle":"","parse-names":false,"suffix":""},{"dropping-particle":"","family":"Wuryaningrat","given":"Nikolas F.","non-dropping-particle":"","parse-names":false,"suffix":""},{"dropping-particle":"","family":"Mutiarasari","given":"Diah","non-dropping-particle":"","parse-names":false,"suffix":""}],"container-title":"International Journal of Sustainable Development and Planning","id":"ITEM-1","issue":"4","issued":{"date-parts":[["2022"]]},"page":"1117-1122","title":"Technopreneurship-Based Competitiveness and Innovation at Small Business in Gorontalo City","type":"article-journal","volume":"17"},"uris":["http://www.mendeley.com/documents/?uuid=7953932c-869d-457c-9dec-83df5ab570d3"]}],"mendeley":{"formattedCitation":"[31]","plainTextFormattedCitation":"[31]","previouslyFormattedCitation":"[31]"},"properties":{"noteIndex":0},"schema":"https://github.com/citation-style-language/schema/raw/master/csl-citation.json"}</w:instrText>
            </w:r>
            <w:r w:rsidRPr="00D63BE2">
              <w:fldChar w:fldCharType="separate"/>
            </w:r>
            <w:r w:rsidRPr="00E64F19">
              <w:rPr>
                <w:noProof/>
              </w:rPr>
              <w:t>[31]</w:t>
            </w:r>
            <w:r w:rsidRPr="00D63BE2">
              <w:fldChar w:fldCharType="end"/>
            </w:r>
            <w:r>
              <w:t xml:space="preserve">, </w:t>
            </w:r>
            <w:r w:rsidRPr="00D63BE2">
              <w:fldChar w:fldCharType="begin" w:fldLock="1"/>
            </w:r>
            <w:r w:rsidRPr="00D63BE2">
              <w:instrText>ADDIN CSL_CITATION {"citationItems":[{"id":"ITEM-1","itemData":{"DOI":"https://doi.org/10.3390/su16114377","ISSN":"20711050","abstract":"This paper investigates the incorporation of sustainable development within the Portuguese agri-food sector amid global environmental and resource challenges. It underscores the role of the Sustainable Development Goals (SDGs) and environmental, social, and governance (ESG) criteria in steering businesses towards sustainable practices. Through qualitative analysis, in-depth interviews with managers and experts explored sustainable business model adoption, highlighting SMEs’ unique challenges. The study reveals a divergence in sustainability practice maturity, advocating for integration into organizational culture and strategy. It points out SMEs’ reactive stance due to resource constraints and external pressures, contrasting with larger firms’ proactive approaches. The research supports a strategic reevaluation of business models for sustainability, emphasizing innovation, leadership, organizational commitment, and transparent communication. Practical contributions include embedding sustainability into core operations, enhancing competitiveness, fostering sustainable organizational culture, prioritizing employee well-being, and leveraging innovative marketing for sustainability communication. Recognizing its limitations, this study advocates exploring blockchain and AI for transparency, leadership’s role in sustainable models, and the importance of marketing in the agri-food sector for sustainable management. Insights indicate that innovation and strategic partnerships are crucial for enhancing organizational sustainability and achieving the SDGs.","author":[{"dropping-particle":"","family":"Camelo","given":"Gonçalo","non-dropping-particle":"","parse-names":false,"suffix":""},{"dropping-particle":"","family":"Nogueira","given":"Mafalda","non-dropping-particle":"","parse-names":false,"suffix":""}],"container-title":"Sustainability (Switzerland)","id":"ITEM-1","issue":"11","issued":{"date-parts":[["2024"]]},"title":"The ESG Menu: Integrating Sustainable Practices in the Portuguese Agri-Food Sector","type":"article-journal","volume":"16"},"uris":["http://www.mendeley.com/documents/?uuid=a509d32a-b739-4e9a-8b7c-acda6a44c797"]}],"mendeley":{"formattedCitation":"[4]","plainTextFormattedCitation":"[4]","previouslyFormattedCitation":"[4]"},"properties":{"noteIndex":0},"schema":"https://github.com/citation-style-language/schema/raw/master/csl-citation.json"}</w:instrText>
            </w:r>
            <w:r w:rsidRPr="00D63BE2">
              <w:fldChar w:fldCharType="separate"/>
            </w:r>
            <w:r w:rsidRPr="00D63BE2">
              <w:rPr>
                <w:noProof/>
              </w:rPr>
              <w:t>[4]</w:t>
            </w:r>
            <w:r w:rsidRPr="00D63BE2">
              <w:fldChar w:fldCharType="end"/>
            </w:r>
            <w:r>
              <w:t xml:space="preserve">, </w:t>
            </w:r>
            <w:r w:rsidRPr="00D63BE2">
              <w:fldChar w:fldCharType="begin" w:fldLock="1"/>
            </w:r>
            <w:r w:rsidR="008516C5">
              <w:instrText>ADDIN CSL_CITATION {"citationItems":[{"id":"ITEM-1","itemData":{"DOI":"DOI: https://doi.org/10.34190/ecmlg.18.1.906","ISBN":"9781914587573","ISSN":"2048903X","abstract":"Thailand is implementing the Thailand 4.0 policy that aims to bring technology and innovation to build sustainable competitiveness for the private sector. However, in the context of SMEs, the ability to transfer technology from universities is still a limitation. The objective of this research is to identify the technology assistance needs of SMEs, as well as, to study the key factors that make the technology transfer successful in the context of collaboration between universities, government agencies and SMEs. The sample group of this research is 226 SME entrepreneurs participating in the Boost up New Entrepreneurs with Technology and Innovation Program carried out by The Office of SMEs Promotion and Thammasat University between 2019-2020. The research results indicated that to create sustainable competitiveness, SMEs need technology assistance in 4 areas: (1) enhancing digital marketing capabilities, (2) developing product innovations, (3) raising product standards, and (4) improving production efficiency. In addition, this research also indicated that the technology transfer success factors for SMEs has 3 key elements: (1) a technology transferor who stands out for collaboration between researchers and business consultants, (2)atechnology transferee who has key characteristics of entrepreneur orientation and absorptive capacity of SMEs, and (3)the technology characteristics which can be connected to the original business processes of the organization which is a technology that gives SMEs' products uniqueness that is difficult for competitors in the market to copy.","author":[{"dropping-particle":"","family":"Khongmalai","given":"Orapan","non-dropping-particle":"","parse-names":false,"suffix":""},{"dropping-particle":"","family":"Distanont","given":"Anyanitha","non-dropping-particle":"","parse-names":false,"suffix":""}],"container-title":"Proceedings of the European Conference on Management, Leadership and Governance","id":"ITEM-1","issued":{"date-parts":[["2022"]]},"page":"222-228","title":"Technology Transfer Model to Enhance Sustainable Competitiveness of SMEs","type":"article-journal","volume":"2022-Novem"},"uris":["http://www.mendeley.com/documents/?uuid=98401e0f-17d4-4eb2-ab8c-8ca5bde66391"]}],"mendeley":{"formattedCitation":"[30]","plainTextFormattedCitation":"[30]","previouslyFormattedCitation":"[30]"},"properties":{"noteIndex":0},"schema":"https://github.com/citation-style-language/schema/raw/master/csl-citation.json"}</w:instrText>
            </w:r>
            <w:r w:rsidRPr="00D63BE2">
              <w:fldChar w:fldCharType="separate"/>
            </w:r>
            <w:r w:rsidRPr="00E64F19">
              <w:rPr>
                <w:noProof/>
              </w:rPr>
              <w:t>[30]</w:t>
            </w:r>
            <w:r w:rsidRPr="00D63BE2">
              <w:fldChar w:fldCharType="end"/>
            </w:r>
            <w:r w:rsidRPr="00A12A79">
              <w:rPr>
                <w:rFonts w:ascii="Arial" w:hAnsi="Arial" w:cs="Arial"/>
                <w:color w:val="000000"/>
                <w:sz w:val="20"/>
                <w:szCs w:val="20"/>
              </w:rPr>
              <w:t xml:space="preserve">, </w:t>
            </w:r>
            <w:r w:rsidRPr="00D63BE2">
              <w:fldChar w:fldCharType="begin" w:fldLock="1"/>
            </w:r>
            <w:r w:rsidR="008516C5">
              <w:instrText>ADDIN CSL_CITATION {"citationItems":[{"id":"ITEM-1","itemData":{"DOI":"http://dx.doi.org/10. 28991/HEF-2023-04-04-03","ISSN":"27852997","abstract":"This qualitative study aims to investigate the Triple Layered Business Model Canvas (TLBMC) strategy to drive environmental progress within the Indonesian fashion industry. Employing the descriptive phenomenological method, the research focuses on applying the TLBMC model to enhance the environmental sustainability of Micro, Small, and Medium Enterprises (MSMEs) in Yan An. The Yan An case study serves as a practical illustration, demonstrating the successful implementation of the TLBMC model and offering valuable insights into sustainable solutions for challenges faced by the Indonesian fashion industry. In contributing to the existing literature, this study introduces and applies the TLBMC strategy as an innovative approach to address environmental and competitiveness challenges within the Indonesian fashion industry. The research emphasizes the urgent need for a cost-effective and environmentally friendly business strategy, considering the industry’s substantial contribution to environmental issues, accounting for 20% of global wastewater production. The changing consumer perceptions, where fashion is seen as a symbol of social status, have fueled rapid industry growth and intensified challenges for local fashion products, especially those from small and medium-sized enterprises (SMEs). The study underscores the critical importance of embracing sustainable business practices in the dynamic landscape of the Indonesian fashion industry.","author":[{"dropping-particle":"","family":"Hurriyati","given":"Ratih","non-dropping-particle":"","parse-names":false,"suffix":""},{"dropping-particle":"","family":"Dagustani","given":"Dani","non-dropping-particle":"","parse-names":false,"suffix":""},{"dropping-particle":"","family":"Surachim","given":"Ahim","non-dropping-particle":"","parse-names":false,"suffix":""},{"dropping-particle":"","family":"Sulastri","given":"S.","non-dropping-particle":"","parse-names":false,"suffix":""},{"dropping-particle":"","family":"Lisnawati","given":"L.","non-dropping-particle":"","parse-names":false,"suffix":""}],"container-title":"Journal of Human, Earth, and Future","id":"ITEM-1","issue":"4","issued":{"date-parts":[["2023"]]},"page":"411-423","title":"Triple-Layered Business Model Canvas Environment Based in the Fashion Industry","type":"article-journal","volume":"4"},"uris":["http://www.mendeley.com/documents/?uuid=aaf14e7b-8381-4c97-a5a5-abc0866d6728"]}],"mendeley":{"formattedCitation":"[33]","plainTextFormattedCitation":"[33]","previouslyFormattedCitation":"[33]"},"properties":{"noteIndex":0},"schema":"https://github.com/citation-style-language/schema/raw/master/csl-citation.json"}</w:instrText>
            </w:r>
            <w:r w:rsidRPr="00D63BE2">
              <w:fldChar w:fldCharType="separate"/>
            </w:r>
            <w:r w:rsidRPr="00E64F19">
              <w:rPr>
                <w:noProof/>
              </w:rPr>
              <w:t>[33]</w:t>
            </w:r>
            <w:r w:rsidRPr="00D63BE2">
              <w:fldChar w:fldCharType="end"/>
            </w:r>
          </w:p>
        </w:tc>
      </w:tr>
      <w:tr w:rsidR="00EC7FF1" w:rsidRPr="00A12A79" w:rsidTr="00B0441B">
        <w:trPr>
          <w:trHeight w:val="300"/>
          <w:jc w:val="center"/>
        </w:trPr>
        <w:tc>
          <w:tcPr>
            <w:tcW w:w="1350" w:type="dxa"/>
            <w:vMerge/>
            <w:vAlign w:val="center"/>
            <w:hideMark/>
          </w:tcPr>
          <w:p w:rsidR="00EC7FF1" w:rsidRPr="00A12A79" w:rsidRDefault="00EC7FF1" w:rsidP="00EC7FF1">
            <w:pPr>
              <w:spacing w:after="0" w:line="240" w:lineRule="auto"/>
              <w:rPr>
                <w:rFonts w:ascii="Arial" w:hAnsi="Arial" w:cs="Arial"/>
                <w:color w:val="000000"/>
                <w:sz w:val="20"/>
                <w:szCs w:val="20"/>
              </w:rPr>
            </w:pPr>
          </w:p>
        </w:tc>
        <w:tc>
          <w:tcPr>
            <w:tcW w:w="1617" w:type="dxa"/>
            <w:shd w:val="clear" w:color="auto" w:fill="auto"/>
            <w:vAlign w:val="bottom"/>
            <w:hideMark/>
          </w:tcPr>
          <w:p w:rsidR="00EC7FF1" w:rsidRPr="00A12A79" w:rsidRDefault="00EC7FF1" w:rsidP="00EC7FF1">
            <w:pPr>
              <w:spacing w:after="0" w:line="240" w:lineRule="auto"/>
              <w:rPr>
                <w:rFonts w:ascii="Arial" w:hAnsi="Arial" w:cs="Arial"/>
                <w:color w:val="000000"/>
                <w:sz w:val="20"/>
                <w:szCs w:val="20"/>
              </w:rPr>
            </w:pPr>
            <w:r w:rsidRPr="00A12A79">
              <w:rPr>
                <w:rFonts w:ascii="Arial" w:hAnsi="Arial" w:cs="Arial"/>
                <w:color w:val="000000"/>
                <w:sz w:val="20"/>
                <w:szCs w:val="20"/>
              </w:rPr>
              <w:t>Technology Sustainability</w:t>
            </w:r>
          </w:p>
        </w:tc>
        <w:tc>
          <w:tcPr>
            <w:tcW w:w="1184" w:type="dxa"/>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D63BE2">
              <w:fldChar w:fldCharType="begin" w:fldLock="1"/>
            </w:r>
            <w:r>
              <w:instrText>ADDIN CSL_CITATION {"citationItems":[{"id":"ITEM-1","itemData":{"DOI":"http://dx.doi.org/10.36096/ijbes.v6i1.465","abstract":"This study aims to explore key drivers of tourism sustainability practices and their impact on the sustainable competitive performance of the tourism accommodation industry. The study adopts an exploratory research design under qualitative research, using semi-structured interviewing of owners and managers of tourism accommodation firms using the TOE framework and RBV theory. The findings reveal that technological sustainability expertise, executive sustainability support, organizational resources and capability, service intermediary sustainability practices, collaborative innovation adoption capability, tourism sustainability regulatory policy, and sustainability practices perceived by residents are the key drivers of TSP. The outcomes also show that tourism sustainability practices have a positive impact on the SCP of accommodation firms. This study makes a theoretical contribution to the literature on tourism sustainability by exploring how TOE antecedents motivate firms to adopt sustainability practices as product innovation, which in turn enhance SCP. Also, this study provides strong backing for the premises of the TOE framework, and RBV theory offers valuable practical insights for managers and owners. This will aid in identifying the pivotal factors influencing TSP and SCP, enabling the implementation of innovative strategies to enhance firm competitiveness. Also, the research can help the government and policymakers formulate sustainable tourism policies to promote tourism innovations. The adoption of sustainable practices has been a focal point for both academic researchers and professionals in the tourism industry. However, there has been insufficient exploration of the TOE drivers that facilitate the integration of tourism sustainability within the context of TAFs in a developing country. Therefore, this study aims to fill this gap in knowledge.","author":[{"dropping-particle":"","family":"Islam","given":"Md Farijul","non-dropping-particle":"","parse-names":false,"suffix":""}],"container-title":"International Journal of Business Ecosystem &amp; Strategy (2687-2293)","id":"ITEM-1","issue":"1","issued":{"date-parts":[["2024"]]},"page":"28-44","title":"Exploring key drivers of tourism sustainability practices and their impact on sustainable competitive performance in the accommodation industry","type":"article-journal","volume":"6"},"uris":["http://www.mendeley.com/documents/?uuid=97152403-85ae-4c1a-803b-922b1defc716"]}],"mendeley":{"formattedCitation":"[18]","plainTextFormattedCitation":"[18]","previouslyFormattedCitation":"[18]"},"properties":{"noteIndex":0},"schema":"https://github.com/citation-style-language/schema/raw/master/csl-citation.json"}</w:instrText>
            </w:r>
            <w:r w:rsidRPr="00D63BE2">
              <w:fldChar w:fldCharType="separate"/>
            </w:r>
            <w:r w:rsidRPr="00E64F19">
              <w:rPr>
                <w:noProof/>
              </w:rPr>
              <w:t>[18]</w:t>
            </w:r>
            <w:r w:rsidRPr="00D63BE2">
              <w:fldChar w:fldCharType="end"/>
            </w:r>
            <w:r w:rsidRPr="00A12A79">
              <w:rPr>
                <w:rFonts w:ascii="Arial" w:hAnsi="Arial" w:cs="Arial"/>
                <w:color w:val="000000"/>
                <w:sz w:val="20"/>
                <w:szCs w:val="20"/>
              </w:rPr>
              <w:t xml:space="preserve">, </w:t>
            </w:r>
            <w:r w:rsidRPr="00D63BE2">
              <w:fldChar w:fldCharType="begin" w:fldLock="1"/>
            </w:r>
            <w:r w:rsidR="008516C5">
              <w:instrText>ADDIN CSL_CITATION {"citationItems":[{"id":"ITEM-1","itemData":{"DOI":"DOI: https://doi.org/10.34190/ecmlg.18.1.906","ISBN":"9781914587573","ISSN":"2048903X","abstract":"Thailand is implementing the Thailand 4.0 policy that aims to bring technology and innovation to build sustainable competitiveness for the private sector. However, in the context of SMEs, the ability to transfer technology from universities is still a limitation. The objective of this research is to identify the technology assistance needs of SMEs, as well as, to study the key factors that make the technology transfer successful in the context of collaboration between universities, government agencies and SMEs. The sample group of this research is 226 SME entrepreneurs participating in the Boost up New Entrepreneurs with Technology and Innovation Program carried out by The Office of SMEs Promotion and Thammasat University between 2019-2020. The research results indicated that to create sustainable competitiveness, SMEs need technology assistance in 4 areas: (1) enhancing digital marketing capabilities, (2) developing product innovations, (3) raising product standards, and (4) improving production efficiency. In addition, this research also indicated that the technology transfer success factors for SMEs has 3 key elements: (1) a technology transferor who stands out for collaboration between researchers and business consultants, (2)atechnology transferee who has key characteristics of entrepreneur orientation and absorptive capacity of SMEs, and (3)the technology characteristics which can be connected to the original business processes of the organization which is a technology that gives SMEs' products uniqueness that is difficult for competitors in the market to copy.","author":[{"dropping-particle":"","family":"Khongmalai","given":"Orapan","non-dropping-particle":"","parse-names":false,"suffix":""},{"dropping-particle":"","family":"Distanont","given":"Anyanitha","non-dropping-particle":"","parse-names":false,"suffix":""}],"container-title":"Proceedings of the European Conference on Management, Leadership and Governance","id":"ITEM-1","issued":{"date-parts":[["2022"]]},"page":"222-228","title":"Technology Transfer Model to Enhance Sustainable Competitiveness of SMEs","type":"article-journal","volume":"2022-Novem"},"uris":["http://www.mendeley.com/documents/?uuid=98401e0f-17d4-4eb2-ab8c-8ca5bde66391"]}],"mendeley":{"formattedCitation":"[30]","plainTextFormattedCitation":"[30]","previouslyFormattedCitation":"[30]"},"properties":{"noteIndex":0},"schema":"https://github.com/citation-style-language/schema/raw/master/csl-citation.json"}</w:instrText>
            </w:r>
            <w:r w:rsidRPr="00D63BE2">
              <w:fldChar w:fldCharType="separate"/>
            </w:r>
            <w:r w:rsidRPr="00E64F19">
              <w:rPr>
                <w:noProof/>
              </w:rPr>
              <w:t>[30]</w:t>
            </w:r>
            <w:r w:rsidRPr="00D63BE2">
              <w:fldChar w:fldCharType="end"/>
            </w:r>
          </w:p>
        </w:tc>
      </w:tr>
      <w:tr w:rsidR="00EC7FF1" w:rsidRPr="00A12A79" w:rsidTr="00B0441B">
        <w:trPr>
          <w:trHeight w:val="300"/>
          <w:jc w:val="center"/>
        </w:trPr>
        <w:tc>
          <w:tcPr>
            <w:tcW w:w="1350" w:type="dxa"/>
            <w:vMerge/>
            <w:vAlign w:val="center"/>
            <w:hideMark/>
          </w:tcPr>
          <w:p w:rsidR="00EC7FF1" w:rsidRPr="00A12A79" w:rsidRDefault="00EC7FF1" w:rsidP="00EC7FF1">
            <w:pPr>
              <w:spacing w:after="0" w:line="240" w:lineRule="auto"/>
              <w:rPr>
                <w:rFonts w:ascii="Arial" w:hAnsi="Arial" w:cs="Arial"/>
                <w:color w:val="000000"/>
                <w:sz w:val="20"/>
                <w:szCs w:val="20"/>
              </w:rPr>
            </w:pPr>
          </w:p>
        </w:tc>
        <w:tc>
          <w:tcPr>
            <w:tcW w:w="1617" w:type="dxa"/>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A12A79">
              <w:rPr>
                <w:rFonts w:ascii="Arial" w:hAnsi="Arial" w:cs="Arial"/>
                <w:color w:val="000000"/>
                <w:sz w:val="20"/>
                <w:szCs w:val="20"/>
              </w:rPr>
              <w:t>Utilization of Digital Data</w:t>
            </w:r>
          </w:p>
        </w:tc>
        <w:tc>
          <w:tcPr>
            <w:tcW w:w="1184" w:type="dxa"/>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D63BE2">
              <w:fldChar w:fldCharType="begin" w:fldLock="1"/>
            </w:r>
            <w:r>
              <w:instrText>ADDIN CSL_CITATION {"citationItems":[{"id":"ITEM-1","itemData":{"DOI":"https://doi.org/10.18280/ijsdp.170408","ISSN":"1743761X","abstract":"Business today has been globalized. This has made business even more competitive. Companies, regardless of their size, have to improve their competitiveness. Sustainable competitiveness is the core need for innovation. This study aims at exploring the correlation between IT-based innovation or technopreneurship and business competitiveness. This was a quantitative study with survey method. The respondents in this study were small business owners in handicraft and creative content production in Gorontalo city. The data were collected by online form and after three month collecting data, data were collected were 163 respondents. Product, process and organizational innovation and business competitiveness instruments use instruments from previous research. All instruments use a Likert scale with points 1 to 5 which indicate a scale of disagreement to agreement from the respondents. The data were analyzed using PLS-SEM. The Results show that information technology-based product innovation, IT based process innovation, and IT organizational innovation significantly and positively influence the growth of business competitiveness. Product innovation of business owners in Gorontalo city, Indonesia is actively producing new products. Also, innovation is not only limited to product innovation but also production process innovation, which uses information technology. Utilization of technopreneurship is significantly able to increase business competitiveness, especially for small businesses in Gorontalo city. Utilization of innovation in information technology assumed to strongly develop business competitiveness. The business competitiveness of small businesses in the high-tech field is influenced by products, processes and organizational innovation. SMEs must be able to create products, or product segments, and services that exceed the performance limitations of traditional products by utilizing everything possible through digital models","author":[{"dropping-particle":"","family":"Machmud","given":"Rizan","non-dropping-particle":"","parse-names":false,"suffix":""},{"dropping-particle":"","family":"Wuryaningrat","given":"Nikolas F.","non-dropping-particle":"","parse-names":false,"suffix":""},{"dropping-particle":"","family":"Mutiarasari","given":"Diah","non-dropping-particle":"","parse-names":false,"suffix":""}],"container-title":"International Journal of Sustainable Development and Planning","id":"ITEM-1","issue":"4","issued":{"date-parts":[["2022"]]},"page":"1117-1122","title":"Technopreneurship-Based Competitiveness and Innovation at Small Business in Gorontalo City","type":"article-journal","volume":"17"},"uris":["http://www.mendeley.com/documents/?uuid=7953932c-869d-457c-9dec-83df5ab570d3"]}],"mendeley":{"formattedCitation":"[31]","plainTextFormattedCitation":"[31]","previouslyFormattedCitation":"[31]"},"properties":{"noteIndex":0},"schema":"https://github.com/citation-style-language/schema/raw/master/csl-citation.json"}</w:instrText>
            </w:r>
            <w:r w:rsidRPr="00D63BE2">
              <w:fldChar w:fldCharType="separate"/>
            </w:r>
            <w:r w:rsidRPr="00E64F19">
              <w:rPr>
                <w:noProof/>
              </w:rPr>
              <w:t>[31]</w:t>
            </w:r>
            <w:r w:rsidRPr="00D63BE2">
              <w:fldChar w:fldCharType="end"/>
            </w:r>
            <w:r>
              <w:t xml:space="preserve">, </w:t>
            </w:r>
            <w:r w:rsidRPr="00D63BE2">
              <w:fldChar w:fldCharType="begin" w:fldLock="1"/>
            </w:r>
            <w:r>
              <w:instrText>ADDIN CSL_CITATION {"citationItems":[{"id":"ITEM-1","itemData":{"DOI":"https://doi.org/10.3390/ su15129387 Academic","ISSN":"20711050","abstract":"The primary objective of this study is the development of an integrated framework for sustainable development in agri-food Small and Medium Enterprises (SMEs) with a variety of production types. Dealing with the significant research problem of defining a successful record-keeping system, as this is the foundation of an integrated information framework in agri-food SMEs, this research identifies and explicates the several conceptual, methodological, organizational, and technical concerns related to the data collection, processing, and recording, as well as information generation in agri-food SMEs. Two main fields of research are distinguished: the micro-level, which is related to the monitoring of agri-food SMEs, and the macro-level, which relates to the collection, processing, and collective interpretation of different types of data. The findings show how the creation of a database for all levels of analysis, primarily business analyses, followed by an analysis of the development of the agri-food sector, as a whole and by individual regions and branches, etc., constitutes the basis for the effective operation and ongoing improvement of an integrated framework for the sustainable development of agri-food SMEs. Methodologically, this study employs the system approach, system analysis, and synthesis sequence to produce business, economic, and social findings of theoretical and practicable worth to scholars, executives, and decision makers.","author":[{"dropping-particle":"","family":"Figurek","given":"Aleksandra","non-dropping-particle":"","parse-names":false,"suffix":""},{"dropping-particle":"","family":"Thrassou","given":"Alkis","non-dropping-particle":"","parse-names":false,"suffix":""}],"container-title":"Sustainability (Switzerland)","id":"ITEM-1","issue":"12","issued":{"date-parts":[["2023"]]},"title":"An Integrated Framework for Sustainable Development in Agri-Food SMEs","type":"article-journal","volume":"15"},"uris":["http://www.mendeley.com/documents/?uuid=8c046342-98a6-4a93-b7ac-8e8b9a62a81d"]}],"mendeley":{"formattedCitation":"[17]","plainTextFormattedCitation":"[17]","previouslyFormattedCitation":"[17]"},"properties":{"noteIndex":0},"schema":"https://github.com/citation-style-language/schema/raw/master/csl-citation.json"}</w:instrText>
            </w:r>
            <w:r w:rsidRPr="00D63BE2">
              <w:fldChar w:fldCharType="separate"/>
            </w:r>
            <w:r w:rsidRPr="00E64F19">
              <w:rPr>
                <w:noProof/>
              </w:rPr>
              <w:t>[17]</w:t>
            </w:r>
            <w:r w:rsidRPr="00D63BE2">
              <w:fldChar w:fldCharType="end"/>
            </w:r>
          </w:p>
        </w:tc>
      </w:tr>
      <w:tr w:rsidR="00EC7FF1" w:rsidRPr="00A12A79" w:rsidTr="00B0441B">
        <w:trPr>
          <w:trHeight w:val="300"/>
          <w:jc w:val="center"/>
        </w:trPr>
        <w:tc>
          <w:tcPr>
            <w:tcW w:w="1350" w:type="dxa"/>
            <w:vAlign w:val="center"/>
            <w:hideMark/>
          </w:tcPr>
          <w:p w:rsidR="00EC7FF1" w:rsidRPr="00A12A79" w:rsidRDefault="00EC7FF1" w:rsidP="00EC7FF1">
            <w:pPr>
              <w:spacing w:after="0" w:line="240" w:lineRule="auto"/>
              <w:rPr>
                <w:rFonts w:ascii="Arial" w:hAnsi="Arial" w:cs="Arial"/>
                <w:color w:val="000000"/>
                <w:sz w:val="20"/>
                <w:szCs w:val="20"/>
              </w:rPr>
            </w:pPr>
          </w:p>
        </w:tc>
        <w:tc>
          <w:tcPr>
            <w:tcW w:w="1617" w:type="dxa"/>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4E4A75">
              <w:rPr>
                <w:rFonts w:ascii="Arial" w:hAnsi="Arial" w:cs="Arial"/>
                <w:sz w:val="20"/>
                <w:szCs w:val="20"/>
              </w:rPr>
              <w:t>Appropriate Technology</w:t>
            </w:r>
          </w:p>
        </w:tc>
        <w:tc>
          <w:tcPr>
            <w:tcW w:w="1184" w:type="dxa"/>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D63BE2">
              <w:fldChar w:fldCharType="begin" w:fldLock="1"/>
            </w:r>
            <w:r w:rsidR="008516C5">
              <w:instrText>ADDIN CSL_CITATION {"citationItems":[{"id":"ITEM-1","itemData":{"DOI":"DOI: https://doi.org/10.34190/ecmlg.18.1.906","ISBN":"9781914587573","ISSN":"2048903X","abstract":"Thailand is implementing the Thailand 4.0 policy that aims to bring technology and innovation to build sustainable competitiveness for the private sector. However, in the context of SMEs, the ability to transfer technology from universities is still a limitation. The objective of this research is to identify the technology assistance needs of SMEs, as well as, to study the key factors that make the technology transfer successful in the context of collaboration between universities, government agencies and SMEs. The sample group of this research is 226 SME entrepreneurs participating in the Boost up New Entrepreneurs with Technology and Innovation Program carried out by The Office of SMEs Promotion and Thammasat University between 2019-2020. The research results indicated that to create sustainable competitiveness, SMEs need technology assistance in 4 areas: (1) enhancing digital marketing capabilities, (2) developing product innovations, (3) raising product standards, and (4) improving production efficiency. In addition, this research also indicated that the technology transfer success factors for SMEs has 3 key elements: (1) a technology transferor who stands out for collaboration between researchers and business consultants, (2)atechnology transferee who has key characteristics of entrepreneur orientation and absorptive capacity of SMEs, and (3)the technology characteristics which can be connected to the original business processes of the organization which is a technology that gives SMEs' products uniqueness that is difficult for competitors in the market to copy.","author":[{"dropping-particle":"","family":"Khongmalai","given":"Orapan","non-dropping-particle":"","parse-names":false,"suffix":""},{"dropping-particle":"","family":"Distanont","given":"Anyanitha","non-dropping-particle":"","parse-names":false,"suffix":""}],"container-title":"Proceedings of the European Conference on Management, Leadership and Governance","id":"ITEM-1","issued":{"date-parts":[["2022"]]},"page":"222-228","title":"Technology Transfer Model to Enhance Sustainable Competitiveness of SMEs","type":"article-journal","volume":"2022-Novem"},"uris":["http://www.mendeley.com/documents/?uuid=98401e0f-17d4-4eb2-ab8c-8ca5bde66391"]}],"mendeley":{"formattedCitation":"[30]","plainTextFormattedCitation":"[30]","previouslyFormattedCitation":"[30]"},"properties":{"noteIndex":0},"schema":"https://github.com/citation-style-language/schema/raw/master/csl-citation.json"}</w:instrText>
            </w:r>
            <w:r w:rsidRPr="00D63BE2">
              <w:fldChar w:fldCharType="separate"/>
            </w:r>
            <w:r w:rsidRPr="00E64F19">
              <w:rPr>
                <w:noProof/>
              </w:rPr>
              <w:t>[30]</w:t>
            </w:r>
            <w:r w:rsidRPr="00D63BE2">
              <w:fldChar w:fldCharType="end"/>
            </w:r>
            <w:r>
              <w:t xml:space="preserve">, </w:t>
            </w:r>
            <w:r w:rsidRPr="00D63BE2">
              <w:fldChar w:fldCharType="begin" w:fldLock="1"/>
            </w:r>
            <w:r>
              <w:instrText>ADDIN CSL_CITATION {"citationItems":[{"id":"ITEM-1","itemData":{"DOI":"https://doi.org/10.18280/ijsdp.170408","ISSN":"1743761X","abstract":"Business today has been globalized. This has made business even more competitive. Companies, regardless of their size, have to improve their competitiveness. Sustainable competitiveness is the core need for innovation. This study aims at exploring the correlation between IT-based innovation or technopreneurship and business competitiveness. This was a quantitative study with survey method. The respondents in this study were small business owners in handicraft and creative content production in Gorontalo city. The data were collected by online form and after three month collecting data, data were collected were 163 respondents. Product, process and organizational innovation and business competitiveness instruments use instruments from previous research. All instruments use a Likert scale with points 1 to 5 which indicate a scale of disagreement to agreement from the respondents. The data were analyzed using PLS-SEM. The Results show that information technology-based product innovation, IT based process innovation, and IT organizational innovation significantly and positively influence the growth of business competitiveness. Product innovation of business owners in Gorontalo city, Indonesia is actively producing new products. Also, innovation is not only limited to product innovation but also production process innovation, which uses information technology. Utilization of technopreneurship is significantly able to increase business competitiveness, especially for small businesses in Gorontalo city. Utilization of innovation in information technology assumed to strongly develop business competitiveness. The business competitiveness of small businesses in the high-tech field is influenced by products, processes and organizational innovation. SMEs must be able to create products, or product segments, and services that exceed the performance limitations of traditional products by utilizing everything possible through digital models","author":[{"dropping-particle":"","family":"Machmud","given":"Rizan","non-dropping-particle":"","parse-names":false,"suffix":""},{"dropping-particle":"","family":"Wuryaningrat","given":"Nikolas F.","non-dropping-particle":"","parse-names":false,"suffix":""},{"dropping-particle":"","family":"Mutiarasari","given":"Diah","non-dropping-particle":"","parse-names":false,"suffix":""}],"container-title":"International Journal of Sustainable Development and Planning","id":"ITEM-1","issue":"4","issued":{"date-parts":[["2022"]]},"page":"1117-1122","title":"Technopreneurship-Based Competitiveness and Innovation at Small Business in Gorontalo City","type":"article-journal","volume":"17"},"uris":["http://www.mendeley.com/documents/?uuid=7953932c-869d-457c-9dec-83df5ab570d3"]}],"mendeley":{"formattedCitation":"[31]","plainTextFormattedCitation":"[31]","previouslyFormattedCitation":"[31]"},"properties":{"noteIndex":0},"schema":"https://github.com/citation-style-language/schema/raw/master/csl-citation.json"}</w:instrText>
            </w:r>
            <w:r w:rsidRPr="00D63BE2">
              <w:fldChar w:fldCharType="separate"/>
            </w:r>
            <w:r w:rsidRPr="00E64F19">
              <w:rPr>
                <w:noProof/>
              </w:rPr>
              <w:t>[31]</w:t>
            </w:r>
            <w:r w:rsidRPr="00D63BE2">
              <w:fldChar w:fldCharType="end"/>
            </w:r>
            <w:r>
              <w:t xml:space="preserve">, </w:t>
            </w:r>
            <w:r w:rsidRPr="00D63BE2">
              <w:fldChar w:fldCharType="begin" w:fldLock="1"/>
            </w:r>
            <w:r w:rsidR="008516C5">
              <w:instrText>ADDIN CSL_CITATION {"citationItems":[{"id":"ITEM-1","itemData":{"DOI":"http://dx.doi.org/10. 28991/HEF-2023-04-04-03","ISSN":"27852997","abstract":"This qualitative study aims to investigate the Triple Layered Business Model Canvas (TLBMC) strategy to drive environmental progress within the Indonesian fashion industry. Employing the descriptive phenomenological method, the research focuses on applying the TLBMC model to enhance the environmental sustainability of Micro, Small, and Medium Enterprises (MSMEs) in Yan An. The Yan An case study serves as a practical illustration, demonstrating the successful implementation of the TLBMC model and offering valuable insights into sustainable solutions for challenges faced by the Indonesian fashion industry. In contributing to the existing literature, this study introduces and applies the TLBMC strategy as an innovative approach to address environmental and competitiveness challenges within the Indonesian fashion industry. The research emphasizes the urgent need for a cost-effective and environmentally friendly business strategy, considering the industry’s substantial contribution to environmental issues, accounting for 20% of global wastewater production. The changing consumer perceptions, where fashion is seen as a symbol of social status, have fueled rapid industry growth and intensified challenges for local fashion products, especially those from small and medium-sized enterprises (SMEs). The study underscores the critical importance of embracing sustainable business practices in the dynamic landscape of the Indonesian fashion industry.","author":[{"dropping-particle":"","family":"Hurriyati","given":"Ratih","non-dropping-particle":"","parse-names":false,"suffix":""},{"dropping-particle":"","family":"Dagustani","given":"Dani","non-dropping-particle":"","parse-names":false,"suffix":""},{"dropping-particle":"","family":"Surachim","given":"Ahim","non-dropping-particle":"","parse-names":false,"suffix":""},{"dropping-particle":"","family":"Sulastri","given":"S.","non-dropping-particle":"","parse-names":false,"suffix":""},{"dropping-particle":"","family":"Lisnawati","given":"L.","non-dropping-particle":"","parse-names":false,"suffix":""}],"container-title":"Journal of Human, Earth, and Future","id":"ITEM-1","issue":"4","issued":{"date-parts":[["2023"]]},"page":"411-423","title":"Triple-Layered Business Model Canvas Environment Based in the Fashion Industry","type":"article-journal","volume":"4"},"uris":["http://www.mendeley.com/documents/?uuid=aaf14e7b-8381-4c97-a5a5-abc0866d6728"]}],"mendeley":{"formattedCitation":"[33]","plainTextFormattedCitation":"[33]","previouslyFormattedCitation":"[33]"},"properties":{"noteIndex":0},"schema":"https://github.com/citation-style-language/schema/raw/master/csl-citation.json"}</w:instrText>
            </w:r>
            <w:r w:rsidRPr="00D63BE2">
              <w:fldChar w:fldCharType="separate"/>
            </w:r>
            <w:r w:rsidRPr="00E64F19">
              <w:rPr>
                <w:noProof/>
              </w:rPr>
              <w:t>[33]</w:t>
            </w:r>
            <w:r w:rsidRPr="00D63BE2">
              <w:fldChar w:fldCharType="end"/>
            </w:r>
          </w:p>
        </w:tc>
      </w:tr>
      <w:tr w:rsidR="00EC7FF1" w:rsidRPr="00A12A79" w:rsidTr="00B0441B">
        <w:trPr>
          <w:trHeight w:val="300"/>
          <w:jc w:val="center"/>
        </w:trPr>
        <w:tc>
          <w:tcPr>
            <w:tcW w:w="1350" w:type="dxa"/>
            <w:vMerge w:val="restart"/>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A12A79">
              <w:rPr>
                <w:rFonts w:ascii="Arial" w:hAnsi="Arial" w:cs="Arial"/>
                <w:color w:val="000000"/>
                <w:sz w:val="20"/>
                <w:szCs w:val="20"/>
              </w:rPr>
              <w:t>Organization</w:t>
            </w:r>
          </w:p>
        </w:tc>
        <w:tc>
          <w:tcPr>
            <w:tcW w:w="1617" w:type="dxa"/>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A12A79">
              <w:rPr>
                <w:rFonts w:ascii="Arial" w:hAnsi="Arial" w:cs="Arial"/>
                <w:color w:val="000000"/>
                <w:sz w:val="20"/>
                <w:szCs w:val="20"/>
              </w:rPr>
              <w:t>Organizational Capacity</w:t>
            </w:r>
          </w:p>
        </w:tc>
        <w:tc>
          <w:tcPr>
            <w:tcW w:w="1184" w:type="dxa"/>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D63BE2">
              <w:fldChar w:fldCharType="begin" w:fldLock="1"/>
            </w:r>
            <w:r>
              <w:instrText>ADDIN CSL_CITATION {"citationItems":[{"id":"ITEM-1","itemData":{"DOI":"http://dx.doi.org/10.36096/ijbes.v6i1.465","abstract":"This study aims to explore key drivers of tourism sustainability practices and their impact on the sustainable competitive performance of the tourism accommodation industry. The study adopts an exploratory research design under qualitative research, using semi-structured interviewing of owners and managers of tourism accommodation firms using the TOE framework and RBV theory. The findings reveal that technological sustainability expertise, executive sustainability support, organizational resources and capability, service intermediary sustainability practices, collaborative innovation adoption capability, tourism sustainability regulatory policy, and sustainability practices perceived by residents are the key drivers of TSP. The outcomes also show that tourism sustainability practices have a positive impact on the SCP of accommodation firms. This study makes a theoretical contribution to the literature on tourism sustainability by exploring how TOE antecedents motivate firms to adopt sustainability practices as product innovation, which in turn enhance SCP. Also, this study provides strong backing for the premises of the TOE framework, and RBV theory offers valuable practical insights for managers and owners. This will aid in identifying the pivotal factors influencing TSP and SCP, enabling the implementation of innovative strategies to enhance firm competitiveness. Also, the research can help the government and policymakers formulate sustainable tourism policies to promote tourism innovations. The adoption of sustainable practices has been a focal point for both academic researchers and professionals in the tourism industry. However, there has been insufficient exploration of the TOE drivers that facilitate the integration of tourism sustainability within the context of TAFs in a developing country. Therefore, this study aims to fill this gap in knowledge.","author":[{"dropping-particle":"","family":"Islam","given":"Md Farijul","non-dropping-particle":"","parse-names":false,"suffix":""}],"container-title":"International Journal of Business Ecosystem &amp; Strategy (2687-2293)","id":"ITEM-1","issue":"1","issued":{"date-parts":[["2024"]]},"page":"28-44","title":"Exploring key drivers of tourism sustainability practices and their impact on sustainable competitive performance in the accommodation industry","type":"article-journal","volume":"6"},"uris":["http://www.mendeley.com/documents/?uuid=97152403-85ae-4c1a-803b-922b1defc716"]}],"mendeley":{"formattedCitation":"[18]","plainTextFormattedCitation":"[18]","previouslyFormattedCitation":"[18]"},"properties":{"noteIndex":0},"schema":"https://github.com/citation-style-language/schema/raw/master/csl-citation.json"}</w:instrText>
            </w:r>
            <w:r w:rsidRPr="00D63BE2">
              <w:fldChar w:fldCharType="separate"/>
            </w:r>
            <w:r w:rsidRPr="00E64F19">
              <w:rPr>
                <w:noProof/>
              </w:rPr>
              <w:t>[18]</w:t>
            </w:r>
            <w:r w:rsidRPr="00D63BE2">
              <w:fldChar w:fldCharType="end"/>
            </w:r>
            <w:r w:rsidRPr="00A12A79">
              <w:rPr>
                <w:rFonts w:ascii="Arial" w:hAnsi="Arial" w:cs="Arial"/>
                <w:color w:val="000000"/>
                <w:sz w:val="20"/>
                <w:szCs w:val="20"/>
              </w:rPr>
              <w:t xml:space="preserve">, </w:t>
            </w:r>
            <w:r w:rsidRPr="00D63BE2">
              <w:fldChar w:fldCharType="begin" w:fldLock="1"/>
            </w:r>
            <w:r>
              <w:instrText>ADDIN CSL_CITATION {"citationItems":[{"id":"ITEM-1","itemData":{"DOI":"https://doi.org/10.3390/su141711036","author":[{"dropping-particle":"","family":"Acosta-Velásquez","given":"Rubén Dario","non-dropping-particle":"","parse-names":false,"suffix":""},{"dropping-particle":"","family":"León-Pulido","given":"Jeffrey","non-dropping-particle":"","parse-names":false,"suffix":""},{"dropping-particle":"","family":"García-Pérez","given":"Alexander","non-dropping-particle":"","parse-names":false,"suffix":""},{"dropping-particle":"","family":"Fajardo-Moreno","given":"William Stive","non-dropping-particle":"","parse-names":false,"suffix":""},{"dropping-particle":"","family":"Espinosa-Leal","given":"Leonardo","non-dropping-particle":"","parse-names":false,"suffix":""}],"container-title":"Sustainability","id":"ITEM-1","issue":"11036","issued":{"date-parts":[["2022"]]},"page":"1-12","title":"Contemporary Management Practice Applying the Dynamic Absorptive Capacity Measurement Model ( PM 4 AC ) for Improved Business Sustainability","type":"article-journal","volume":"14"},"uris":["http://www.mendeley.com/documents/?uuid=92a60348-40f5-48c9-a7fe-e61af01c4a3c"]}],"mendeley":{"formattedCitation":"[23]","plainTextFormattedCitation":"[23]","previouslyFormattedCitation":"[23]"},"properties":{"noteIndex":0},"schema":"https://github.com/citation-style-language/schema/raw/master/csl-citation.json"}</w:instrText>
            </w:r>
            <w:r w:rsidRPr="00D63BE2">
              <w:fldChar w:fldCharType="separate"/>
            </w:r>
            <w:r w:rsidRPr="00E64F19">
              <w:rPr>
                <w:noProof/>
              </w:rPr>
              <w:t>[23]</w:t>
            </w:r>
            <w:r w:rsidRPr="00D63BE2">
              <w:fldChar w:fldCharType="end"/>
            </w:r>
            <w:r w:rsidRPr="00A12A79">
              <w:rPr>
                <w:rFonts w:ascii="Arial" w:hAnsi="Arial" w:cs="Arial"/>
                <w:color w:val="000000"/>
                <w:sz w:val="20"/>
                <w:szCs w:val="20"/>
              </w:rPr>
              <w:t xml:space="preserve">, </w:t>
            </w:r>
            <w:r w:rsidRPr="00D63BE2">
              <w:fldChar w:fldCharType="begin" w:fldLock="1"/>
            </w:r>
            <w:r>
              <w:instrText>ADDIN CSL_CITATION {"citationItems":[{"id":"ITEM-1","itemData":{"DOI":"http://doi.org/10.14569/IJACSA.2022.0130871","ISSN":"21565570","abstract":"One of the main problems of small companies is not knowing how to properly manage investments, resources, strategies, tools and responsibilities to be more competitive, the research objective is the development of management and innovation processes required by the new company for its permanence in the market and decision making to be carried out every day; small companies face the competitiveness of new products that emerge. Today there are a great variety of products, which are globally interconnected, therefore it is required to implement a structural equation model for its management, so that the company continuously improves and optimizes the available resources, therefore as a result is the management, focused on greater effectiveness of resources; so it is necessary that small businesses need to manage a model of investments, resources, tools and responsibilities to obtain support from the competitiveness of the market; which would allow it to be oriented to a sustainable development and be one step ahead of the competition.","author":[{"dropping-particle":"","family":"Advincula","given":"Rafael Roosell Paez","non-dropping-particle":"","parse-names":false,"suffix":""},{"dropping-particle":"","family":"Chavesta","given":"Celso Gonzales","non-dropping-particle":"","parse-names":false,"suffix":""},{"dropping-particle":"","family":"Ocares-Cunyarachi","given":"Lilian","non-dropping-particle":"","parse-names":false,"suffix":""}],"container-title":"International Journal of Advanced Computer Science and Applications","id":"ITEM-1","issue":"8","issued":{"date-parts":[["2022"]]},"page":"620-627","title":"Innovation Management Model as a Source of Business Competitiveness for Industrial SMEs","type":"article-journal","volume":"13"},"uris":["http://www.mendeley.com/documents/?uuid=b3df2901-6ecb-487c-aa1c-47807419c60a"]}],"mendeley":{"formattedCitation":"[27]","plainTextFormattedCitation":"[27]","previouslyFormattedCitation":"[27]"},"properties":{"noteIndex":0},"schema":"https://github.com/citation-style-language/schema/raw/master/csl-citation.json"}</w:instrText>
            </w:r>
            <w:r w:rsidRPr="00D63BE2">
              <w:fldChar w:fldCharType="separate"/>
            </w:r>
            <w:r w:rsidRPr="00E64F19">
              <w:rPr>
                <w:noProof/>
              </w:rPr>
              <w:t>[27]</w:t>
            </w:r>
            <w:r w:rsidRPr="00D63BE2">
              <w:fldChar w:fldCharType="end"/>
            </w:r>
          </w:p>
        </w:tc>
      </w:tr>
      <w:tr w:rsidR="00EC7FF1" w:rsidRPr="00A12A79" w:rsidTr="00B0441B">
        <w:trPr>
          <w:trHeight w:val="300"/>
          <w:jc w:val="center"/>
        </w:trPr>
        <w:tc>
          <w:tcPr>
            <w:tcW w:w="1350" w:type="dxa"/>
            <w:vMerge/>
            <w:vAlign w:val="center"/>
            <w:hideMark/>
          </w:tcPr>
          <w:p w:rsidR="00EC7FF1" w:rsidRPr="00A12A79" w:rsidRDefault="00EC7FF1" w:rsidP="00EC7FF1">
            <w:pPr>
              <w:spacing w:after="0" w:line="240" w:lineRule="auto"/>
              <w:rPr>
                <w:rFonts w:ascii="Arial" w:hAnsi="Arial" w:cs="Arial"/>
                <w:color w:val="000000"/>
                <w:sz w:val="20"/>
                <w:szCs w:val="20"/>
              </w:rPr>
            </w:pPr>
          </w:p>
        </w:tc>
        <w:tc>
          <w:tcPr>
            <w:tcW w:w="1617" w:type="dxa"/>
            <w:shd w:val="clear" w:color="auto" w:fill="auto"/>
            <w:vAlign w:val="bottom"/>
            <w:hideMark/>
          </w:tcPr>
          <w:p w:rsidR="00EC7FF1" w:rsidRPr="00A12A79" w:rsidRDefault="00EC7FF1" w:rsidP="00EC7FF1">
            <w:pPr>
              <w:spacing w:after="0" w:line="240" w:lineRule="auto"/>
              <w:rPr>
                <w:rFonts w:ascii="Arial" w:hAnsi="Arial" w:cs="Arial"/>
                <w:color w:val="000000"/>
                <w:sz w:val="20"/>
                <w:szCs w:val="20"/>
              </w:rPr>
            </w:pPr>
            <w:r w:rsidRPr="00A12A79">
              <w:rPr>
                <w:rFonts w:ascii="Arial" w:hAnsi="Arial" w:cs="Arial"/>
                <w:color w:val="000000"/>
                <w:sz w:val="20"/>
                <w:szCs w:val="20"/>
              </w:rPr>
              <w:t>Infrastructure</w:t>
            </w:r>
          </w:p>
        </w:tc>
        <w:tc>
          <w:tcPr>
            <w:tcW w:w="1184" w:type="dxa"/>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D63BE2">
              <w:fldChar w:fldCharType="begin" w:fldLock="1"/>
            </w:r>
            <w:r w:rsidR="008516C5">
              <w:instrText>ADDIN CSL_CITATION {"citationItems":[{"id":"ITEM-1","itemData":{"DOI":"https://doi.org/10.25077/josi.v23.n1.p109-119.2024","author":[{"dropping-particle":"","family":"Rahman","given":"Hafiz","non-dropping-particle":"","parse-names":false,"suffix":""},{"dropping-particle":"","family":"Oktavia","given":"Sri","non-dropping-particle":"","parse-names":false,"suffix":""},{"dropping-particle":"","family":"Shetye","given":"Niyanta","non-dropping-particle":"","parse-names":false,"suffix":""},{"dropping-particle":"","family":"Azonhoumon","given":"Winny Leocade Sedjiro","non-dropping-particle":"","parse-names":false,"suffix":""}],"container-title":"Jurnal Optimasi Sistem Industri","id":"ITEM-1","issue":"1","issued":{"date-parts":[["2024"]]},"page":"109-119","title":"Enhancing Operations for Sustainability in Indonesian SMEs through Climate Change Awareness and Business Orientation","type":"article-journal","volume":"23"},"uris":["http://www.mendeley.com/documents/?uuid=d2f0db5b-06cf-48ac-9282-ce78754db3f7"]}],"mendeley":{"formattedCitation":"[26]","plainTextFormattedCitation":"[26]","previouslyFormattedCitation":"[26]"},"properties":{"noteIndex":0},"schema":"https://github.com/citation-style-language/schema/raw/master/csl-citation.json"}</w:instrText>
            </w:r>
            <w:r w:rsidRPr="00D63BE2">
              <w:fldChar w:fldCharType="separate"/>
            </w:r>
            <w:r w:rsidRPr="00E64F19">
              <w:rPr>
                <w:noProof/>
              </w:rPr>
              <w:t>[26]</w:t>
            </w:r>
            <w:r w:rsidRPr="00D63BE2">
              <w:fldChar w:fldCharType="end"/>
            </w:r>
            <w:r w:rsidRPr="00A12A79">
              <w:rPr>
                <w:rFonts w:ascii="Arial" w:hAnsi="Arial" w:cs="Arial"/>
                <w:color w:val="000000"/>
                <w:sz w:val="20"/>
                <w:szCs w:val="20"/>
              </w:rPr>
              <w:t xml:space="preserve">, </w:t>
            </w:r>
            <w:r w:rsidRPr="00D63BE2">
              <w:fldChar w:fldCharType="begin" w:fldLock="1"/>
            </w:r>
            <w:r>
              <w:instrText>ADDIN CSL_CITATION {"citationItems":[{"id":"ITEM-1","itemData":{"DOI":"https://doi.org/10.32479/irmm.16103","ISSN":"21464405","abstract":"This study investigates the impact and operational challenges of the Shared Service Facility (SSF) for Micro, Small, and Medium Enterprises (MSMEs) in the Philippines, focusing on enhancing MSME competitiveness and sustainability. Through a mixed-methods approach, including surveys, interviews, and data analysis, the study assesses the SSF’s effectiveness in supporting MSMEs and identifies key challenges hindering its operation. The findings reveal significant improvements in MSMEs’ access to resources, innovation capacity, and market competitiveness following SSF assistance. However, logistical, managerial, and resource-related challenges pose significant hurdles to the SSF’s operational efficiency and effectiveness. To address these challenges, a comprehensive Strategic Plan is formulated, outlining key actions to improve logistical efficiency, enhance managerial effectiveness, strengthen financial sustainability, upgrade technological infrastructure, and foster collaboration and partnerships. Implementation of these strategic initiatives is crucial for optimizing the SSF’s operation, enhancing its impact on MSME competitiveness, and ensuring long-term sustainability. Overall, this study contributes valuable insights into the role of the SSF in fostering MSME development and economic growth in the Philippines, highlighting the importance of targeted interventions and collaborative efforts to support inclusive and sustainable development.","author":[{"dropping-particle":"","family":"Armas","given":"Kenneth L.","non-dropping-particle":"","parse-names":false,"suffix":""},{"dropping-particle":"Dela","family":"Cruz","given":"Catherine","non-dropping-particle":"","parse-names":false,"suffix":""},{"dropping-particle":"","family":"Navarro","given":"Jonas Emmanuel","non-dropping-particle":"","parse-names":false,"suffix":""},{"dropping-particle":"","family":"Viloria","given":"Vivien","non-dropping-particle":"","parse-names":false,"suffix":""}],"container-title":"International Review of Management and Marketing","id":"ITEM-1","issue":"3","issued":{"date-parts":[["2024"]]},"page":"65-73","title":"Triple Helix for Sustainable Development Goals: An Impact Assessment of Shared Service Facility for Micro, Small, and Medium Enterprises Competitiveness in the Philippines","type":"article-journal","volume":"14"},"uris":["http://www.mendeley.com/documents/?uuid=f1d1f46c-5bd6-4eff-b6f5-09bb992f0dee"]}],"mendeley":{"formattedCitation":"[20]","plainTextFormattedCitation":"[20]","previouslyFormattedCitation":"[20]"},"properties":{"noteIndex":0},"schema":"https://github.com/citation-style-language/schema/raw/master/csl-citation.json"}</w:instrText>
            </w:r>
            <w:r w:rsidRPr="00D63BE2">
              <w:fldChar w:fldCharType="separate"/>
            </w:r>
            <w:r w:rsidRPr="00E64F19">
              <w:rPr>
                <w:noProof/>
              </w:rPr>
              <w:t>[20]</w:t>
            </w:r>
            <w:r w:rsidRPr="00D63BE2">
              <w:fldChar w:fldCharType="end"/>
            </w:r>
          </w:p>
        </w:tc>
      </w:tr>
      <w:tr w:rsidR="00EC7FF1" w:rsidRPr="00A12A79" w:rsidTr="00B0441B">
        <w:trPr>
          <w:trHeight w:val="300"/>
          <w:jc w:val="center"/>
        </w:trPr>
        <w:tc>
          <w:tcPr>
            <w:tcW w:w="1350" w:type="dxa"/>
            <w:vMerge/>
            <w:vAlign w:val="center"/>
            <w:hideMark/>
          </w:tcPr>
          <w:p w:rsidR="00EC7FF1" w:rsidRPr="00A12A79" w:rsidRDefault="00EC7FF1" w:rsidP="00EC7FF1">
            <w:pPr>
              <w:spacing w:after="0" w:line="240" w:lineRule="auto"/>
              <w:rPr>
                <w:rFonts w:ascii="Arial" w:hAnsi="Arial" w:cs="Arial"/>
                <w:color w:val="000000"/>
                <w:sz w:val="20"/>
                <w:szCs w:val="20"/>
              </w:rPr>
            </w:pPr>
          </w:p>
        </w:tc>
        <w:tc>
          <w:tcPr>
            <w:tcW w:w="1617" w:type="dxa"/>
            <w:shd w:val="clear" w:color="auto" w:fill="auto"/>
            <w:vAlign w:val="bottom"/>
            <w:hideMark/>
          </w:tcPr>
          <w:p w:rsidR="00EC7FF1" w:rsidRPr="00A12A79" w:rsidRDefault="00EC7FF1" w:rsidP="00EC7FF1">
            <w:pPr>
              <w:spacing w:after="0" w:line="240" w:lineRule="auto"/>
              <w:rPr>
                <w:rFonts w:ascii="Arial" w:hAnsi="Arial" w:cs="Arial"/>
                <w:color w:val="000000"/>
                <w:sz w:val="20"/>
                <w:szCs w:val="20"/>
              </w:rPr>
            </w:pPr>
            <w:r w:rsidRPr="00A12A79">
              <w:rPr>
                <w:rFonts w:ascii="Arial" w:hAnsi="Arial" w:cs="Arial"/>
                <w:color w:val="000000"/>
                <w:sz w:val="20"/>
                <w:szCs w:val="20"/>
              </w:rPr>
              <w:t>Managerial Capacity</w:t>
            </w:r>
          </w:p>
        </w:tc>
        <w:tc>
          <w:tcPr>
            <w:tcW w:w="1184" w:type="dxa"/>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D63BE2">
              <w:fldChar w:fldCharType="begin" w:fldLock="1"/>
            </w:r>
            <w:r>
              <w:instrText>ADDIN CSL_CITATION {"citationItems":[{"id":"ITEM-1","itemData":{"DOI":"https://doi.org/10.32479/irmm.16103","ISSN":"21464405","abstract":"This study investigates the impact and operational challenges of the Shared Service Facility (SSF) for Micro, Small, and Medium Enterprises (MSMEs) in the Philippines, focusing on enhancing MSME competitiveness and sustainability. Through a mixed-methods approach, including surveys, interviews, and data analysis, the study assesses the SSF’s effectiveness in supporting MSMEs and identifies key challenges hindering its operation. The findings reveal significant improvements in MSMEs’ access to resources, innovation capacity, and market competitiveness following SSF assistance. However, logistical, managerial, and resource-related challenges pose significant hurdles to the SSF’s operational efficiency and effectiveness. To address these challenges, a comprehensive Strategic Plan is formulated, outlining key actions to improve logistical efficiency, enhance managerial effectiveness, strengthen financial sustainability, upgrade technological infrastructure, and foster collaboration and partnerships. Implementation of these strategic initiatives is crucial for optimizing the SSF’s operation, enhancing its impact on MSME competitiveness, and ensuring long-term sustainability. Overall, this study contributes valuable insights into the role of the SSF in fostering MSME development and economic growth in the Philippines, highlighting the importance of targeted interventions and collaborative efforts to support inclusive and sustainable development.","author":[{"dropping-particle":"","family":"Armas","given":"Kenneth L.","non-dropping-particle":"","parse-names":false,"suffix":""},{"dropping-particle":"Dela","family":"Cruz","given":"Catherine","non-dropping-particle":"","parse-names":false,"suffix":""},{"dropping-particle":"","family":"Navarro","given":"Jonas Emmanuel","non-dropping-particle":"","parse-names":false,"suffix":""},{"dropping-particle":"","family":"Viloria","given":"Vivien","non-dropping-particle":"","parse-names":false,"suffix":""}],"container-title":"International Review of Management and Marketing","id":"ITEM-1","issue":"3","issued":{"date-parts":[["2024"]]},"page":"65-73","title":"Triple Helix for Sustainable Development Goals: An Impact Assessment of Shared Service Facility for Micro, Small, and Medium Enterprises Competitiveness in the Philippines","type":"article-journal","volume":"14"},"uris":["http://www.mendeley.com/documents/?uuid=f1d1f46c-5bd6-4eff-b6f5-09bb992f0dee"]}],"mendeley":{"formattedCitation":"[20]","plainTextFormattedCitation":"[20]","previouslyFormattedCitation":"[20]"},"properties":{"noteIndex":0},"schema":"https://github.com/citation-style-language/schema/raw/master/csl-citation.json"}</w:instrText>
            </w:r>
            <w:r w:rsidRPr="00D63BE2">
              <w:fldChar w:fldCharType="separate"/>
            </w:r>
            <w:r w:rsidRPr="00E64F19">
              <w:rPr>
                <w:noProof/>
              </w:rPr>
              <w:t>[20]</w:t>
            </w:r>
            <w:r w:rsidRPr="00D63BE2">
              <w:fldChar w:fldCharType="end"/>
            </w:r>
            <w:r w:rsidRPr="00A12A79">
              <w:rPr>
                <w:rFonts w:ascii="Arial" w:hAnsi="Arial" w:cs="Arial"/>
                <w:color w:val="000000"/>
                <w:sz w:val="20"/>
                <w:szCs w:val="20"/>
              </w:rPr>
              <w:t>, [2]</w:t>
            </w:r>
            <w:r>
              <w:rPr>
                <w:rFonts w:ascii="Arial" w:hAnsi="Arial" w:cs="Arial"/>
                <w:color w:val="000000"/>
                <w:sz w:val="20"/>
                <w:szCs w:val="20"/>
              </w:rPr>
              <w:t xml:space="preserve">, </w:t>
            </w:r>
            <w:r w:rsidRPr="00D63BE2">
              <w:fldChar w:fldCharType="begin" w:fldLock="1"/>
            </w:r>
            <w:r>
              <w:instrText>ADDIN CSL_CITATION {"citationItems":[{"id":"ITEM-1","itemData":{"DOI":"https://doi.org/10.26437/ajar.v11i1","ISSN":"24087920","abstract":"Purpose: The primary objective of this study is to assess the factors that have the most significant impact on SMEs' adoption rate of Advanced Manufacturing Technologies (AMT). Design/Methodology/Approach: An interpretive structural modelling (ISM) approach was applied to assess drivers for AMT adoption. Data was gathered from literature and supplemented by expert opinions from academics and professionals. The identified drivers were ranked and classified through the ISM framework, and their reliability and influence were examined using the Matrice d'impacts croisés multiplication appliquée á un classment (MICMAC) analysis. Findings: The ISM analysis revealed that government policy support and customer/buyer pressure are primary drivers for AMT adoption in SMEs. These drivers form the foundational factors influencing the successful implementation of AMTs and enabling SMEs to develop strategic, priority-based business plans. Research Limitation: The study is limited to SME environments, which may restrict its applicability to larger firms. Practical Implication: Emphasising government support and responding to buyer pressure can guide SMEs in integrating AMTs more effectively. Social Implication: Successful AMT implementation in SMEs can promote job creation, local economic growth, and sustainable manufacturing practices, benefiting society by enhancing regional competitiveness and innovation. Originality/Value: This study provides a structured framework for understanding AMT adoption drivers in SMEs, incorporating ISM and MICMAC analyses to bridge a gap in the literature.","author":[{"dropping-particle":"V.","family":"Bhise","given":"D.","non-dropping-particle":"","parse-names":false,"suffix":""},{"dropping-particle":"","family":"Kumbhalkar","given":"M. A.","non-dropping-particle":"","parse-names":false,"suffix":""},{"dropping-particle":"","family":"Sardeshmukh","given":"M. M.","non-dropping-particle":"","parse-names":false,"suffix":""},{"dropping-particle":"","family":"Choudhari","given":"S. A.","non-dropping-particle":"","parse-names":false,"suffix":""},{"dropping-particle":"","family":"Sarje","given":"S. H.","non-dropping-particle":"","parse-names":false,"suffix":""},{"dropping-particle":"","family":"Kardekar","given":"N. B.","non-dropping-particle":"","parse-names":false,"suffix":""}],"container-title":"African Journal of Applied Research","id":"ITEM-1","issue":"1","issued":{"date-parts":[["2025"]]},"page":"388-407","title":"Study for Identification and Classification of Advanced Manufacturing Technology Implementation Drivers in Small and Medium Enterprises","type":"article-journal","volume":"11"},"uris":["http://www.mendeley.com/documents/?uuid=c3089cad-35d0-4a7f-a2a3-ec22650b952b"]}],"mendeley":{"formattedCitation":"[36]","plainTextFormattedCitation":"[36]","previouslyFormattedCitation":"[36]"},"properties":{"noteIndex":0},"schema":"https://github.com/citation-style-language/schema/raw/master/csl-citation.json"}</w:instrText>
            </w:r>
            <w:r w:rsidRPr="00D63BE2">
              <w:fldChar w:fldCharType="separate"/>
            </w:r>
            <w:r w:rsidRPr="00E64F19">
              <w:rPr>
                <w:noProof/>
              </w:rPr>
              <w:t>[36]</w:t>
            </w:r>
            <w:r w:rsidRPr="00D63BE2">
              <w:fldChar w:fldCharType="end"/>
            </w:r>
          </w:p>
        </w:tc>
      </w:tr>
      <w:tr w:rsidR="00EC7FF1" w:rsidRPr="00A12A79" w:rsidTr="00B0441B">
        <w:trPr>
          <w:trHeight w:val="300"/>
          <w:jc w:val="center"/>
        </w:trPr>
        <w:tc>
          <w:tcPr>
            <w:tcW w:w="1350" w:type="dxa"/>
            <w:vMerge/>
            <w:vAlign w:val="center"/>
            <w:hideMark/>
          </w:tcPr>
          <w:p w:rsidR="00EC7FF1" w:rsidRPr="00A12A79" w:rsidRDefault="00EC7FF1" w:rsidP="00EC7FF1">
            <w:pPr>
              <w:spacing w:after="0" w:line="240" w:lineRule="auto"/>
              <w:rPr>
                <w:rFonts w:ascii="Arial" w:hAnsi="Arial" w:cs="Arial"/>
                <w:color w:val="000000"/>
                <w:sz w:val="20"/>
                <w:szCs w:val="20"/>
              </w:rPr>
            </w:pPr>
          </w:p>
        </w:tc>
        <w:tc>
          <w:tcPr>
            <w:tcW w:w="1617" w:type="dxa"/>
            <w:shd w:val="clear" w:color="auto" w:fill="auto"/>
            <w:vAlign w:val="bottom"/>
            <w:hideMark/>
          </w:tcPr>
          <w:p w:rsidR="00EC7FF1" w:rsidRPr="00A12A79" w:rsidRDefault="00EC7FF1" w:rsidP="00EC7FF1">
            <w:pPr>
              <w:spacing w:after="0" w:line="240" w:lineRule="auto"/>
              <w:rPr>
                <w:rFonts w:ascii="Arial" w:hAnsi="Arial" w:cs="Arial"/>
                <w:color w:val="000000"/>
                <w:sz w:val="20"/>
                <w:szCs w:val="20"/>
              </w:rPr>
            </w:pPr>
            <w:r w:rsidRPr="00A12A79">
              <w:rPr>
                <w:rFonts w:ascii="Arial" w:hAnsi="Arial" w:cs="Arial"/>
                <w:color w:val="000000"/>
                <w:sz w:val="20"/>
                <w:szCs w:val="20"/>
              </w:rPr>
              <w:t>investment in ICT</w:t>
            </w:r>
          </w:p>
        </w:tc>
        <w:tc>
          <w:tcPr>
            <w:tcW w:w="1184" w:type="dxa"/>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D63BE2">
              <w:fldChar w:fldCharType="begin" w:fldLock="1"/>
            </w:r>
            <w:r w:rsidRPr="00D63BE2">
              <w:instrText>ADDIN CSL_CITATION {"citationItems":[{"id":"ITEM-1","itemData":{"DOI":"https://doi.org/10.3390/su152316325","abstract":"The main purpose of this research paper is to investigate the role of information and communication technology (ICT) in providing small and medium-sized enterprises (SMEs) with a competitive advantage. To do this, we propose five dimensions to detect ICT (human resources, equipment and devices, databases, software, and networks) and four dimensions (service quality, market control, creativity and development, and operational efficiency) to decide competitive advantage. To achieve this paper’s purposes, a questionnaire was developed to collect data from respondents to a sample of 128 subjects by using the Statistical Package for Social Sciences (SPSS) for the survey data analysis. Several methods have been used in the statistical analysis of the data, including descriptive statistics tests, a normal distribution test (one-sample Kolmogorov–Smirnov test), simple linear regression coefficient (simple regression), variance analysis (one-way ANOVA), and a T-test for independent samples. This study reports a series of findings, underlined by the significant role of ICT with its various dimensions and the competitive advantage of SMEs. This study concludes with several suggestions including that SMEs must increase their investments in ICT components and take more care of creativity and development for the preemption to create new services.","author":[{"dropping-particle":"","family":"Kahouli","given":"Bassem","non-dropping-particle":"","parse-names":false,"suffix":""},{"dropping-particle":"","family":"Nafla","given":"Amine","non-dropping-particle":"","parse-names":false,"suffix":""},{"dropping-particle":"","family":"Chaaben","given":"Nahla","non-dropping-particle":"","parse-names":false,"suffix":""}],"container-title":"Sustainability","id":"ITEM-1","issue":"16325","issued":{"date-parts":[["2023"]]},"page":"1-19","title":"Exploring the Influence of the Information and Communication Technology Dimensions on the Sustainability of Competitiveness in Small and Medium-sized Enterprises in the Hail Region","type":"article-journal","volume":"15"},"uris":["http://www.mendeley.com/documents/?uuid=043dbef2-37b9-4610-8f19-1d2b1bdba940"]}],"mendeley":{"formattedCitation":"[1]","plainTextFormattedCitation":"[1]","previouslyFormattedCitation":"[1]"},"properties":{"noteIndex":0},"schema":"https://github.com/citation-style-language/schema/raw/master/csl-citation.json"}</w:instrText>
            </w:r>
            <w:r w:rsidRPr="00D63BE2">
              <w:fldChar w:fldCharType="separate"/>
            </w:r>
            <w:r w:rsidRPr="00D63BE2">
              <w:rPr>
                <w:noProof/>
              </w:rPr>
              <w:t>[1]</w:t>
            </w:r>
            <w:r w:rsidRPr="00D63BE2">
              <w:fldChar w:fldCharType="end"/>
            </w:r>
          </w:p>
        </w:tc>
      </w:tr>
      <w:tr w:rsidR="00EC7FF1" w:rsidRPr="00A12A79" w:rsidTr="00B0441B">
        <w:trPr>
          <w:trHeight w:val="417"/>
          <w:jc w:val="center"/>
        </w:trPr>
        <w:tc>
          <w:tcPr>
            <w:tcW w:w="1350" w:type="dxa"/>
            <w:vMerge/>
            <w:vAlign w:val="center"/>
            <w:hideMark/>
          </w:tcPr>
          <w:p w:rsidR="00EC7FF1" w:rsidRPr="00A12A79" w:rsidRDefault="00EC7FF1" w:rsidP="00EC7FF1">
            <w:pPr>
              <w:spacing w:after="0" w:line="240" w:lineRule="auto"/>
              <w:rPr>
                <w:rFonts w:ascii="Arial" w:hAnsi="Arial" w:cs="Arial"/>
                <w:color w:val="000000"/>
                <w:sz w:val="20"/>
                <w:szCs w:val="20"/>
              </w:rPr>
            </w:pPr>
          </w:p>
        </w:tc>
        <w:tc>
          <w:tcPr>
            <w:tcW w:w="1617" w:type="dxa"/>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A12A79">
              <w:rPr>
                <w:rFonts w:ascii="Arial" w:hAnsi="Arial" w:cs="Arial"/>
                <w:color w:val="000000"/>
                <w:sz w:val="20"/>
                <w:szCs w:val="20"/>
              </w:rPr>
              <w:t>Organizational Culture</w:t>
            </w:r>
          </w:p>
        </w:tc>
        <w:tc>
          <w:tcPr>
            <w:tcW w:w="1184" w:type="dxa"/>
            <w:shd w:val="clear" w:color="auto" w:fill="auto"/>
            <w:hideMark/>
          </w:tcPr>
          <w:p w:rsidR="00EC7FF1" w:rsidRDefault="00EC7FF1" w:rsidP="00EC7FF1">
            <w:pPr>
              <w:spacing w:after="0" w:line="240" w:lineRule="auto"/>
              <w:rPr>
                <w:rFonts w:ascii="Arial" w:hAnsi="Arial" w:cs="Arial"/>
                <w:color w:val="000000"/>
                <w:sz w:val="20"/>
                <w:szCs w:val="20"/>
              </w:rPr>
            </w:pPr>
            <w:r w:rsidRPr="00D63BE2">
              <w:fldChar w:fldCharType="begin" w:fldLock="1"/>
            </w:r>
            <w:r>
              <w:instrText>ADDIN CSL_CITATION {"citationItems":[{"id":"ITEM-1","itemData":{"DOI":"https://doi.org/10.3390/su141711036","author":[{"dropping-particle":"","family":"Acosta-Velásquez","given":"Rubén Dario","non-dropping-particle":"","parse-names":false,"suffix":""},{"dropping-particle":"","family":"León-Pulido","given":"Jeffrey","non-dropping-particle":"","parse-names":false,"suffix":""},{"dropping-particle":"","family":"García-Pérez","given":"Alexander","non-dropping-particle":"","parse-names":false,"suffix":""},{"dropping-particle":"","family":"Fajardo-Moreno","given":"William Stive","non-dropping-particle":"","parse-names":false,"suffix":""},{"dropping-particle":"","family":"Espinosa-Leal","given":"Leonardo","non-dropping-particle":"","parse-names":false,"suffix":""}],"container-title":"Sustainability","id":"ITEM-1","issue":"11036","issued":{"date-parts":[["2022"]]},"page":"1-12","title":"Contemporary Management Practice Applying the Dynamic Absorptive Capacity Measurement Model ( PM 4 AC ) for Improved Business Sustainability","type":"article-journal","volume":"14"},"uris":["http://www.mendeley.com/documents/?uuid=92a60348-40f5-48c9-a7fe-e61af01c4a3c"]}],"mendeley":{"formattedCitation":"[23]","plainTextFormattedCitation":"[23]","previouslyFormattedCitation":"[23]"},"properties":{"noteIndex":0},"schema":"https://github.com/citation-style-language/schema/raw/master/csl-citation.json"}</w:instrText>
            </w:r>
            <w:r w:rsidRPr="00D63BE2">
              <w:fldChar w:fldCharType="separate"/>
            </w:r>
            <w:r w:rsidRPr="00E64F19">
              <w:rPr>
                <w:noProof/>
              </w:rPr>
              <w:t>[23]</w:t>
            </w:r>
            <w:r w:rsidRPr="00D63BE2">
              <w:fldChar w:fldCharType="end"/>
            </w:r>
            <w:r>
              <w:t xml:space="preserve">, </w:t>
            </w:r>
            <w:r w:rsidRPr="00D63BE2">
              <w:fldChar w:fldCharType="begin" w:fldLock="1"/>
            </w:r>
            <w:r w:rsidR="008516C5">
              <w:instrText>ADDIN CSL_CITATION {"citationItems":[{"id":"ITEM-1","itemData":{"DOI":"https://doi.org/10.24294/jipd.v8i11.8209","ISSN":"2572-7931","abstract":"In response to the increasing global emphasis on sustainability and the specific challenges faced by small and medium-sized enterprises (SMEs) in China, this study explores the integration of green reverse logistics within these enterprises to enhance their sustainability and competitiveness. The aim of this study is to understand the relationship between reverse logistics, green logistics, and sustainable development. Data analysis was conducted utilizing a combination of descriptive statistics and correlation analysis. A survey of 311 participants examined SMEs’ performance in reverse logistics practices and their initiatives in green logistics and sustainable development. The empirical findings reveal significant progress in reverse logistics practices among SMEs, reducing environmental impact and improving resource efficiency. Moreover, a notable positive correlation was identified between reverse logistics promotion and advancements in green logistics and sustainable development. SMEs’ investment in reverse logistics is closely linked to their efforts in environmentally conscious and sustainable supply chain management. These insights benefit SMEs and supply chain practitioners and offer a valuable reference for future research and practical applications in this field.","author":[{"dropping-particle":"","family":"Chen","given":"Yunlin","non-dropping-particle":"","parse-names":false,"suffix":""}],"container-title":"Journal of Infrastructure, Policy and Development","id":"ITEM-1","issue":"11","issued":{"date-parts":[["2024","10","11"]]},"page":"8209","title":"The sustainable development of small and midsize enterprises in China on green reverse logistics","type":"article-journal","volume":"8"},"uris":["http://www.mendeley.com/documents/?uuid=4f713186-9a6c-4520-8e12-a9c09bcdf014"]}],"mendeley":{"formattedCitation":"[32]","plainTextFormattedCitation":"[32]","previouslyFormattedCitation":"[32]"},"properties":{"noteIndex":0},"schema":"https://github.com/citation-style-language/schema/raw/master/csl-citation.json"}</w:instrText>
            </w:r>
            <w:r w:rsidRPr="00D63BE2">
              <w:fldChar w:fldCharType="separate"/>
            </w:r>
            <w:r w:rsidRPr="00E64F19">
              <w:rPr>
                <w:noProof/>
              </w:rPr>
              <w:t>[32]</w:t>
            </w:r>
            <w:r w:rsidRPr="00D63BE2">
              <w:fldChar w:fldCharType="end"/>
            </w:r>
            <w:r w:rsidRPr="00A12A79">
              <w:rPr>
                <w:rFonts w:ascii="Arial" w:hAnsi="Arial" w:cs="Arial"/>
                <w:color w:val="000000"/>
                <w:sz w:val="20"/>
                <w:szCs w:val="20"/>
              </w:rPr>
              <w:t>,</w:t>
            </w:r>
          </w:p>
          <w:p w:rsidR="00EC7FF1" w:rsidRPr="00C6384D" w:rsidRDefault="00EC7FF1" w:rsidP="00EC7FF1">
            <w:pPr>
              <w:pStyle w:val="normal0"/>
              <w:spacing w:after="0" w:line="240" w:lineRule="auto"/>
            </w:pPr>
            <w:r w:rsidRPr="00D63BE2">
              <w:fldChar w:fldCharType="begin" w:fldLock="1"/>
            </w:r>
            <w:r w:rsidR="008516C5">
              <w:instrText>ADDIN CSL_CITATION {"citationItems":[{"id":"ITEM-1","itemData":{"DOI":"https://doi.org/10.1007/s13132-022-01043-5","ISBN":"0123456789","ISSN":"18687873","abstract":"This paper aims to analyze the strategic effects of the association of small and medium-sized enterprises (SMEs) in knowledge networks (k-networks) on their information and knowledge management (IKM) and intellectual capital (IC). Taking as the object of study two innovative and successful Brazilian experiences, a descriptive survey with top-level executives (managing partners, presidents, and executive directors — henceforth CEOs) was held. Based on theories of management and economics, the findings revealed (i) that the network formation process (encompassing culture, context, incentives for information and knowledge sharing and especially strategy) is an important factor to explain IKM (for creating, systematizing and sharing data, information and knowledge) and IC in its three dimensions (human, relational and structural capital), promoting long-term sustainable growth (perceived by improvements in innovation, competitiveness and corporate results) for SMEs and their networks — a very relevant issue, but whose theoretical and managerial understanding is very incipient in international literature, especially in emerging economies.","author":[{"dropping-particle":"","family":"Jordão","given":"Ricardo Vinícius Dias","non-dropping-particle":"","parse-names":false,"suffix":""},{"dropping-particle":"","family":"Novas","given":"Jorge Casas","non-dropping-particle":"","parse-names":false,"suffix":""}],"container-title":"Journal of the Knowledge Economy","id":"ITEM-1","issue":"1","issued":{"date-parts":[["2024"]]},"page":"563-595","publisher":"Springer US","title":"Information and Knowledge Management, Intellectual Capital, and Sustainable Growth in Networked Small and Medium Enterprises","type":"article-journal","volume":"15"},"uris":["http://www.mendeley.com/documents/?uuid=b1040710-1b3c-4079-b801-300ef8fbf19c"]}],"mendeley":{"formattedCitation":"[34]","plainTextFormattedCitation":"[34]","previouslyFormattedCitation":"[34]"},"properties":{"noteIndex":0},"schema":"https://github.com/citation-style-language/schema/raw/master/csl-citation.json"}</w:instrText>
            </w:r>
            <w:r w:rsidRPr="00D63BE2">
              <w:fldChar w:fldCharType="separate"/>
            </w:r>
            <w:r w:rsidRPr="00E64F19">
              <w:rPr>
                <w:noProof/>
              </w:rPr>
              <w:t>[34]</w:t>
            </w:r>
            <w:r w:rsidRPr="00D63BE2">
              <w:fldChar w:fldCharType="end"/>
            </w:r>
          </w:p>
        </w:tc>
      </w:tr>
      <w:tr w:rsidR="00EC7FF1" w:rsidRPr="00A12A79" w:rsidTr="00B0441B">
        <w:trPr>
          <w:trHeight w:val="447"/>
          <w:jc w:val="center"/>
        </w:trPr>
        <w:tc>
          <w:tcPr>
            <w:tcW w:w="1350" w:type="dxa"/>
            <w:vMerge/>
            <w:vAlign w:val="center"/>
            <w:hideMark/>
          </w:tcPr>
          <w:p w:rsidR="00EC7FF1" w:rsidRPr="00A12A79" w:rsidRDefault="00EC7FF1" w:rsidP="00EC7FF1">
            <w:pPr>
              <w:spacing w:after="0" w:line="240" w:lineRule="auto"/>
              <w:rPr>
                <w:rFonts w:ascii="Arial" w:hAnsi="Arial" w:cs="Arial"/>
                <w:color w:val="000000"/>
                <w:sz w:val="20"/>
                <w:szCs w:val="20"/>
              </w:rPr>
            </w:pPr>
          </w:p>
        </w:tc>
        <w:tc>
          <w:tcPr>
            <w:tcW w:w="1617" w:type="dxa"/>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A12A79">
              <w:rPr>
                <w:rFonts w:ascii="Arial" w:hAnsi="Arial" w:cs="Arial"/>
                <w:color w:val="000000"/>
                <w:sz w:val="20"/>
                <w:szCs w:val="20"/>
              </w:rPr>
              <w:t>Management Commitment</w:t>
            </w:r>
          </w:p>
        </w:tc>
        <w:tc>
          <w:tcPr>
            <w:tcW w:w="1184" w:type="dxa"/>
            <w:shd w:val="clear" w:color="auto" w:fill="auto"/>
            <w:hideMark/>
          </w:tcPr>
          <w:p w:rsidR="00EC7FF1" w:rsidRPr="006E1185" w:rsidRDefault="00EC7FF1" w:rsidP="00EC7FF1">
            <w:pPr>
              <w:spacing w:after="0" w:line="240" w:lineRule="auto"/>
              <w:rPr>
                <w:rFonts w:ascii="Arial" w:hAnsi="Arial" w:cs="Arial"/>
                <w:color w:val="000000"/>
                <w:sz w:val="20"/>
                <w:szCs w:val="20"/>
              </w:rPr>
            </w:pPr>
            <w:r w:rsidRPr="00D63BE2">
              <w:fldChar w:fldCharType="begin" w:fldLock="1"/>
            </w:r>
            <w:r>
              <w:instrText>ADDIN CSL_CITATION {"citationItems":[{"id":"ITEM-1","itemData":{"DOI":"https://doi.org/10.24294/jipd.v8i12.8934","ISSN":"25727931","abstract":"The significant climate change the planet has faced in recent decades has prompted global leaders, policymakers, business leaders, environmentalists, academics, and scientists from around the world to unite their efforts since 1987 around sustainable development. This development not only promotes economic sustainability but also environmental, social, and corporate sustainability, where clean production, responsible consumption, and sustainable infrastructures prevail. In this context, the present article aims to propose a development framework for sustainability in food sector SMEs, which includes Life Cycle Assessment (LCA) and the integration of Environmental, Social, and Governance (ESG) strategies as key elements to reduce CO2 emissions and improve operational efficiency. The methodology includes a comparative analysis of strategies implemented between 2019 and 2023, supported by quantitative data showing a 20% reduction in operating costs, a 10% increase in market share, and a 25% increase in productivity for companies that adopted clean technologies. This study offers a significant contribution to the field of corporate sustainability, providing a model that is adaptable and applicable across different regions, enhancing innovation and business resilience in a global context that requires collective efforts to achieve the sustainable development goals.","author":[{"dropping-particle":"","family":"Pinedo-López","given":"Jhon","non-dropping-particle":"","parse-names":false,"suffix":""},{"dropping-particle":"","family":"Baena-Navarro","given":"Rubén","non-dropping-particle":"","parse-names":false,"suffix":""},{"dropping-particle":"","family":"Carriazo-Regino","given":"Yulieth","non-dropping-particle":"","parse-names":false,"suffix":""},{"dropping-particle":"","family":"Urrea-Ortiz","given":"Adriana","non-dropping-particle":"","parse-names":false,"suffix":""},{"dropping-particle":"","family":"Reyes-Guevara","given":"Diana","non-dropping-particle":"","parse-names":false,"suffix":""}],"container-title":"Journal of Infrastructure, Policy and Development","id":"ITEM-1","issue":"12","issued":{"date-parts":[["2024"]]},"page":"1-30","title":"Sustainability strategies: A proposal for food sector SMEs, based on the integration of life cycle assessment and ESG strategies","type":"article-journal","volume":"8"},"uris":["http://www.mendeley.com/documents/?uuid=30884c61-e18e-4c01-9993-bfd213a38150"]}],"mendeley":{"formattedCitation":"[3]","plainTextFormattedCitation":"[3]","previouslyFormattedCitation":"[3]"},"properties":{"noteIndex":0},"schema":"https://github.com/citation-style-language/schema/raw/master/csl-citation.json"}</w:instrText>
            </w:r>
            <w:r w:rsidRPr="00D63BE2">
              <w:fldChar w:fldCharType="separate"/>
            </w:r>
            <w:r w:rsidRPr="00D63BE2">
              <w:rPr>
                <w:noProof/>
              </w:rPr>
              <w:t>[3]</w:t>
            </w:r>
            <w:r w:rsidRPr="00D63BE2">
              <w:fldChar w:fldCharType="end"/>
            </w:r>
            <w:r w:rsidRPr="00A12A79">
              <w:rPr>
                <w:rFonts w:ascii="Arial" w:hAnsi="Arial" w:cs="Arial"/>
                <w:color w:val="000000"/>
                <w:sz w:val="20"/>
                <w:szCs w:val="20"/>
              </w:rPr>
              <w:t>,</w:t>
            </w:r>
            <w:r w:rsidRPr="00D63BE2">
              <w:t xml:space="preserve"> </w:t>
            </w:r>
            <w:r w:rsidRPr="00D63BE2">
              <w:fldChar w:fldCharType="begin" w:fldLock="1"/>
            </w:r>
            <w:r>
              <w:instrText>ADDIN CSL_CITATION {"citationItems":[{"id":"ITEM-1","itemData":{"DOI":"https://doi.org/10.3390/su141912505","ISSN":"20711050","abstract":"In the extremely competitive business environment typical of the 20th century, small and medium-sized enterprises have had to face countless challenges. As time progressed, digitization and the development of information and communication technology has had increasing impacts on the lives of both individuals and businesses. Now, from an organizational point of view, social media has become a corporate strategic tool the significant role of which is indisputable. The relevance of our study can be found in the fact that social media is now one of the most popular solutions if the goal of a business is to reach a specific target audience, to receive feedback about products/services, and to initiate the immediate communication that contributes to the loyalty of consumers and customers in the long term, as well as to take advantage of cost-effective advertising opportunities. The primary goal of our research is to provide the reader with a comprehensive picture of the thinking in the SME sector regarding the corporate application of social media. In our study, following a comprehensive literature review related to the topic, we use primary data collection to examine small and medium-sized enterprises operating in Hungary and Slovakia. The reason for choosing the subjects of the research is that, taking into account the territorial size of the regions under investigation, similar districts were selected, and the regions have similar numbers of businesses engaged in economic activity. The investigation process covers two regions in the two selected countries, examining a total of 1114 enterprises. Before starting our research, two hypotheses were defined. In order to test the correctness of the hypotheses, we performed statistical analyses using the SPSS program, specifically the Mantel–Haenszel test and the chi-square test. Considering the results, the hypotheses formulated by the authors proved to be correct in the case of both countries. As a result, it can be stated that the success of traditional marketing tools used before the online space greatly influences the extent to which businesses feel their presence in social media is important.","author":[{"dropping-particle":"","family":"Korcsmáros","given":"Enikő","non-dropping-particle":"","parse-names":false,"suffix":""},{"dropping-particle":"","family":"Csinger","given":"Bence","non-dropping-particle":"","parse-names":false,"suffix":""}],"container-title":"Sustainability (Switzerland)","id":"ITEM-1","issue":"19","issued":{"date-parts":[["2022"]]},"page":"1-18","title":"Sustainable Competitiveness in the Case of SMEs—Opportunities Provided by Social Media in an International Comparison","type":"article-journal","volume":"14"},"uris":["http://www.mendeley.com/documents/?uuid=21bbe036-b1e7-44e5-9211-ec5ffd7659db"]}],"mendeley":{"formattedCitation":"[5]","plainTextFormattedCitation":"[5]","previouslyFormattedCitation":"[5]"},"properties":{"noteIndex":0},"schema":"https://github.com/citation-style-language/schema/raw/master/csl-citation.json"}</w:instrText>
            </w:r>
            <w:r w:rsidRPr="00D63BE2">
              <w:fldChar w:fldCharType="separate"/>
            </w:r>
            <w:r w:rsidRPr="00D63BE2">
              <w:rPr>
                <w:noProof/>
              </w:rPr>
              <w:t>[5]</w:t>
            </w:r>
            <w:r w:rsidRPr="00D63BE2">
              <w:fldChar w:fldCharType="end"/>
            </w:r>
            <w:r>
              <w:t xml:space="preserve">, </w:t>
            </w:r>
            <w:r w:rsidRPr="00D63BE2">
              <w:fldChar w:fldCharType="begin" w:fldLock="1"/>
            </w:r>
            <w:r w:rsidR="008516C5">
              <w:instrText>ADDIN CSL_CITATION {"citationItems":[{"id":"ITEM-1","itemData":{"DOI":"http://dx.doi.org/10. 28991/HEF-2023-04-04-03","ISSN":"27852997","abstract":"This qualitative study aims to investigate the Triple Layered Business Model Canvas (TLBMC) strategy to drive environmental progress within the Indonesian fashion industry. Employing the descriptive phenomenological method, the research focuses on applying the TLBMC model to enhance the environmental sustainability of Micro, Small, and Medium Enterprises (MSMEs) in Yan An. The Yan An case study serves as a practical illustration, demonstrating the successful implementation of the TLBMC model and offering valuable insights into sustainable solutions for challenges faced by the Indonesian fashion industry. In contributing to the existing literature, this study introduces and applies the TLBMC strategy as an innovative approach to address environmental and competitiveness challenges within the Indonesian fashion industry. The research emphasizes the urgent need for a cost-effective and environmentally friendly business strategy, considering the industry’s substantial contribution to environmental issues, accounting for 20% of global wastewater production. The changing consumer perceptions, where fashion is seen as a symbol of social status, have fueled rapid industry growth and intensified challenges for local fashion products, especially those from small and medium-sized enterprises (SMEs). The study underscores the critical importance of embracing sustainable business practices in the dynamic landscape of the Indonesian fashion industry.","author":[{"dropping-particle":"","family":"Hurriyati","given":"Ratih","non-dropping-particle":"","parse-names":false,"suffix":""},{"dropping-particle":"","family":"Dagustani","given":"Dani","non-dropping-particle":"","parse-names":false,"suffix":""},{"dropping-particle":"","family":"Surachim","given":"Ahim","non-dropping-particle":"","parse-names":false,"suffix":""},{"dropping-particle":"","family":"Sulastri","given":"S.","non-dropping-particle":"","parse-names":false,"suffix":""},{"dropping-particle":"","family":"Lisnawati","given":"L.","non-dropping-particle":"","parse-names":false,"suffix":""}],"container-title":"Journal of Human, Earth, and Future","id":"ITEM-1","issue":"4","issued":{"date-parts":[["2023"]]},"page":"411-423","title":"Triple-Layered Business Model Canvas Environment Based in the Fashion Industry","type":"article-journal","volume":"4"},"uris":["http://www.mendeley.com/documents/?uuid=aaf14e7b-8381-4c97-a5a5-abc0866d6728"]}],"mendeley":{"formattedCitation":"[33]","plainTextFormattedCitation":"[33]","previouslyFormattedCitation":"[33]"},"properties":{"noteIndex":0},"schema":"https://github.com/citation-style-language/schema/raw/master/csl-citation.json"}</w:instrText>
            </w:r>
            <w:r w:rsidRPr="00D63BE2">
              <w:fldChar w:fldCharType="separate"/>
            </w:r>
            <w:r w:rsidRPr="00E64F19">
              <w:rPr>
                <w:noProof/>
              </w:rPr>
              <w:t>[33]</w:t>
            </w:r>
            <w:r w:rsidRPr="00D63BE2">
              <w:fldChar w:fldCharType="end"/>
            </w:r>
          </w:p>
        </w:tc>
      </w:tr>
      <w:tr w:rsidR="00EC7FF1" w:rsidRPr="00A12A79" w:rsidTr="00B0441B">
        <w:trPr>
          <w:trHeight w:val="300"/>
          <w:jc w:val="center"/>
        </w:trPr>
        <w:tc>
          <w:tcPr>
            <w:tcW w:w="1350" w:type="dxa"/>
            <w:vMerge w:val="restart"/>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A12A79">
              <w:rPr>
                <w:rFonts w:ascii="Arial" w:hAnsi="Arial" w:cs="Arial"/>
                <w:color w:val="000000"/>
                <w:sz w:val="20"/>
                <w:szCs w:val="20"/>
              </w:rPr>
              <w:t>Human</w:t>
            </w:r>
          </w:p>
        </w:tc>
        <w:tc>
          <w:tcPr>
            <w:tcW w:w="1617" w:type="dxa"/>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A12A79">
              <w:rPr>
                <w:rFonts w:ascii="Arial" w:hAnsi="Arial" w:cs="Arial"/>
                <w:color w:val="000000"/>
                <w:sz w:val="20"/>
                <w:szCs w:val="20"/>
              </w:rPr>
              <w:t>Education and Training</w:t>
            </w:r>
          </w:p>
        </w:tc>
        <w:tc>
          <w:tcPr>
            <w:tcW w:w="1184" w:type="dxa"/>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D63BE2">
              <w:fldChar w:fldCharType="begin" w:fldLock="1"/>
            </w:r>
            <w:r w:rsidR="008516C5">
              <w:instrText>ADDIN CSL_CITATION {"citationItems":[{"id":"ITEM-1","itemData":{"DOI":"https://doi.org/10.25077/josi.v23.n1.p109-119.2024","author":[{"dropping-particle":"","family":"Rahman","given":"Hafiz","non-dropping-particle":"","parse-names":false,"suffix":""},{"dropping-particle":"","family":"Oktavia","given":"Sri","non-dropping-particle":"","parse-names":false,"suffix":""},{"dropping-particle":"","family":"Shetye","given":"Niyanta","non-dropping-particle":"","parse-names":false,"suffix":""},{"dropping-particle":"","family":"Azonhoumon","given":"Winny Leocade Sedjiro","non-dropping-particle":"","parse-names":false,"suffix":""}],"container-title":"Jurnal Optimasi Sistem Industri","id":"ITEM-1","issue":"1","issued":{"date-parts":[["2024"]]},"page":"109-119","title":"Enhancing Operations for Sustainability in Indonesian SMEs through Climate Change Awareness and Business Orientation","type":"article-journal","volume":"23"},"uris":["http://www.mendeley.com/documents/?uuid=d2f0db5b-06cf-48ac-9282-ce78754db3f7"]}],"mendeley":{"formattedCitation":"[26]","plainTextFormattedCitation":"[26]","previouslyFormattedCitation":"[26]"},"properties":{"noteIndex":0},"schema":"https://github.com/citation-style-language/schema/raw/master/csl-citation.json"}</w:instrText>
            </w:r>
            <w:r w:rsidRPr="00D63BE2">
              <w:fldChar w:fldCharType="separate"/>
            </w:r>
            <w:r w:rsidRPr="00E64F19">
              <w:rPr>
                <w:noProof/>
              </w:rPr>
              <w:t>[26]</w:t>
            </w:r>
            <w:r w:rsidRPr="00D63BE2">
              <w:fldChar w:fldCharType="end"/>
            </w:r>
            <w:r w:rsidRPr="00A12A79">
              <w:rPr>
                <w:rFonts w:ascii="Arial" w:hAnsi="Arial" w:cs="Arial"/>
                <w:color w:val="000000"/>
                <w:sz w:val="20"/>
                <w:szCs w:val="20"/>
              </w:rPr>
              <w:t xml:space="preserve">, </w:t>
            </w:r>
            <w:r w:rsidRPr="00D63BE2">
              <w:fldChar w:fldCharType="begin" w:fldLock="1"/>
            </w:r>
            <w:r w:rsidRPr="00D63BE2">
              <w:instrText>ADDIN CSL_CITATION {"citationItems":[{"id":"ITEM-1","itemData":{"DOI":"https://doi.org/10.3390/su16114377","ISSN":"20711050","abstract":"This paper investigates the incorporation of sustainable development within the Portuguese agri-food sector amid global environmental and resource challenges. It underscores the role of the Sustainable Development Goals (SDGs) and environmental, social, and governance (ESG) criteria in steering businesses towards sustainable practices. Through qualitative analysis, in-depth interviews with managers and experts explored sustainable business model adoption, highlighting SMEs’ unique challenges. The study reveals a divergence in sustainability practice maturity, advocating for integration into organizational culture and strategy. It points out SMEs’ reactive stance due to resource constraints and external pressures, contrasting with larger firms’ proactive approaches. The research supports a strategic reevaluation of business models for sustainability, emphasizing innovation, leadership, organizational commitment, and transparent communication. Practical contributions include embedding sustainability into core operations, enhancing competitiveness, fostering sustainable organizational culture, prioritizing employee well-being, and leveraging innovative marketing for sustainability communication. Recognizing its limitations, this study advocates exploring blockchain and AI for transparency, leadership’s role in sustainable models, and the importance of marketing in the agri-food sector for sustainable management. Insights indicate that innovation and strategic partnerships are crucial for enhancing organizational sustainability and achieving the SDGs.","author":[{"dropping-particle":"","family":"Camelo","given":"Gonçalo","non-dropping-particle":"","parse-names":false,"suffix":""},{"dropping-particle":"","family":"Nogueira","given":"Mafalda","non-dropping-particle":"","parse-names":false,"suffix":""}],"container-title":"Sustainability (Switzerland)","id":"ITEM-1","issue":"11","issued":{"date-parts":[["2024"]]},"title":"The ESG Menu: Integrating Sustainable Practices in the Portuguese Agri-Food Sector","type":"article-journal","volume":"16"},"uris":["http://www.mendeley.com/documents/?uuid=a509d32a-b739-4e9a-8b7c-acda6a44c797"]}],"mendeley":{"formattedCitation":"[4]","plainTextFormattedCitation":"[4]","previouslyFormattedCitation":"[4]"},"properties":{"noteIndex":0},"schema":"https://github.com/citation-style-language/schema/raw/master/csl-citation.json"}</w:instrText>
            </w:r>
            <w:r w:rsidRPr="00D63BE2">
              <w:fldChar w:fldCharType="separate"/>
            </w:r>
            <w:r w:rsidRPr="00D63BE2">
              <w:rPr>
                <w:noProof/>
              </w:rPr>
              <w:t>[4]</w:t>
            </w:r>
            <w:r w:rsidRPr="00D63BE2">
              <w:fldChar w:fldCharType="end"/>
            </w:r>
            <w:r>
              <w:t xml:space="preserve">, </w:t>
            </w:r>
            <w:r w:rsidRPr="00D63BE2">
              <w:fldChar w:fldCharType="begin" w:fldLock="1"/>
            </w:r>
            <w:r>
              <w:instrText>ADDIN CSL_CITATION {"citationItems":[{"id":"ITEM-1","itemData":{"DOI":"https://doi.org/10.3390/su141711036","author":[{"dropping-particle":"","family":"Acosta-Velásquez","given":"Rubén Dario","non-dropping-particle":"","parse-names":false,"suffix":""},{"dropping-particle":"","family":"León-Pulido","given":"Jeffrey","non-dropping-particle":"","parse-names":false,"suffix":""},{"dropping-particle":"","family":"García-Pérez","given":"Alexander","non-dropping-particle":"","parse-names":false,"suffix":""},{"dropping-particle":"","family":"Fajardo-Moreno","given":"William Stive","non-dropping-particle":"","parse-names":false,"suffix":""},{"dropping-particle":"","family":"Espinosa-Leal","given":"Leonardo","non-dropping-particle":"","parse-names":false,"suffix":""}],"container-title":"Sustainability","id":"ITEM-1","issue":"11036","issued":{"date-parts":[["2022"]]},"page":"1-12","title":"Contemporary Management Practice Applying the Dynamic Absorptive Capacity Measurement Model ( PM 4 AC ) for Improved Business Sustainability","type":"article-journal","volume":"14"},"uris":["http://www.mendeley.com/documents/?uuid=92a60348-40f5-48c9-a7fe-e61af01c4a3c"]}],"mendeley":{"formattedCitation":"[23]","plainTextFormattedCitation":"[23]","previouslyFormattedCitation":"[23]"},"properties":{"noteIndex":0},"schema":"https://github.com/citation-style-language/schema/raw/master/csl-citation.json"}</w:instrText>
            </w:r>
            <w:r w:rsidRPr="00D63BE2">
              <w:fldChar w:fldCharType="separate"/>
            </w:r>
            <w:r w:rsidRPr="00E64F19">
              <w:rPr>
                <w:noProof/>
              </w:rPr>
              <w:t>[23]</w:t>
            </w:r>
            <w:r w:rsidRPr="00D63BE2">
              <w:fldChar w:fldCharType="end"/>
            </w:r>
            <w:r w:rsidRPr="00A12A79">
              <w:rPr>
                <w:rFonts w:ascii="Arial" w:hAnsi="Arial" w:cs="Arial"/>
                <w:color w:val="000000"/>
                <w:sz w:val="20"/>
                <w:szCs w:val="20"/>
              </w:rPr>
              <w:t xml:space="preserve">, </w:t>
            </w:r>
            <w:r w:rsidRPr="00D63BE2">
              <w:fldChar w:fldCharType="begin" w:fldLock="1"/>
            </w:r>
            <w:r>
              <w:instrText>ADDIN CSL_CITATION {"citationItems":[{"id":"ITEM-1","itemData":{"DOI":"http://doi.org/10.47836/ijeamsi.16.1.006","ISSN":"1823836X","abstract":"The global economy is facing the outbreak of COVID-19 which has exposed the people around the world with a dangerous virus. Despite of appeals put by the Government, SMEs need to understand on how to confront this crisis and search for strategies to curb with the pandemic. This research aims to scrutinize the prevalence of strategic foresight to assist the SMEs to be agile the pandemic and secure their sustainable performance. A series of interview with SMEs Agencies and SMEs was conducted to understand their behaviours on the strategies to combat the pandemic. Five agencies were interviewed to obtain their insights on their support provided to the SMEs. Eighteen SMEs were interviewed to understand their knowledge and understanding on the role of strategic foresight and the impact on agility and competitiveness. From the findings, SMEs agencies believe that SMEs need to be a future ready and agile for any circumstances that affect their businesses by having a clear future direction. For SMEs, they need to be agile by practicing entrepreneurial bricolage in which they have to deploy all the available resources to sustain their performance during pandemic. The originality of this is to provide insights into how Malaysian SMEs could formulate their strategy for business sustainability during the pandemic through the identifications of strategic foresight and agility in their business activities and process.","author":[{"dropping-particle":"","family":"Halima","given":"Hasliza Abdul","non-dropping-particle":"","parse-names":false,"suffix":""},{"dropping-particle":"","family":"Zainala","given":"Siti Rohaida Mohamed","non-dropping-particle":"","parse-names":false,"suffix":""},{"dropping-particle":"","family":"Ahmada","given":"Noor Hazlina","non-dropping-particle":"","parse-names":false,"suffix":""}],"container-title":"International Journal of Economics and Management","id":"ITEM-1","issue":"SpecialIssue1","issued":{"date-parts":[["2022"]]},"page":"81-97","title":"Strategic Foresight and Agility: Upholding Sustainable Competitiveness Among SMEs During COVID-19 Pandemic","type":"article-journal","volume":"16"},"uris":["http://www.mendeley.com/documents/?uuid=ea0b25dc-b3b7-4dbc-a2aa-f18274c3e772"]}],"mendeley":{"formattedCitation":"[29]","plainTextFormattedCitation":"[29]","previouslyFormattedCitation":"[29]"},"properties":{"noteIndex":0},"schema":"https://github.com/citation-style-language/schema/raw/master/csl-citation.json"}</w:instrText>
            </w:r>
            <w:r w:rsidRPr="00D63BE2">
              <w:fldChar w:fldCharType="separate"/>
            </w:r>
            <w:r w:rsidRPr="00E64F19">
              <w:rPr>
                <w:noProof/>
              </w:rPr>
              <w:t>[29]</w:t>
            </w:r>
            <w:r w:rsidRPr="00D63BE2">
              <w:fldChar w:fldCharType="end"/>
            </w:r>
          </w:p>
        </w:tc>
      </w:tr>
      <w:tr w:rsidR="00EC7FF1" w:rsidRPr="00A12A79" w:rsidTr="00B0441B">
        <w:trPr>
          <w:trHeight w:val="600"/>
          <w:jc w:val="center"/>
        </w:trPr>
        <w:tc>
          <w:tcPr>
            <w:tcW w:w="1350" w:type="dxa"/>
            <w:vMerge/>
            <w:vAlign w:val="center"/>
            <w:hideMark/>
          </w:tcPr>
          <w:p w:rsidR="00EC7FF1" w:rsidRPr="00A12A79" w:rsidRDefault="00EC7FF1" w:rsidP="00EC7FF1">
            <w:pPr>
              <w:spacing w:after="0" w:line="240" w:lineRule="auto"/>
              <w:rPr>
                <w:rFonts w:ascii="Arial" w:hAnsi="Arial" w:cs="Arial"/>
                <w:color w:val="000000"/>
                <w:sz w:val="20"/>
                <w:szCs w:val="20"/>
              </w:rPr>
            </w:pPr>
          </w:p>
        </w:tc>
        <w:tc>
          <w:tcPr>
            <w:tcW w:w="1617" w:type="dxa"/>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A12A79">
              <w:rPr>
                <w:rFonts w:ascii="Arial" w:hAnsi="Arial" w:cs="Arial"/>
                <w:color w:val="000000"/>
                <w:sz w:val="20"/>
                <w:szCs w:val="20"/>
              </w:rPr>
              <w:t xml:space="preserve">Human Resources Competency </w:t>
            </w:r>
          </w:p>
        </w:tc>
        <w:tc>
          <w:tcPr>
            <w:tcW w:w="1184" w:type="dxa"/>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D63BE2">
              <w:fldChar w:fldCharType="begin" w:fldLock="1"/>
            </w:r>
            <w:r w:rsidRPr="00D63BE2">
              <w:instrText>ADDIN CSL_CITATION {"citationItems":[{"id":"ITEM-1","itemData":{"DOI":"https://doi.org/10.3390/su152316325","abstract":"The main purpose of this research paper is to investigate the role of information and communication technology (ICT) in providing small and medium-sized enterprises (SMEs) with a competitive advantage. To do this, we propose five dimensions to detect ICT (human resources, equipment and devices, databases, software, and networks) and four dimensions (service quality, market control, creativity and development, and operational efficiency) to decide competitive advantage. To achieve this paper’s purposes, a questionnaire was developed to collect data from respondents to a sample of 128 subjects by using the Statistical Package for Social Sciences (SPSS) for the survey data analysis. Several methods have been used in the statistical analysis of the data, including descriptive statistics tests, a normal distribution test (one-sample Kolmogorov–Smirnov test), simple linear regression coefficient (simple regression), variance analysis (one-way ANOVA), and a T-test for independent samples. This study reports a series of findings, underlined by the significant role of ICT with its various dimensions and the competitive advantage of SMEs. This study concludes with several suggestions including that SMEs must increase their investments in ICT components and take more care of creativity and development for the preemption to create new services.","author":[{"dropping-particle":"","family":"Kahouli","given":"Bassem","non-dropping-particle":"","parse-names":false,"suffix":""},{"dropping-particle":"","family":"Nafla","given":"Amine","non-dropping-particle":"","parse-names":false,"suffix":""},{"dropping-particle":"","family":"Chaaben","given":"Nahla","non-dropping-particle":"","parse-names":false,"suffix":""}],"container-title":"Sustainability","id":"ITEM-1","issue":"16325","issued":{"date-parts":[["2023"]]},"page":"1-19","title":"Exploring the Influence of the Information and Communication Technology Dimensions on the Sustainability of Competitiveness in Small and Medium-sized Enterprises in the Hail Region","type":"article-journal","volume":"15"},"uris":["http://www.mendeley.com/documents/?uuid=043dbef2-37b9-4610-8f19-1d2b1bdba940"]}],"mendeley":{"formattedCitation":"[1]","plainTextFormattedCitation":"[1]","previouslyFormattedCitation":"[1]"},"properties":{"noteIndex":0},"schema":"https://github.com/citation-style-language/schema/raw/master/csl-citation.json"}</w:instrText>
            </w:r>
            <w:r w:rsidRPr="00D63BE2">
              <w:fldChar w:fldCharType="separate"/>
            </w:r>
            <w:r w:rsidRPr="00D63BE2">
              <w:rPr>
                <w:noProof/>
              </w:rPr>
              <w:t>[1]</w:t>
            </w:r>
            <w:r w:rsidRPr="00D63BE2">
              <w:fldChar w:fldCharType="end"/>
            </w:r>
            <w:r w:rsidRPr="00A12A79">
              <w:rPr>
                <w:rFonts w:ascii="Arial" w:hAnsi="Arial" w:cs="Arial"/>
                <w:color w:val="000000"/>
                <w:sz w:val="20"/>
                <w:szCs w:val="20"/>
              </w:rPr>
              <w:t xml:space="preserve">, </w:t>
            </w:r>
            <w:r w:rsidRPr="00D63BE2">
              <w:fldChar w:fldCharType="begin" w:fldLock="1"/>
            </w:r>
            <w:r>
              <w:instrText>ADDIN CSL_CITATION {"citationItems":[{"id":"ITEM-1","itemData":{"DOI":"https://doi.org/10.14505/jemt.v13.3(59).09","author":[{"dropping-particle":"","family":"Belgibayeva","given":"Anargul","non-dropping-particle":"","parse-names":false,"suffix":""},{"dropping-particle":"","family":"Denissova","given":"Oxana","non-dropping-particle":"","parse-names":false,"suffix":""},{"dropping-particle":"","family":"Kozlova","given":"Marina","non-dropping-particle":"","parse-names":false,"suffix":""},{"dropping-particle":"","family":"Savchenko","given":"Irina","non-dropping-particle":"","parse-names":false,"suffix":""},{"dropping-particle":"","family":"Tleubayev","given":"Azat","non-dropping-particle":"","parse-names":false,"suffix":""},{"dropping-particle":"","family":"Siximbayeva","given":"Gaukhar","non-dropping-particle":"","parse-names":false,"suffix":""}],"container-title":"Journal of Environmental Management and Tourism","id":"ITEM-1","issue":"4","issued":{"date-parts":[["2022"]]},"title":"Analysis of Sustainable Development of SMEs in Agriculture","type":"article-journal","volume":"VII"},"uris":["http://www.mendeley.com/documents/?uuid=e2d74feb-4f38-49e8-9ce5-26daa9470ad7"]}],"mendeley":{"formattedCitation":"[22]","plainTextFormattedCitation":"[22]","previouslyFormattedCitation":"[22]"},"properties":{"noteIndex":0},"schema":"https://github.com/citation-style-language/schema/raw/master/csl-citation.json"}</w:instrText>
            </w:r>
            <w:r w:rsidRPr="00D63BE2">
              <w:fldChar w:fldCharType="separate"/>
            </w:r>
            <w:r w:rsidRPr="00E64F19">
              <w:rPr>
                <w:noProof/>
              </w:rPr>
              <w:t>[22]</w:t>
            </w:r>
            <w:r w:rsidRPr="00D63BE2">
              <w:fldChar w:fldCharType="end"/>
            </w:r>
            <w:r w:rsidRPr="00A12A79">
              <w:rPr>
                <w:rFonts w:ascii="Arial" w:hAnsi="Arial" w:cs="Arial"/>
                <w:color w:val="000000"/>
                <w:sz w:val="20"/>
                <w:szCs w:val="20"/>
              </w:rPr>
              <w:t xml:space="preserve">, </w:t>
            </w:r>
            <w:r w:rsidRPr="00D63BE2">
              <w:fldChar w:fldCharType="begin" w:fldLock="1"/>
            </w:r>
            <w:r>
              <w:instrText>ADDIN CSL_CITATION {"citationItems":[{"id":"ITEM-1","itemData":{"DOI":"https://doi.org/10.3390/su141711036","author":[{"dropping-particle":"","family":"Acosta-Velásquez","given":"Rubén Dario","non-dropping-particle":"","parse-names":false,"suffix":""},{"dropping-particle":"","family":"León-Pulido","given":"Jeffrey","non-dropping-particle":"","parse-names":false,"suffix":""},{"dropping-particle":"","family":"García-Pérez","given":"Alexander","non-dropping-particle":"","parse-names":false,"suffix":""},{"dropping-particle":"","family":"Fajardo-Moreno","given":"William Stive","non-dropping-particle":"","parse-names":false,"suffix":""},{"dropping-particle":"","family":"Espinosa-Leal","given":"Leonardo","non-dropping-particle":"","parse-names":false,"suffix":""}],"container-title":"Sustainability","id":"ITEM-1","issue":"11036","issued":{"date-parts":[["2022"]]},"page":"1-12","title":"Contemporary Management Practice Applying the Dynamic Absorptive Capacity Measurement Model ( PM 4 AC ) for Improved Business Sustainability","type":"article-journal","volume":"14"},"uris":["http://www.mendeley.com/documents/?uuid=92a60348-40f5-48c9-a7fe-e61af01c4a3c"]}],"mendeley":{"formattedCitation":"[23]","plainTextFormattedCitation":"[23]","previouslyFormattedCitation":"[23]"},"properties":{"noteIndex":0},"schema":"https://github.com/citation-style-language/schema/raw/master/csl-citation.json"}</w:instrText>
            </w:r>
            <w:r w:rsidRPr="00D63BE2">
              <w:fldChar w:fldCharType="separate"/>
            </w:r>
            <w:r w:rsidRPr="00E64F19">
              <w:rPr>
                <w:noProof/>
              </w:rPr>
              <w:t>[23]</w:t>
            </w:r>
            <w:r w:rsidRPr="00D63BE2">
              <w:fldChar w:fldCharType="end"/>
            </w:r>
            <w:r w:rsidRPr="00A12A79">
              <w:rPr>
                <w:rFonts w:ascii="Arial" w:hAnsi="Arial" w:cs="Arial"/>
                <w:color w:val="000000"/>
                <w:sz w:val="20"/>
                <w:szCs w:val="20"/>
              </w:rPr>
              <w:t xml:space="preserve">, </w:t>
            </w:r>
            <w:r w:rsidRPr="00D63BE2">
              <w:fldChar w:fldCharType="begin" w:fldLock="1"/>
            </w:r>
            <w:r>
              <w:instrText>ADDIN CSL_CITATION {"citationItems":[{"id":"ITEM-1","itemData":{"DOI":"http://doi.org/10.47836/ijeamsi.16.1.006","ISSN":"1823836X","abstract":"The global economy is facing the outbreak of COVID-19 which has exposed the people around the world with a dangerous virus. Despite of appeals put by the Government, SMEs need to understand on how to confront this crisis and search for strategies to curb with the pandemic. This research aims to scrutinize the prevalence of strategic foresight to assist the SMEs to be agile the pandemic and secure their sustainable performance. A series of interview with SMEs Agencies and SMEs was conducted to understand their behaviours on the strategies to combat the pandemic. Five agencies were interviewed to obtain their insights on their support provided to the SMEs. Eighteen SMEs were interviewed to understand their knowledge and understanding on the role of strategic foresight and the impact on agility and competitiveness. From the findings, SMEs agencies believe that SMEs need to be a future ready and agile for any circumstances that affect their businesses by having a clear future direction. For SMEs, they need to be agile by practicing entrepreneurial bricolage in which they have to deploy all the available resources to sustain their performance during pandemic. The originality of this is to provide insights into how Malaysian SMEs could formulate their strategy for business sustainability during the pandemic through the identifications of strategic foresight and agility in their business activities and process.","author":[{"dropping-particle":"","family":"Halima","given":"Hasliza Abdul","non-dropping-particle":"","parse-names":false,"suffix":""},{"dropping-particle":"","family":"Zainala","given":"Siti Rohaida Mohamed","non-dropping-particle":"","parse-names":false,"suffix":""},{"dropping-particle":"","family":"Ahmada","given":"Noor Hazlina","non-dropping-particle":"","parse-names":false,"suffix":""}],"container-title":"International Journal of Economics and Management","id":"ITEM-1","issue":"SpecialIssue1","issued":{"date-parts":[["2022"]]},"page":"81-97","title":"Strategic Foresight and Agility: Upholding Sustainable Competitiveness Among SMEs During COVID-19 Pandemic","type":"article-journal","volume":"16"},"uris":["http://www.mendeley.com/documents/?uuid=ea0b25dc-b3b7-4dbc-a2aa-f18274c3e772"]}],"mendeley":{"formattedCitation":"[29]","plainTextFormattedCitation":"[29]","previouslyFormattedCitation":"[29]"},"properties":{"noteIndex":0},"schema":"https://github.com/citation-style-language/schema/raw/master/csl-citation.json"}</w:instrText>
            </w:r>
            <w:r w:rsidRPr="00D63BE2">
              <w:fldChar w:fldCharType="separate"/>
            </w:r>
            <w:r w:rsidRPr="00E64F19">
              <w:rPr>
                <w:noProof/>
              </w:rPr>
              <w:t>[29]</w:t>
            </w:r>
            <w:r w:rsidRPr="00D63BE2">
              <w:fldChar w:fldCharType="end"/>
            </w:r>
            <w:r w:rsidRPr="00A12A79">
              <w:rPr>
                <w:rFonts w:ascii="Arial" w:hAnsi="Arial" w:cs="Arial"/>
                <w:color w:val="000000"/>
                <w:sz w:val="20"/>
                <w:szCs w:val="20"/>
              </w:rPr>
              <w:t xml:space="preserve">, </w:t>
            </w:r>
            <w:r w:rsidRPr="00D63BE2">
              <w:fldChar w:fldCharType="begin" w:fldLock="1"/>
            </w:r>
            <w:r>
              <w:instrText>ADDIN CSL_CITATION {"citationItems":[{"id":"ITEM-1","itemData":{"DOI":"https://doi.org/10.18280/ijsdp.170408","ISSN":"1743761X","abstract":"Business today has been globalized. This has made business even more competitive. Companies, regardless of their size, have to improve their competitiveness. Sustainable competitiveness is the core need for innovation. This study aims at exploring the correlation between IT-based innovation or technopreneurship and business competitiveness. This was a quantitative study with survey method. The respondents in this study were small business owners in handicraft and creative content production in Gorontalo city. The data were collected by online form and after three month collecting data, data were collected were 163 respondents. Product, process and organizational innovation and business competitiveness instruments use instruments from previous research. All instruments use a Likert scale with points 1 to 5 which indicate a scale of disagreement to agreement from the respondents. The data were analyzed using PLS-SEM. The Results show that information technology-based product innovation, IT based process innovation, and IT organizational innovation significantly and positively influence the growth of business competitiveness. Product innovation of business owners in Gorontalo city, Indonesia is actively producing new products. Also, innovation is not only limited to product innovation but also production process innovation, which uses information technology. Utilization of technopreneurship is significantly able to increase business competitiveness, especially for small businesses in Gorontalo city. Utilization of innovation in information technology assumed to strongly develop business competitiveness. The business competitiveness of small businesses in the high-tech field is influenced by products, processes and organizational innovation. SMEs must be able to create products, or product segments, and services that exceed the performance limitations of traditional products by utilizing everything possible through digital models","author":[{"dropping-particle":"","family":"Machmud","given":"Rizan","non-dropping-particle":"","parse-names":false,"suffix":""},{"dropping-particle":"","family":"Wuryaningrat","given":"Nikolas F.","non-dropping-particle":"","parse-names":false,"suffix":""},{"dropping-particle":"","family":"Mutiarasari","given":"Diah","non-dropping-particle":"","parse-names":false,"suffix":""}],"container-title":"International Journal of Sustainable Development and Planning","id":"ITEM-1","issue":"4","issued":{"date-parts":[["2022"]]},"page":"1117-1122","title":"Technopreneurship-Based Competitiveness and Innovation at Small Business in Gorontalo City","type":"article-journal","volume":"17"},"uris":["http://www.mendeley.com/documents/?uuid=7953932c-869d-457c-9dec-83df5ab570d3"]}],"mendeley":{"formattedCitation":"[31]","plainTextFormattedCitation":"[31]","previouslyFormattedCitation":"[31]"},"properties":{"noteIndex":0},"schema":"https://github.com/citation-style-language/schema/raw/master/csl-citation.json"}</w:instrText>
            </w:r>
            <w:r w:rsidRPr="00D63BE2">
              <w:fldChar w:fldCharType="separate"/>
            </w:r>
            <w:r w:rsidRPr="00E64F19">
              <w:rPr>
                <w:noProof/>
              </w:rPr>
              <w:t>[31]</w:t>
            </w:r>
            <w:r w:rsidRPr="00D63BE2">
              <w:fldChar w:fldCharType="end"/>
            </w:r>
          </w:p>
        </w:tc>
      </w:tr>
      <w:tr w:rsidR="00EC7FF1" w:rsidRPr="00A12A79" w:rsidTr="00B0441B">
        <w:trPr>
          <w:trHeight w:val="300"/>
          <w:jc w:val="center"/>
        </w:trPr>
        <w:tc>
          <w:tcPr>
            <w:tcW w:w="1350" w:type="dxa"/>
            <w:vMerge/>
            <w:vAlign w:val="center"/>
            <w:hideMark/>
          </w:tcPr>
          <w:p w:rsidR="00EC7FF1" w:rsidRPr="00A12A79" w:rsidRDefault="00EC7FF1" w:rsidP="00EC7FF1">
            <w:pPr>
              <w:spacing w:after="0" w:line="240" w:lineRule="auto"/>
              <w:rPr>
                <w:rFonts w:ascii="Arial" w:hAnsi="Arial" w:cs="Arial"/>
                <w:color w:val="000000"/>
                <w:sz w:val="20"/>
                <w:szCs w:val="20"/>
              </w:rPr>
            </w:pPr>
          </w:p>
        </w:tc>
        <w:tc>
          <w:tcPr>
            <w:tcW w:w="1617" w:type="dxa"/>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A12A79">
              <w:rPr>
                <w:rFonts w:ascii="Arial" w:hAnsi="Arial" w:cs="Arial"/>
                <w:color w:val="000000"/>
                <w:sz w:val="20"/>
                <w:szCs w:val="20"/>
              </w:rPr>
              <w:t xml:space="preserve">New Knowladge </w:t>
            </w:r>
          </w:p>
        </w:tc>
        <w:tc>
          <w:tcPr>
            <w:tcW w:w="1184" w:type="dxa"/>
            <w:shd w:val="clear" w:color="auto" w:fill="auto"/>
            <w:hideMark/>
          </w:tcPr>
          <w:p w:rsidR="00EC7FF1" w:rsidRPr="00A12A79" w:rsidRDefault="00EC7FF1" w:rsidP="00EC7FF1">
            <w:pPr>
              <w:spacing w:after="0" w:line="240" w:lineRule="auto"/>
              <w:rPr>
                <w:rFonts w:ascii="Arial" w:hAnsi="Arial" w:cs="Arial"/>
                <w:color w:val="000000"/>
                <w:sz w:val="20"/>
                <w:szCs w:val="20"/>
              </w:rPr>
            </w:pPr>
            <w:r w:rsidRPr="00D63BE2">
              <w:fldChar w:fldCharType="begin" w:fldLock="1"/>
            </w:r>
            <w:r>
              <w:instrText>ADDIN CSL_CITATION {"citationItems":[{"id":"ITEM-1","itemData":{"DOI":"https://doi.org/10.3390/ su16083267 Academic","author":[{"dropping-particle":"","family":"Rienda","given":"Laura","non-dropping-particle":"","parse-names":false,"suffix":""},{"dropping-particle":"","family":"Ruiz-fern","given":"Lorena","non-dropping-particle":"","parse-names":false,"suffix":""}],"container-title":"Sustainability","id":"ITEM-1","issue":"3267","issued":{"date-parts":[["2024"]]},"page":"1-12","title":"Internationalization and Sustainable Hotel Competitiveness : Resilience and Network Ties to Increase Tourism Sustainability","type":"article-journal","volume":"16"},"uris":["http://www.mendeley.com/documents/?uuid=3c54e9c9-bd76-4985-8002-749b7e9befe4"]}],"mendeley":{"formattedCitation":"[19]","plainTextFormattedCitation":"[19]","previouslyFormattedCitation":"[19]"},"properties":{"noteIndex":0},"schema":"https://github.com/citation-style-language/schema/raw/master/csl-citation.json"}</w:instrText>
            </w:r>
            <w:r w:rsidRPr="00D63BE2">
              <w:fldChar w:fldCharType="separate"/>
            </w:r>
            <w:r w:rsidRPr="00E64F19">
              <w:rPr>
                <w:noProof/>
              </w:rPr>
              <w:t>[19]</w:t>
            </w:r>
            <w:r w:rsidRPr="00D63BE2">
              <w:fldChar w:fldCharType="end"/>
            </w:r>
            <w:r w:rsidRPr="00A12A79">
              <w:rPr>
                <w:rFonts w:ascii="Arial" w:hAnsi="Arial" w:cs="Arial"/>
                <w:color w:val="000000"/>
                <w:sz w:val="20"/>
                <w:szCs w:val="20"/>
              </w:rPr>
              <w:t xml:space="preserve">, </w:t>
            </w:r>
            <w:r w:rsidRPr="00D63BE2">
              <w:fldChar w:fldCharType="begin" w:fldLock="1"/>
            </w:r>
            <w:r w:rsidR="008516C5">
              <w:instrText>ADDIN CSL_CITATION {"citationItems":[{"id":"ITEM-1","itemData":{"DOI":"https://doi.org/10.1007/s13132-022-01043-5","ISBN":"0123456789","ISSN":"18687873","abstract":"This paper aims to analyze the strategic effects of the association of small and medium-sized enterprises (SMEs) in knowledge networks (k-networks) on their information and knowledge management (IKM) and intellectual capital (IC). Taking as the object of study two innovative and successful Brazilian experiences, a descriptive survey with top-level executives (managing partners, presidents, and executive directors — henceforth CEOs) was held. Based on theories of management and economics, the findings revealed (i) that the network formation process (encompassing culture, context, incentives for information and knowledge sharing and especially strategy) is an important factor to explain IKM (for creating, systematizing and sharing data, information and knowledge) and IC in its three dimensions (human, relational and structural capital), promoting long-term sustainable growth (perceived by improvements in innovation, competitiveness and corporate results) for SMEs and their networks — a very relevant issue, but whose theoretical and managerial understanding is very incipient in international literature, especially in emerging economies.","author":[{"dropping-particle":"","family":"Jordão","given":"Ricardo Vinícius Dias","non-dropping-particle":"","parse-names":false,"suffix":""},{"dropping-particle":"","family":"Novas","given":"Jorge Casas","non-dropping-particle":"","parse-names":false,"suffix":""}],"container-title":"Journal of the Knowledge Economy","id":"ITEM-1","issue":"1","issued":{"date-parts":[["2024"]]},"page":"563-595","publisher":"Springer US","title":"Information and Knowledge Management, Intellectual Capital, and Sustainable Growth in Networked Small and Medium Enterprises","type":"article-journal","volume":"15"},"uris":["http://www.mendeley.com/documents/?uuid=b1040710-1b3c-4079-b801-300ef8fbf19c"]}],"mendeley":{"formattedCitation":"[34]","plainTextFormattedCitation":"[34]","previouslyFormattedCitation":"[34]"},"properties":{"noteIndex":0},"schema":"https://github.com/citation-style-language/schema/raw/master/csl-citation.json"}</w:instrText>
            </w:r>
            <w:r w:rsidRPr="00D63BE2">
              <w:fldChar w:fldCharType="separate"/>
            </w:r>
            <w:r w:rsidRPr="00E64F19">
              <w:rPr>
                <w:noProof/>
              </w:rPr>
              <w:t>[34]</w:t>
            </w:r>
            <w:r w:rsidRPr="00D63BE2">
              <w:fldChar w:fldCharType="end"/>
            </w:r>
          </w:p>
        </w:tc>
      </w:tr>
    </w:tbl>
    <w:p w:rsidR="00EC7FF1" w:rsidRDefault="00EC7FF1" w:rsidP="00EC7FF1">
      <w:pPr>
        <w:pStyle w:val="normal0"/>
        <w:pBdr>
          <w:top w:val="nil"/>
          <w:left w:val="nil"/>
          <w:bottom w:val="nil"/>
          <w:right w:val="nil"/>
          <w:between w:val="nil"/>
        </w:pBdr>
        <w:shd w:val="clear" w:color="auto" w:fill="FFFFFF"/>
        <w:spacing w:after="0" w:line="240" w:lineRule="auto"/>
        <w:rPr>
          <w:rFonts w:ascii="Arial" w:eastAsia="Arial" w:hAnsi="Arial" w:cs="Arial"/>
          <w:sz w:val="20"/>
          <w:szCs w:val="20"/>
        </w:rPr>
      </w:pPr>
      <w:r>
        <w:rPr>
          <w:rFonts w:ascii="Arial" w:eastAsia="Arial" w:hAnsi="Arial" w:cs="Arial"/>
          <w:sz w:val="20"/>
          <w:szCs w:val="20"/>
        </w:rPr>
        <w:t>Source: Self-Elaboration</w:t>
      </w:r>
    </w:p>
    <w:p w:rsidR="00EC7FF1" w:rsidRDefault="00EC7FF1" w:rsidP="00EC7FF1">
      <w:pPr>
        <w:spacing w:after="0" w:line="240" w:lineRule="auto"/>
        <w:jc w:val="both"/>
        <w:rPr>
          <w:rFonts w:ascii="Arial" w:hAnsi="Arial" w:cs="Arial"/>
          <w:bCs/>
          <w:sz w:val="20"/>
          <w:szCs w:val="20"/>
        </w:rPr>
      </w:pPr>
    </w:p>
    <w:p w:rsidR="00EC7FF1" w:rsidRDefault="00EC7FF1" w:rsidP="00EC7FF1">
      <w:pPr>
        <w:spacing w:after="0" w:line="240" w:lineRule="auto"/>
        <w:jc w:val="both"/>
        <w:rPr>
          <w:rFonts w:ascii="Arial" w:hAnsi="Arial" w:cs="Arial"/>
          <w:bCs/>
          <w:sz w:val="20"/>
          <w:szCs w:val="20"/>
        </w:rPr>
      </w:pPr>
      <w:r w:rsidRPr="00EC7FF1">
        <w:rPr>
          <w:rFonts w:ascii="Arial" w:hAnsi="Arial" w:cs="Arial"/>
          <w:bCs/>
          <w:sz w:val="20"/>
          <w:szCs w:val="20"/>
        </w:rPr>
        <w:t>Based on table 3, In an effort to achieve organizational goals sustainably, there are various dimensions and factors that must be considered. Based on the results of literature synthesis, there are six main dimensions, namely: economic, social, environmental, technological, organizational, and human resources. Each dimension has supporting factors that contribute directly or indirectly to the success of the organization's strategy and operations.</w:t>
      </w:r>
    </w:p>
    <w:p w:rsidR="00081DC2" w:rsidRPr="00081DC2" w:rsidRDefault="00081DC2" w:rsidP="00081DC2">
      <w:pPr>
        <w:spacing w:after="0" w:line="240" w:lineRule="auto"/>
        <w:jc w:val="both"/>
        <w:rPr>
          <w:rFonts w:ascii="Arial" w:hAnsi="Arial" w:cs="Arial"/>
          <w:bCs/>
          <w:sz w:val="20"/>
          <w:szCs w:val="20"/>
        </w:rPr>
      </w:pPr>
      <w:r>
        <w:rPr>
          <w:rFonts w:ascii="Arial" w:hAnsi="Arial" w:cs="Arial"/>
          <w:bCs/>
          <w:sz w:val="20"/>
          <w:szCs w:val="20"/>
        </w:rPr>
        <w:t>1</w:t>
      </w:r>
      <w:r w:rsidRPr="00081DC2">
        <w:rPr>
          <w:rFonts w:ascii="Arial" w:hAnsi="Arial" w:cs="Arial"/>
          <w:bCs/>
          <w:sz w:val="20"/>
          <w:szCs w:val="20"/>
        </w:rPr>
        <w:t xml:space="preserve">. </w:t>
      </w:r>
      <w:r>
        <w:rPr>
          <w:rFonts w:ascii="Arial" w:hAnsi="Arial" w:cs="Arial"/>
          <w:bCs/>
          <w:sz w:val="20"/>
          <w:szCs w:val="20"/>
        </w:rPr>
        <w:t xml:space="preserve"> </w:t>
      </w:r>
      <w:r w:rsidRPr="00081DC2">
        <w:rPr>
          <w:rFonts w:ascii="Arial" w:hAnsi="Arial" w:cs="Arial"/>
          <w:bCs/>
          <w:sz w:val="20"/>
          <w:szCs w:val="20"/>
        </w:rPr>
        <w:t>Economic Dimension</w:t>
      </w:r>
    </w:p>
    <w:p w:rsidR="00593099" w:rsidRDefault="00081DC2" w:rsidP="00081DC2">
      <w:pPr>
        <w:spacing w:after="0" w:line="240" w:lineRule="auto"/>
        <w:ind w:left="284"/>
        <w:jc w:val="both"/>
        <w:rPr>
          <w:rFonts w:ascii="Arial" w:hAnsi="Arial" w:cs="Arial"/>
          <w:bCs/>
          <w:sz w:val="20"/>
          <w:szCs w:val="20"/>
        </w:rPr>
      </w:pPr>
      <w:r w:rsidRPr="00081DC2">
        <w:rPr>
          <w:rFonts w:ascii="Arial" w:hAnsi="Arial" w:cs="Arial"/>
          <w:bCs/>
          <w:sz w:val="20"/>
          <w:szCs w:val="20"/>
        </w:rPr>
        <w:t>The economic dimension emphasizes the importance of financial strength and market competitiveness in supporting organizational sustainability. Factors such as financial capacity and stability, financial resources, competitive pricing, and market understanding are key to ensuring business continuity and adaptation to market dynamics. ([3],[20]–[22],[26]–[29])</w:t>
      </w:r>
    </w:p>
    <w:p w:rsidR="001B2F5B" w:rsidRPr="001B2F5B" w:rsidRDefault="001B2F5B" w:rsidP="001B2F5B">
      <w:pPr>
        <w:spacing w:after="0" w:line="240" w:lineRule="auto"/>
        <w:jc w:val="both"/>
        <w:rPr>
          <w:rFonts w:ascii="Arial" w:hAnsi="Arial" w:cs="Arial"/>
          <w:bCs/>
          <w:sz w:val="20"/>
          <w:szCs w:val="20"/>
        </w:rPr>
      </w:pPr>
      <w:r w:rsidRPr="001B2F5B">
        <w:rPr>
          <w:rFonts w:ascii="Arial" w:hAnsi="Arial" w:cs="Arial"/>
          <w:bCs/>
          <w:sz w:val="20"/>
          <w:szCs w:val="20"/>
        </w:rPr>
        <w:t>2.</w:t>
      </w:r>
      <w:r>
        <w:rPr>
          <w:rFonts w:ascii="Arial" w:hAnsi="Arial" w:cs="Arial"/>
          <w:bCs/>
          <w:sz w:val="20"/>
          <w:szCs w:val="20"/>
        </w:rPr>
        <w:t xml:space="preserve"> </w:t>
      </w:r>
      <w:r w:rsidRPr="001B2F5B">
        <w:rPr>
          <w:rFonts w:ascii="Arial" w:hAnsi="Arial" w:cs="Arial"/>
          <w:bCs/>
          <w:sz w:val="20"/>
          <w:szCs w:val="20"/>
        </w:rPr>
        <w:t xml:space="preserve"> Social Dimension</w:t>
      </w:r>
    </w:p>
    <w:p w:rsidR="00081DC2" w:rsidRDefault="001B2F5B" w:rsidP="001B2F5B">
      <w:pPr>
        <w:spacing w:after="0" w:line="240" w:lineRule="auto"/>
        <w:ind w:left="284"/>
        <w:jc w:val="both"/>
        <w:rPr>
          <w:rFonts w:ascii="Arial" w:hAnsi="Arial" w:cs="Arial"/>
          <w:bCs/>
          <w:sz w:val="20"/>
          <w:szCs w:val="20"/>
        </w:rPr>
      </w:pPr>
      <w:r w:rsidRPr="001B2F5B">
        <w:rPr>
          <w:rFonts w:ascii="Arial" w:hAnsi="Arial" w:cs="Arial"/>
          <w:bCs/>
          <w:sz w:val="20"/>
          <w:szCs w:val="20"/>
        </w:rPr>
        <w:t>Social factors reflect the importance of a harmonious relationship between an organization and its social environment. This includes support from the local community, collaboration and partnership, corporate social responsibility (CSR), and good relationships with customers. These social aspects not only enhance the organization's reputation, but also strengthen social acceptance of the organization's existence and activities. ([4],[5],[18],[20], [23]–[35])</w:t>
      </w:r>
    </w:p>
    <w:p w:rsidR="001B2F5B" w:rsidRPr="001B2F5B" w:rsidRDefault="001B2F5B" w:rsidP="001B2F5B">
      <w:pPr>
        <w:spacing w:after="0" w:line="240" w:lineRule="auto"/>
        <w:jc w:val="both"/>
        <w:rPr>
          <w:rFonts w:ascii="Arial" w:hAnsi="Arial" w:cs="Arial"/>
          <w:bCs/>
          <w:sz w:val="20"/>
          <w:szCs w:val="20"/>
        </w:rPr>
      </w:pPr>
      <w:r w:rsidRPr="001B2F5B">
        <w:rPr>
          <w:rFonts w:ascii="Arial" w:hAnsi="Arial" w:cs="Arial"/>
          <w:bCs/>
          <w:sz w:val="20"/>
          <w:szCs w:val="20"/>
        </w:rPr>
        <w:t xml:space="preserve">3. </w:t>
      </w:r>
      <w:r>
        <w:rPr>
          <w:rFonts w:ascii="Arial" w:hAnsi="Arial" w:cs="Arial"/>
          <w:bCs/>
          <w:sz w:val="20"/>
          <w:szCs w:val="20"/>
        </w:rPr>
        <w:t xml:space="preserve"> </w:t>
      </w:r>
      <w:r w:rsidRPr="001B2F5B">
        <w:rPr>
          <w:rFonts w:ascii="Arial" w:hAnsi="Arial" w:cs="Arial"/>
          <w:bCs/>
          <w:sz w:val="20"/>
          <w:szCs w:val="20"/>
        </w:rPr>
        <w:t>Environmental Dimension</w:t>
      </w:r>
    </w:p>
    <w:p w:rsidR="001B2F5B" w:rsidRDefault="001B2F5B" w:rsidP="001B2F5B">
      <w:pPr>
        <w:spacing w:after="0" w:line="240" w:lineRule="auto"/>
        <w:ind w:left="284"/>
        <w:jc w:val="both"/>
        <w:rPr>
          <w:rFonts w:ascii="Arial" w:hAnsi="Arial" w:cs="Arial"/>
          <w:bCs/>
          <w:sz w:val="20"/>
          <w:szCs w:val="20"/>
        </w:rPr>
      </w:pPr>
      <w:r w:rsidRPr="001B2F5B">
        <w:rPr>
          <w:rFonts w:ascii="Arial" w:hAnsi="Arial" w:cs="Arial"/>
          <w:bCs/>
          <w:sz w:val="20"/>
          <w:szCs w:val="20"/>
        </w:rPr>
        <w:t>Awareness of environmental issues is also an integral part of sustainability. Organizations need to comply with environmental policies and regulations, and develop environmentally friendly products to minimize negative impacts on ecosystems and meet consumer demands for sustainable products. ([2], [4],[22],[33],[36])</w:t>
      </w:r>
    </w:p>
    <w:p w:rsidR="001B2F5B" w:rsidRPr="001B2F5B" w:rsidRDefault="001B2F5B" w:rsidP="001B2F5B">
      <w:pPr>
        <w:spacing w:after="0" w:line="240" w:lineRule="auto"/>
        <w:jc w:val="both"/>
        <w:rPr>
          <w:rFonts w:ascii="Arial" w:hAnsi="Arial" w:cs="Arial"/>
          <w:bCs/>
          <w:sz w:val="20"/>
          <w:szCs w:val="20"/>
        </w:rPr>
      </w:pPr>
      <w:r w:rsidRPr="001B2F5B">
        <w:rPr>
          <w:rFonts w:ascii="Arial" w:hAnsi="Arial" w:cs="Arial"/>
          <w:bCs/>
          <w:sz w:val="20"/>
          <w:szCs w:val="20"/>
        </w:rPr>
        <w:t xml:space="preserve">4. </w:t>
      </w:r>
      <w:r>
        <w:rPr>
          <w:rFonts w:ascii="Arial" w:hAnsi="Arial" w:cs="Arial"/>
          <w:bCs/>
          <w:sz w:val="20"/>
          <w:szCs w:val="20"/>
        </w:rPr>
        <w:t xml:space="preserve"> </w:t>
      </w:r>
      <w:r w:rsidRPr="001B2F5B">
        <w:rPr>
          <w:rFonts w:ascii="Arial" w:hAnsi="Arial" w:cs="Arial"/>
          <w:bCs/>
          <w:sz w:val="20"/>
          <w:szCs w:val="20"/>
        </w:rPr>
        <w:t>Technology Dimension</w:t>
      </w:r>
    </w:p>
    <w:p w:rsidR="001B2F5B" w:rsidRDefault="001B2F5B" w:rsidP="001B2F5B">
      <w:pPr>
        <w:spacing w:after="0" w:line="240" w:lineRule="auto"/>
        <w:ind w:left="284"/>
        <w:jc w:val="both"/>
        <w:rPr>
          <w:rFonts w:ascii="Arial" w:hAnsi="Arial" w:cs="Arial"/>
          <w:bCs/>
          <w:sz w:val="20"/>
          <w:szCs w:val="20"/>
        </w:rPr>
      </w:pPr>
      <w:r w:rsidRPr="001B2F5B">
        <w:rPr>
          <w:rFonts w:ascii="Arial" w:hAnsi="Arial" w:cs="Arial"/>
          <w:bCs/>
          <w:sz w:val="20"/>
          <w:szCs w:val="20"/>
        </w:rPr>
        <w:t>Technology is an important supporting factor in increasing organizational efficiency and competitiveness. Factors such as technological innovation, technological sustainability, digital data utilization, and appropriate use of technology all play a role in driving digital transformation and increasing organizational capabilities in the industrial era 4.0. ([1]–[4], [17], [18], [20]–[31], [33])</w:t>
      </w:r>
    </w:p>
    <w:p w:rsidR="001B2F5B" w:rsidRPr="001B2F5B" w:rsidRDefault="001B2F5B" w:rsidP="001B2F5B">
      <w:pPr>
        <w:spacing w:after="0" w:line="240" w:lineRule="auto"/>
        <w:jc w:val="both"/>
        <w:rPr>
          <w:rFonts w:ascii="Arial" w:hAnsi="Arial" w:cs="Arial"/>
          <w:bCs/>
          <w:sz w:val="20"/>
          <w:szCs w:val="20"/>
        </w:rPr>
      </w:pPr>
      <w:r w:rsidRPr="001B2F5B">
        <w:rPr>
          <w:rFonts w:ascii="Arial" w:hAnsi="Arial" w:cs="Arial"/>
          <w:bCs/>
          <w:sz w:val="20"/>
          <w:szCs w:val="20"/>
        </w:rPr>
        <w:t>5. Organizational Dimension</w:t>
      </w:r>
    </w:p>
    <w:p w:rsidR="001B2F5B" w:rsidRDefault="001B2F5B" w:rsidP="001B2F5B">
      <w:pPr>
        <w:spacing w:after="0" w:line="240" w:lineRule="auto"/>
        <w:ind w:left="284"/>
        <w:jc w:val="both"/>
        <w:rPr>
          <w:rFonts w:ascii="Arial" w:hAnsi="Arial" w:cs="Arial"/>
          <w:bCs/>
          <w:sz w:val="20"/>
          <w:szCs w:val="20"/>
        </w:rPr>
      </w:pPr>
      <w:r w:rsidRPr="001B2F5B">
        <w:rPr>
          <w:rFonts w:ascii="Arial" w:hAnsi="Arial" w:cs="Arial"/>
          <w:bCs/>
          <w:sz w:val="20"/>
          <w:szCs w:val="20"/>
        </w:rPr>
        <w:t xml:space="preserve">The organizational dimension focuses on internal aspects such as organizational capacity, infrastructure, managerial capacity, and strategic investment, all of which support the achievement of long-term goals. Strong internal capabilities enable organizations to manage change, overcome challenges, and innovate sustainably. </w:t>
      </w:r>
    </w:p>
    <w:p w:rsidR="001B2F5B" w:rsidRDefault="001B2F5B" w:rsidP="001B2F5B">
      <w:pPr>
        <w:spacing w:after="0" w:line="240" w:lineRule="auto"/>
        <w:ind w:left="284"/>
        <w:jc w:val="both"/>
        <w:rPr>
          <w:rFonts w:ascii="Arial" w:hAnsi="Arial" w:cs="Arial"/>
          <w:bCs/>
          <w:sz w:val="20"/>
          <w:szCs w:val="20"/>
        </w:rPr>
      </w:pPr>
      <w:r w:rsidRPr="001B2F5B">
        <w:rPr>
          <w:rFonts w:ascii="Arial" w:hAnsi="Arial" w:cs="Arial"/>
          <w:bCs/>
          <w:sz w:val="20"/>
          <w:szCs w:val="20"/>
        </w:rPr>
        <w:t>([1],[2], [18],[20],[23],[26],[27],[36])</w:t>
      </w:r>
    </w:p>
    <w:p w:rsidR="001B2F5B" w:rsidRPr="001B2F5B" w:rsidRDefault="001B2F5B" w:rsidP="001B2F5B">
      <w:pPr>
        <w:spacing w:after="0" w:line="240" w:lineRule="auto"/>
        <w:jc w:val="both"/>
        <w:rPr>
          <w:rFonts w:ascii="Arial" w:hAnsi="Arial" w:cs="Arial"/>
          <w:bCs/>
          <w:sz w:val="20"/>
          <w:szCs w:val="20"/>
        </w:rPr>
      </w:pPr>
      <w:r w:rsidRPr="001B2F5B">
        <w:rPr>
          <w:rFonts w:ascii="Arial" w:hAnsi="Arial" w:cs="Arial"/>
          <w:bCs/>
          <w:sz w:val="20"/>
          <w:szCs w:val="20"/>
        </w:rPr>
        <w:t xml:space="preserve">6. </w:t>
      </w:r>
      <w:r>
        <w:rPr>
          <w:rFonts w:ascii="Arial" w:hAnsi="Arial" w:cs="Arial"/>
          <w:bCs/>
          <w:sz w:val="20"/>
          <w:szCs w:val="20"/>
        </w:rPr>
        <w:t xml:space="preserve"> </w:t>
      </w:r>
      <w:r w:rsidR="00B0441B">
        <w:rPr>
          <w:rFonts w:ascii="Arial" w:hAnsi="Arial" w:cs="Arial"/>
          <w:bCs/>
          <w:sz w:val="20"/>
          <w:szCs w:val="20"/>
        </w:rPr>
        <w:t xml:space="preserve">Human </w:t>
      </w:r>
      <w:r w:rsidRPr="001B2F5B">
        <w:rPr>
          <w:rFonts w:ascii="Arial" w:hAnsi="Arial" w:cs="Arial"/>
          <w:bCs/>
          <w:sz w:val="20"/>
          <w:szCs w:val="20"/>
        </w:rPr>
        <w:t>Dimension</w:t>
      </w:r>
    </w:p>
    <w:p w:rsidR="001B2F5B" w:rsidRDefault="001B2F5B" w:rsidP="001B2F5B">
      <w:pPr>
        <w:spacing w:after="0" w:line="240" w:lineRule="auto"/>
        <w:ind w:left="284"/>
        <w:jc w:val="both"/>
        <w:rPr>
          <w:rFonts w:ascii="Arial" w:hAnsi="Arial" w:cs="Arial"/>
          <w:bCs/>
          <w:sz w:val="20"/>
          <w:szCs w:val="20"/>
        </w:rPr>
      </w:pPr>
      <w:r w:rsidRPr="001B2F5B">
        <w:rPr>
          <w:rFonts w:ascii="Arial" w:hAnsi="Arial" w:cs="Arial"/>
          <w:bCs/>
          <w:sz w:val="20"/>
          <w:szCs w:val="20"/>
        </w:rPr>
        <w:t>The human dimension reflects the importance of developing and managing competent individuals to drive organizational performance and innovation. Important factors in this dimension include education and training, availability and quality of human resources, competence, and new knowledge. Investment in human resource development is the foundation for increasing the competitiveness of the organization in a sustainable manner. ([1],[4],[19],[22],[23],[26], [29],[31],[34])</w:t>
      </w:r>
    </w:p>
    <w:p w:rsidR="00593099" w:rsidRPr="00696D5F" w:rsidRDefault="00593099" w:rsidP="00696D5F">
      <w:pPr>
        <w:spacing w:after="0" w:line="240" w:lineRule="auto"/>
        <w:jc w:val="both"/>
        <w:rPr>
          <w:rFonts w:ascii="Arial" w:hAnsi="Arial" w:cs="Arial"/>
          <w:bCs/>
          <w:sz w:val="20"/>
          <w:szCs w:val="20"/>
        </w:rPr>
      </w:pPr>
    </w:p>
    <w:p w:rsidR="003C67CE" w:rsidRPr="005F1C20" w:rsidRDefault="003C67CE" w:rsidP="003C67CE">
      <w:pPr>
        <w:spacing w:after="0" w:line="240" w:lineRule="auto"/>
        <w:rPr>
          <w:rFonts w:ascii="Arial" w:hAnsi="Arial" w:cs="Arial"/>
          <w:b/>
          <w:bCs/>
          <w:color w:val="1F4E79"/>
          <w:sz w:val="20"/>
          <w:szCs w:val="20"/>
          <w:lang w:val="id-ID"/>
        </w:rPr>
      </w:pPr>
      <w:r w:rsidRPr="005F1C20">
        <w:rPr>
          <w:rFonts w:ascii="Arial" w:hAnsi="Arial" w:cs="Arial"/>
          <w:b/>
          <w:bCs/>
          <w:color w:val="1F4E79"/>
          <w:sz w:val="20"/>
          <w:szCs w:val="20"/>
          <w:lang w:val="id-ID"/>
        </w:rPr>
        <w:t>CONCLUSION</w:t>
      </w:r>
    </w:p>
    <w:p w:rsidR="003C67CE" w:rsidRDefault="00B0441B" w:rsidP="00B0441B">
      <w:pPr>
        <w:spacing w:after="0" w:line="240" w:lineRule="auto"/>
        <w:ind w:firstLine="567"/>
        <w:jc w:val="both"/>
        <w:rPr>
          <w:rFonts w:ascii="Arial" w:hAnsi="Arial" w:cs="Arial"/>
          <w:sz w:val="20"/>
          <w:szCs w:val="20"/>
        </w:rPr>
      </w:pPr>
      <w:r w:rsidRPr="00B0441B">
        <w:rPr>
          <w:rFonts w:ascii="Arial" w:hAnsi="Arial" w:cs="Arial"/>
          <w:sz w:val="20"/>
          <w:szCs w:val="20"/>
          <w:lang w:val="id-ID"/>
        </w:rPr>
        <w:t>Literature search related to sustainable competitiveness through community empowerment using a search on the Scopus database did not find any direct connection with SMEs. So the discussion related to "Sustainable Competitiveness of SMEs" and "Empowerment of SMEs Community" has its own context. If traced further from the keywords used, these two discussions are related but do not have a direct connection (Figure 5).</w:t>
      </w:r>
    </w:p>
    <w:p w:rsidR="00B0441B" w:rsidRDefault="00B0441B" w:rsidP="00B0441B">
      <w:pPr>
        <w:spacing w:after="0" w:line="240" w:lineRule="auto"/>
        <w:ind w:firstLine="567"/>
        <w:jc w:val="both"/>
        <w:rPr>
          <w:rFonts w:ascii="Arial" w:hAnsi="Arial" w:cs="Arial"/>
          <w:sz w:val="20"/>
          <w:szCs w:val="20"/>
        </w:rPr>
      </w:pPr>
      <w:r w:rsidRPr="00B0441B">
        <w:rPr>
          <w:rFonts w:ascii="Arial" w:hAnsi="Arial" w:cs="Arial"/>
          <w:sz w:val="20"/>
          <w:szCs w:val="20"/>
        </w:rPr>
        <w:t>Research trends related to "Sustainable Competitiveness of SMEs" and "Community Empowerment in SMEs" in the last 4 years, namely 2021-2024, have seen a significant increase. For the trend in 2025, further conclusions cannot be drawn because the data in writing this article was last taken on March 5, 2025. In the Co-Occurrence analysis, the keywords do not yet have a strong interconnection from the k</w:t>
      </w:r>
      <w:r>
        <w:rPr>
          <w:rFonts w:ascii="Arial" w:hAnsi="Arial" w:cs="Arial"/>
          <w:sz w:val="20"/>
          <w:szCs w:val="20"/>
        </w:rPr>
        <w:t xml:space="preserve">eywords "Community Empowerment" </w:t>
      </w:r>
      <w:r w:rsidRPr="00B0441B">
        <w:rPr>
          <w:rFonts w:ascii="Arial" w:hAnsi="Arial" w:cs="Arial"/>
          <w:sz w:val="20"/>
          <w:szCs w:val="20"/>
        </w:rPr>
        <w:t>and "Sustainable Competitiveness", this shows that these concepts have not been widely discussed together, where community empowerment in the context of the social dimension has not been given much attention in creating sustainable competitiveness in SMEs.</w:t>
      </w:r>
    </w:p>
    <w:p w:rsidR="00B0441B" w:rsidRPr="00B0441B" w:rsidRDefault="00B0441B" w:rsidP="00B0441B">
      <w:pPr>
        <w:spacing w:after="0" w:line="240" w:lineRule="auto"/>
        <w:ind w:firstLine="567"/>
        <w:jc w:val="both"/>
        <w:rPr>
          <w:rFonts w:ascii="Arial" w:hAnsi="Arial" w:cs="Arial"/>
          <w:sz w:val="20"/>
          <w:szCs w:val="20"/>
        </w:rPr>
      </w:pPr>
      <w:r w:rsidRPr="00B0441B">
        <w:rPr>
          <w:rFonts w:ascii="Arial" w:hAnsi="Arial" w:cs="Arial"/>
          <w:sz w:val="20"/>
          <w:szCs w:val="20"/>
        </w:rPr>
        <w:t>Community empowerment studies in improving the sustainability of SMEs competitiveness need to be explored further where the impact of this community empowerment will affect the resilience of SMEs and the welfare of the surrounding community in the SMEs environment indirectly will also increase national development, especially for developing countries. This is in line with the results of the key success factors, 6 dimensions must be considered so that SMEs have sustainable competitiveness, namely the dimensions of Economy, Social, Environment, Technology, Organization, and Human Resources.</w:t>
      </w:r>
    </w:p>
    <w:p w:rsidR="00844432" w:rsidRDefault="00844432" w:rsidP="003C67CE">
      <w:pPr>
        <w:spacing w:after="0" w:line="240" w:lineRule="auto"/>
        <w:jc w:val="both"/>
        <w:rPr>
          <w:rFonts w:ascii="Arial" w:hAnsi="Arial" w:cs="Arial"/>
          <w:b/>
          <w:color w:val="1F4E79"/>
          <w:sz w:val="20"/>
          <w:szCs w:val="20"/>
        </w:rPr>
      </w:pPr>
    </w:p>
    <w:p w:rsidR="003C67CE" w:rsidRPr="005F1C20" w:rsidRDefault="003C67CE" w:rsidP="003C67CE">
      <w:pPr>
        <w:spacing w:after="0" w:line="240" w:lineRule="auto"/>
        <w:jc w:val="both"/>
        <w:rPr>
          <w:rFonts w:ascii="Arial" w:hAnsi="Arial" w:cs="Arial"/>
          <w:b/>
          <w:color w:val="1F4E79"/>
          <w:sz w:val="20"/>
          <w:szCs w:val="20"/>
        </w:rPr>
      </w:pPr>
      <w:r w:rsidRPr="005F1C20">
        <w:rPr>
          <w:rFonts w:ascii="Arial" w:hAnsi="Arial" w:cs="Arial"/>
          <w:b/>
          <w:color w:val="1F4E79"/>
          <w:sz w:val="20"/>
          <w:szCs w:val="20"/>
        </w:rPr>
        <w:t>ACKNOWLEDGMENT</w:t>
      </w:r>
    </w:p>
    <w:p w:rsidR="003C67CE" w:rsidRPr="006C4769" w:rsidRDefault="00B0441B" w:rsidP="003C67CE">
      <w:pPr>
        <w:spacing w:after="0" w:line="240" w:lineRule="auto"/>
        <w:ind w:firstLine="567"/>
        <w:jc w:val="both"/>
        <w:rPr>
          <w:rFonts w:ascii="Arial" w:hAnsi="Arial" w:cs="Arial"/>
          <w:sz w:val="20"/>
          <w:szCs w:val="20"/>
        </w:rPr>
      </w:pPr>
      <w:r w:rsidRPr="00B0441B">
        <w:rPr>
          <w:rFonts w:ascii="Arial" w:hAnsi="Arial" w:cs="Arial"/>
          <w:sz w:val="20"/>
          <w:szCs w:val="20"/>
        </w:rPr>
        <w:t>This study article is supported by funding assistance for further studies from Mercu Buana University in completing Doc</w:t>
      </w:r>
      <w:r>
        <w:rPr>
          <w:rFonts w:ascii="Arial" w:hAnsi="Arial" w:cs="Arial"/>
          <w:sz w:val="20"/>
          <w:szCs w:val="20"/>
        </w:rPr>
        <w:t>toral studies at IPB University</w:t>
      </w:r>
      <w:r w:rsidR="003C67CE" w:rsidRPr="006C4769">
        <w:rPr>
          <w:rFonts w:ascii="Arial" w:hAnsi="Arial" w:cs="Arial"/>
          <w:sz w:val="20"/>
          <w:szCs w:val="20"/>
        </w:rPr>
        <w:t>.</w:t>
      </w:r>
    </w:p>
    <w:p w:rsidR="003C67CE" w:rsidRPr="00ED2688" w:rsidRDefault="003C67CE" w:rsidP="003C67CE">
      <w:pPr>
        <w:spacing w:after="0" w:line="240" w:lineRule="auto"/>
        <w:ind w:firstLine="567"/>
        <w:jc w:val="both"/>
        <w:rPr>
          <w:rFonts w:ascii="Arial" w:hAnsi="Arial" w:cs="Arial"/>
          <w:sz w:val="20"/>
          <w:szCs w:val="20"/>
          <w:lang w:val="id-ID"/>
        </w:rPr>
      </w:pPr>
    </w:p>
    <w:p w:rsidR="003C67CE" w:rsidRDefault="003C67CE" w:rsidP="003C67CE">
      <w:pPr>
        <w:spacing w:after="0" w:line="240" w:lineRule="auto"/>
        <w:rPr>
          <w:rStyle w:val="apple-style-span"/>
          <w:rFonts w:ascii="Arial" w:hAnsi="Arial" w:cs="Arial"/>
          <w:b/>
          <w:color w:val="1F4E79"/>
          <w:sz w:val="20"/>
          <w:szCs w:val="20"/>
          <w:lang w:val="pt-BR"/>
        </w:rPr>
      </w:pPr>
      <w:r w:rsidRPr="005F1C20">
        <w:rPr>
          <w:rStyle w:val="apple-style-span"/>
          <w:rFonts w:ascii="Arial" w:hAnsi="Arial" w:cs="Arial"/>
          <w:b/>
          <w:color w:val="1F4E79"/>
          <w:sz w:val="20"/>
          <w:szCs w:val="20"/>
          <w:lang w:val="pt-BR"/>
        </w:rPr>
        <w:t>REFERENCES</w:t>
      </w:r>
    </w:p>
    <w:p w:rsidR="00F34F99" w:rsidRDefault="00F34F99" w:rsidP="003C67CE">
      <w:pPr>
        <w:spacing w:after="0" w:line="240" w:lineRule="auto"/>
        <w:rPr>
          <w:rStyle w:val="apple-style-span"/>
          <w:rFonts w:ascii="Arial" w:hAnsi="Arial" w:cs="Arial"/>
          <w:b/>
          <w:color w:val="1F4E79"/>
          <w:sz w:val="20"/>
          <w:szCs w:val="20"/>
          <w:lang w:val="pt-BR"/>
        </w:rPr>
      </w:pPr>
    </w:p>
    <w:p w:rsidR="008516C5" w:rsidRPr="008516C5" w:rsidRDefault="00B0441B" w:rsidP="00F34F99">
      <w:pPr>
        <w:widowControl w:val="0"/>
        <w:autoSpaceDE w:val="0"/>
        <w:autoSpaceDN w:val="0"/>
        <w:adjustRightInd w:val="0"/>
        <w:spacing w:after="0" w:line="240" w:lineRule="auto"/>
        <w:ind w:left="640" w:hanging="640"/>
        <w:jc w:val="both"/>
        <w:rPr>
          <w:rFonts w:ascii="Arial" w:hAnsi="Arial" w:cs="Arial"/>
          <w:noProof/>
          <w:sz w:val="20"/>
          <w:szCs w:val="24"/>
        </w:rPr>
      </w:pPr>
      <w:r>
        <w:rPr>
          <w:rFonts w:ascii="Arial" w:hAnsi="Arial" w:cs="Arial"/>
          <w:b/>
          <w:color w:val="1F4E79"/>
          <w:sz w:val="20"/>
          <w:szCs w:val="20"/>
          <w:lang w:val="pt-BR"/>
        </w:rPr>
        <w:fldChar w:fldCharType="begin" w:fldLock="1"/>
      </w:r>
      <w:r>
        <w:rPr>
          <w:rFonts w:ascii="Arial" w:hAnsi="Arial" w:cs="Arial"/>
          <w:b/>
          <w:color w:val="1F4E79"/>
          <w:sz w:val="20"/>
          <w:szCs w:val="20"/>
          <w:lang w:val="pt-BR"/>
        </w:rPr>
        <w:instrText xml:space="preserve">ADDIN Mendeley Bibliography CSL_BIBLIOGRAPHY </w:instrText>
      </w:r>
      <w:r>
        <w:rPr>
          <w:rFonts w:ascii="Arial" w:hAnsi="Arial" w:cs="Arial"/>
          <w:b/>
          <w:color w:val="1F4E79"/>
          <w:sz w:val="20"/>
          <w:szCs w:val="20"/>
          <w:lang w:val="pt-BR"/>
        </w:rPr>
        <w:fldChar w:fldCharType="separate"/>
      </w:r>
      <w:r w:rsidR="008516C5" w:rsidRPr="008516C5">
        <w:rPr>
          <w:rFonts w:ascii="Arial" w:hAnsi="Arial" w:cs="Arial"/>
          <w:noProof/>
          <w:sz w:val="20"/>
          <w:szCs w:val="24"/>
        </w:rPr>
        <w:t>[1]</w:t>
      </w:r>
      <w:r w:rsidR="008516C5" w:rsidRPr="008516C5">
        <w:rPr>
          <w:rFonts w:ascii="Arial" w:hAnsi="Arial" w:cs="Arial"/>
          <w:noProof/>
          <w:sz w:val="20"/>
          <w:szCs w:val="24"/>
        </w:rPr>
        <w:tab/>
        <w:t xml:space="preserve">B. Kahouli, A. Nafla, and N. Chaaben, “Exploring the Influence of the Information and Communication Technology Dimensions on the Sustainability of Competitiveness in Small and Medium-sized Enterprises in the Hail Region,” </w:t>
      </w:r>
      <w:r w:rsidR="008516C5" w:rsidRPr="008516C5">
        <w:rPr>
          <w:rFonts w:ascii="Arial" w:hAnsi="Arial" w:cs="Arial"/>
          <w:i/>
          <w:iCs/>
          <w:noProof/>
          <w:sz w:val="20"/>
          <w:szCs w:val="24"/>
        </w:rPr>
        <w:t>Sustainability</w:t>
      </w:r>
      <w:r w:rsidR="008516C5" w:rsidRPr="008516C5">
        <w:rPr>
          <w:rFonts w:ascii="Arial" w:hAnsi="Arial" w:cs="Arial"/>
          <w:noProof/>
          <w:sz w:val="20"/>
          <w:szCs w:val="24"/>
        </w:rPr>
        <w:t xml:space="preserve">, vol. 15, no. 16325, pp. 1–19, 2023, doi: </w:t>
      </w:r>
      <w:hyperlink r:id="rId25" w:history="1">
        <w:r w:rsidR="008516C5" w:rsidRPr="00F34F99">
          <w:rPr>
            <w:rStyle w:val="Hyperlink"/>
            <w:rFonts w:ascii="Arial" w:hAnsi="Arial" w:cs="Arial"/>
            <w:noProof/>
            <w:sz w:val="20"/>
            <w:szCs w:val="24"/>
          </w:rPr>
          <w:t>https://doi.org/10.3390/su152316325</w:t>
        </w:r>
      </w:hyperlink>
      <w:r w:rsidR="008516C5" w:rsidRPr="008516C5">
        <w:rPr>
          <w:rFonts w:ascii="Arial" w:hAnsi="Arial" w:cs="Arial"/>
          <w:noProof/>
          <w:sz w:val="20"/>
          <w:szCs w:val="24"/>
        </w:rPr>
        <w:t>.</w:t>
      </w:r>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[2]</w:t>
      </w:r>
      <w:r w:rsidRPr="008516C5">
        <w:rPr>
          <w:rFonts w:ascii="Arial" w:hAnsi="Arial" w:cs="Arial"/>
          <w:noProof/>
          <w:sz w:val="20"/>
          <w:szCs w:val="24"/>
        </w:rPr>
        <w:tab/>
        <w:t xml:space="preserve">J. M. Sohu </w:t>
      </w:r>
      <w:r w:rsidRPr="008516C5">
        <w:rPr>
          <w:rFonts w:ascii="Arial" w:hAnsi="Arial" w:cs="Arial"/>
          <w:i/>
          <w:iCs/>
          <w:noProof/>
          <w:sz w:val="20"/>
          <w:szCs w:val="24"/>
        </w:rPr>
        <w:t>et al.</w:t>
      </w:r>
      <w:r w:rsidRPr="008516C5">
        <w:rPr>
          <w:rFonts w:ascii="Arial" w:hAnsi="Arial" w:cs="Arial"/>
          <w:noProof/>
          <w:sz w:val="20"/>
          <w:szCs w:val="24"/>
        </w:rPr>
        <w:t xml:space="preserve">, “Driving sustainable competitiveness : unveiling the nexus of green intellectual capital and environmental regulations on greening SME performance,” </w:t>
      </w:r>
      <w:r w:rsidRPr="008516C5">
        <w:rPr>
          <w:rFonts w:ascii="Arial" w:hAnsi="Arial" w:cs="Arial"/>
          <w:i/>
          <w:iCs/>
          <w:noProof/>
          <w:sz w:val="20"/>
          <w:szCs w:val="24"/>
        </w:rPr>
        <w:t>Front. Environ. Sci.</w:t>
      </w:r>
      <w:r w:rsidRPr="008516C5">
        <w:rPr>
          <w:rFonts w:ascii="Arial" w:hAnsi="Arial" w:cs="Arial"/>
          <w:noProof/>
          <w:sz w:val="20"/>
          <w:szCs w:val="24"/>
        </w:rPr>
        <w:t xml:space="preserve">, no. February, pp. 1–13, 2024, doi: </w:t>
      </w:r>
      <w:hyperlink r:id="rId26" w:history="1">
        <w:r w:rsidRPr="00F34F99">
          <w:rPr>
            <w:rStyle w:val="Hyperlink"/>
            <w:rFonts w:ascii="Arial" w:hAnsi="Arial" w:cs="Arial"/>
            <w:noProof/>
            <w:sz w:val="20"/>
            <w:szCs w:val="24"/>
          </w:rPr>
          <w:t>https://doi.org/10.3389/fenvs.2024.1348994.</w:t>
        </w:r>
      </w:hyperlink>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[3]</w:t>
      </w:r>
      <w:r w:rsidRPr="008516C5">
        <w:rPr>
          <w:rFonts w:ascii="Arial" w:hAnsi="Arial" w:cs="Arial"/>
          <w:noProof/>
          <w:sz w:val="20"/>
          <w:szCs w:val="24"/>
        </w:rPr>
        <w:tab/>
        <w:t xml:space="preserve">J. Pinedo-López, R. Baena-Navarro, Y. Carriazo-Regino, A. Urrea-Ortiz, and D. Reyes-Guevara, “Sustainability strategies: A proposal for food sector SMEs, based on the integration of life cycle assessment and ESG strategies,” </w:t>
      </w:r>
      <w:r w:rsidRPr="008516C5">
        <w:rPr>
          <w:rFonts w:ascii="Arial" w:hAnsi="Arial" w:cs="Arial"/>
          <w:i/>
          <w:iCs/>
          <w:noProof/>
          <w:sz w:val="20"/>
          <w:szCs w:val="24"/>
        </w:rPr>
        <w:t>J. Infrastructure, Policy Dev.</w:t>
      </w:r>
      <w:r w:rsidRPr="008516C5">
        <w:rPr>
          <w:rFonts w:ascii="Arial" w:hAnsi="Arial" w:cs="Arial"/>
          <w:noProof/>
          <w:sz w:val="20"/>
          <w:szCs w:val="24"/>
        </w:rPr>
        <w:t xml:space="preserve">, vol. 8, no. 12, pp. 1–30, 2024, doi: </w:t>
      </w:r>
      <w:hyperlink r:id="rId27" w:history="1">
        <w:r w:rsidRPr="00F34F99">
          <w:rPr>
            <w:rStyle w:val="Hyperlink"/>
            <w:rFonts w:ascii="Arial" w:hAnsi="Arial" w:cs="Arial"/>
            <w:noProof/>
            <w:sz w:val="20"/>
            <w:szCs w:val="24"/>
          </w:rPr>
          <w:t>https://doi.org/10.24294/jipd.v8i12.8934</w:t>
        </w:r>
      </w:hyperlink>
      <w:r w:rsidRPr="008516C5">
        <w:rPr>
          <w:rFonts w:ascii="Arial" w:hAnsi="Arial" w:cs="Arial"/>
          <w:noProof/>
          <w:sz w:val="20"/>
          <w:szCs w:val="24"/>
        </w:rPr>
        <w:t>.</w:t>
      </w:r>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[4]</w:t>
      </w:r>
      <w:r w:rsidRPr="008516C5">
        <w:rPr>
          <w:rFonts w:ascii="Arial" w:hAnsi="Arial" w:cs="Arial"/>
          <w:noProof/>
          <w:sz w:val="20"/>
          <w:szCs w:val="24"/>
        </w:rPr>
        <w:tab/>
        <w:t xml:space="preserve">G. Camelo and M. Nogueira, “The ESG Menu: Integrating Sustainable Practices in the Portuguese Agri-Food Sector,” </w:t>
      </w:r>
      <w:r w:rsidRPr="008516C5">
        <w:rPr>
          <w:rFonts w:ascii="Arial" w:hAnsi="Arial" w:cs="Arial"/>
          <w:i/>
          <w:iCs/>
          <w:noProof/>
          <w:sz w:val="20"/>
          <w:szCs w:val="24"/>
        </w:rPr>
        <w:t>Sustain.</w:t>
      </w:r>
      <w:r w:rsidRPr="008516C5">
        <w:rPr>
          <w:rFonts w:ascii="Arial" w:hAnsi="Arial" w:cs="Arial"/>
          <w:noProof/>
          <w:sz w:val="20"/>
          <w:szCs w:val="24"/>
        </w:rPr>
        <w:t xml:space="preserve">, vol. 16, no. 11, 2024, doi: </w:t>
      </w:r>
      <w:hyperlink r:id="rId28" w:history="1">
        <w:r w:rsidRPr="00F34F99">
          <w:rPr>
            <w:rStyle w:val="Hyperlink"/>
            <w:rFonts w:ascii="Arial" w:hAnsi="Arial" w:cs="Arial"/>
            <w:noProof/>
            <w:sz w:val="20"/>
            <w:szCs w:val="24"/>
          </w:rPr>
          <w:t>https://doi.org/10.3390/su16114377</w:t>
        </w:r>
      </w:hyperlink>
      <w:r w:rsidRPr="008516C5">
        <w:rPr>
          <w:rFonts w:ascii="Arial" w:hAnsi="Arial" w:cs="Arial"/>
          <w:noProof/>
          <w:sz w:val="20"/>
          <w:szCs w:val="24"/>
        </w:rPr>
        <w:t>.</w:t>
      </w:r>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[5]</w:t>
      </w:r>
      <w:r w:rsidRPr="008516C5">
        <w:rPr>
          <w:rFonts w:ascii="Arial" w:hAnsi="Arial" w:cs="Arial"/>
          <w:noProof/>
          <w:sz w:val="20"/>
          <w:szCs w:val="24"/>
        </w:rPr>
        <w:tab/>
        <w:t xml:space="preserve">E. Korcsmáros and B. Csinger, “Sustainable Competitiveness in the Case of SMEs—Opportunities Provided by Social Media in an International Comparison,” </w:t>
      </w:r>
      <w:r w:rsidRPr="008516C5">
        <w:rPr>
          <w:rFonts w:ascii="Arial" w:hAnsi="Arial" w:cs="Arial"/>
          <w:i/>
          <w:iCs/>
          <w:noProof/>
          <w:sz w:val="20"/>
          <w:szCs w:val="24"/>
        </w:rPr>
        <w:t>Sustain.</w:t>
      </w:r>
      <w:r w:rsidRPr="008516C5">
        <w:rPr>
          <w:rFonts w:ascii="Arial" w:hAnsi="Arial" w:cs="Arial"/>
          <w:noProof/>
          <w:sz w:val="20"/>
          <w:szCs w:val="24"/>
        </w:rPr>
        <w:t xml:space="preserve">, vol. 14, no. 19, pp. 1–18, 2022, doi: </w:t>
      </w:r>
      <w:hyperlink r:id="rId29" w:history="1">
        <w:r w:rsidRPr="00F34F99">
          <w:rPr>
            <w:rStyle w:val="Hyperlink"/>
            <w:rFonts w:ascii="Arial" w:hAnsi="Arial" w:cs="Arial"/>
            <w:noProof/>
            <w:sz w:val="20"/>
            <w:szCs w:val="24"/>
          </w:rPr>
          <w:t>https://doi.org/10.3390/su141912505</w:t>
        </w:r>
      </w:hyperlink>
      <w:r w:rsidRPr="008516C5">
        <w:rPr>
          <w:rFonts w:ascii="Arial" w:hAnsi="Arial" w:cs="Arial"/>
          <w:noProof/>
          <w:sz w:val="20"/>
          <w:szCs w:val="24"/>
        </w:rPr>
        <w:t>.</w:t>
      </w:r>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[6]</w:t>
      </w:r>
      <w:r w:rsidRPr="008516C5">
        <w:rPr>
          <w:rFonts w:ascii="Arial" w:hAnsi="Arial" w:cs="Arial"/>
          <w:noProof/>
          <w:sz w:val="20"/>
          <w:szCs w:val="24"/>
        </w:rPr>
        <w:tab/>
        <w:t xml:space="preserve">L. Becchetti, E. Bobbio, F. Prizia, and L. Semplici, “Going Deeper into the S of ESG: A Relational Approach to the Definition of Social Responsibility,” </w:t>
      </w:r>
      <w:r w:rsidRPr="008516C5">
        <w:rPr>
          <w:rFonts w:ascii="Arial" w:hAnsi="Arial" w:cs="Arial"/>
          <w:i/>
          <w:iCs/>
          <w:noProof/>
          <w:sz w:val="20"/>
          <w:szCs w:val="24"/>
        </w:rPr>
        <w:t>Sustain.</w:t>
      </w:r>
      <w:r w:rsidRPr="008516C5">
        <w:rPr>
          <w:rFonts w:ascii="Arial" w:hAnsi="Arial" w:cs="Arial"/>
          <w:noProof/>
          <w:sz w:val="20"/>
          <w:szCs w:val="24"/>
        </w:rPr>
        <w:t xml:space="preserve">, vol. 14, no. 15, pp. 1–22, 2022, doi: </w:t>
      </w:r>
      <w:hyperlink r:id="rId30" w:history="1">
        <w:r w:rsidRPr="00F34F99">
          <w:rPr>
            <w:rStyle w:val="Hyperlink"/>
            <w:rFonts w:ascii="Arial" w:hAnsi="Arial" w:cs="Arial"/>
            <w:noProof/>
            <w:sz w:val="20"/>
            <w:szCs w:val="24"/>
          </w:rPr>
          <w:t>https://doi.org/10.3390/su14159668.</w:t>
        </w:r>
      </w:hyperlink>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[7]</w:t>
      </w:r>
      <w:r w:rsidRPr="008516C5">
        <w:rPr>
          <w:rFonts w:ascii="Arial" w:hAnsi="Arial" w:cs="Arial"/>
          <w:noProof/>
          <w:sz w:val="20"/>
          <w:szCs w:val="24"/>
        </w:rPr>
        <w:tab/>
        <w:t xml:space="preserve">M. Hermansyah, I. Santoso, S. Wijana, Sucipto, and A. Fudholi, “Implementation of Participatory Rural Appraisal (PRA) in empowering gaplek SMEs using Partial Least Square (PLS) analysis,” </w:t>
      </w:r>
      <w:r w:rsidRPr="008516C5">
        <w:rPr>
          <w:rFonts w:ascii="Arial" w:hAnsi="Arial" w:cs="Arial"/>
          <w:i/>
          <w:iCs/>
          <w:noProof/>
          <w:sz w:val="20"/>
          <w:szCs w:val="24"/>
        </w:rPr>
        <w:t>Int. J. Sustain. Dev. Plan.</w:t>
      </w:r>
      <w:r w:rsidRPr="008516C5">
        <w:rPr>
          <w:rFonts w:ascii="Arial" w:hAnsi="Arial" w:cs="Arial"/>
          <w:noProof/>
          <w:sz w:val="20"/>
          <w:szCs w:val="24"/>
        </w:rPr>
        <w:t xml:space="preserve">, vol. 16, no. 3, pp. 543–550, 2021, doi: </w:t>
      </w:r>
      <w:hyperlink r:id="rId31" w:history="1">
        <w:r w:rsidRPr="00F34F99">
          <w:rPr>
            <w:rStyle w:val="Hyperlink"/>
            <w:rFonts w:ascii="Arial" w:hAnsi="Arial" w:cs="Arial"/>
            <w:noProof/>
            <w:sz w:val="20"/>
            <w:szCs w:val="24"/>
          </w:rPr>
          <w:t>https://doi.org/10.18280/ijsdp.160315</w:t>
        </w:r>
      </w:hyperlink>
      <w:r w:rsidRPr="008516C5">
        <w:rPr>
          <w:rFonts w:ascii="Arial" w:hAnsi="Arial" w:cs="Arial"/>
          <w:noProof/>
          <w:sz w:val="20"/>
          <w:szCs w:val="24"/>
        </w:rPr>
        <w:t>.</w:t>
      </w:r>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[8]</w:t>
      </w:r>
      <w:r w:rsidRPr="008516C5">
        <w:rPr>
          <w:rFonts w:ascii="Arial" w:hAnsi="Arial" w:cs="Arial"/>
          <w:noProof/>
          <w:sz w:val="20"/>
          <w:szCs w:val="24"/>
        </w:rPr>
        <w:tab/>
        <w:t xml:space="preserve">H. Azwar, M. H. Hanafiah, A. A. Ghani, M. Azinuddin, and N. S. M. Shariffuddin, “Community-Based Tourism (Cbt) Moving Forward: Penta Helix Development Strategy Through Community Local Wisdom Empowerment,” </w:t>
      </w:r>
      <w:r w:rsidRPr="008516C5">
        <w:rPr>
          <w:rFonts w:ascii="Arial" w:hAnsi="Arial" w:cs="Arial"/>
          <w:i/>
          <w:iCs/>
          <w:noProof/>
          <w:sz w:val="20"/>
          <w:szCs w:val="24"/>
        </w:rPr>
        <w:t>Plan. Malaysia</w:t>
      </w:r>
      <w:r w:rsidRPr="008516C5">
        <w:rPr>
          <w:rFonts w:ascii="Arial" w:hAnsi="Arial" w:cs="Arial"/>
          <w:noProof/>
          <w:sz w:val="20"/>
          <w:szCs w:val="24"/>
        </w:rPr>
        <w:t xml:space="preserve">, vol. 21, no. 1, pp. 72–88, 2023, doi: </w:t>
      </w:r>
      <w:hyperlink r:id="rId32" w:history="1">
        <w:r w:rsidRPr="00F34F99">
          <w:rPr>
            <w:rStyle w:val="Hyperlink"/>
            <w:rFonts w:ascii="Arial" w:hAnsi="Arial" w:cs="Arial"/>
            <w:noProof/>
            <w:sz w:val="20"/>
            <w:szCs w:val="24"/>
          </w:rPr>
          <w:t>https://doi.org/10.21837/pm.v21i25.1225</w:t>
        </w:r>
      </w:hyperlink>
      <w:r w:rsidRPr="008516C5">
        <w:rPr>
          <w:rFonts w:ascii="Arial" w:hAnsi="Arial" w:cs="Arial"/>
          <w:noProof/>
          <w:sz w:val="20"/>
          <w:szCs w:val="24"/>
        </w:rPr>
        <w:t>.</w:t>
      </w:r>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[9]</w:t>
      </w:r>
      <w:r w:rsidRPr="008516C5">
        <w:rPr>
          <w:rFonts w:ascii="Arial" w:hAnsi="Arial" w:cs="Arial"/>
          <w:noProof/>
          <w:sz w:val="20"/>
          <w:szCs w:val="24"/>
        </w:rPr>
        <w:tab/>
        <w:t xml:space="preserve">I. Imaniah, M. Shahreza, and E. Purwanto, “Effective Development communication strategies for enhancing MSME empowerment in the Cikadu Tourism Village, Tanjung Lesung,” </w:t>
      </w:r>
      <w:r w:rsidRPr="008516C5">
        <w:rPr>
          <w:rFonts w:ascii="Arial" w:hAnsi="Arial" w:cs="Arial"/>
          <w:i/>
          <w:iCs/>
          <w:noProof/>
          <w:sz w:val="20"/>
          <w:szCs w:val="24"/>
        </w:rPr>
        <w:t>E3S Web Conf.</w:t>
      </w:r>
      <w:r w:rsidRPr="008516C5">
        <w:rPr>
          <w:rFonts w:ascii="Arial" w:hAnsi="Arial" w:cs="Arial"/>
          <w:noProof/>
          <w:sz w:val="20"/>
          <w:szCs w:val="24"/>
        </w:rPr>
        <w:t xml:space="preserve">, vol. 592, pp. 1–16, 2024, doi: </w:t>
      </w:r>
      <w:hyperlink r:id="rId33" w:history="1">
        <w:r w:rsidRPr="00F34F99">
          <w:rPr>
            <w:rStyle w:val="Hyperlink"/>
            <w:rFonts w:ascii="Arial" w:hAnsi="Arial" w:cs="Arial"/>
            <w:noProof/>
            <w:sz w:val="20"/>
            <w:szCs w:val="24"/>
          </w:rPr>
          <w:t>https://doi.org/10.1051/e3sconf/202459206013</w:t>
        </w:r>
      </w:hyperlink>
      <w:r w:rsidRPr="008516C5">
        <w:rPr>
          <w:rFonts w:ascii="Arial" w:hAnsi="Arial" w:cs="Arial"/>
          <w:noProof/>
          <w:sz w:val="20"/>
          <w:szCs w:val="24"/>
        </w:rPr>
        <w:t>.</w:t>
      </w:r>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[10]</w:t>
      </w:r>
      <w:r w:rsidRPr="008516C5">
        <w:rPr>
          <w:rFonts w:ascii="Arial" w:hAnsi="Arial" w:cs="Arial"/>
          <w:noProof/>
          <w:sz w:val="20"/>
          <w:szCs w:val="24"/>
        </w:rPr>
        <w:tab/>
        <w:t xml:space="preserve">S. Gouveia, D. H. de la Iglesia, J. L. Abrantes, and A. J. López Rivero, “Transforming Strategy and Value Creation Through Digitalization?,” </w:t>
      </w:r>
      <w:r w:rsidRPr="008516C5">
        <w:rPr>
          <w:rFonts w:ascii="Arial" w:hAnsi="Arial" w:cs="Arial"/>
          <w:i/>
          <w:iCs/>
          <w:noProof/>
          <w:sz w:val="20"/>
          <w:szCs w:val="24"/>
        </w:rPr>
        <w:t>Adm. Sci.</w:t>
      </w:r>
      <w:r w:rsidRPr="008516C5">
        <w:rPr>
          <w:rFonts w:ascii="Arial" w:hAnsi="Arial" w:cs="Arial"/>
          <w:noProof/>
          <w:sz w:val="20"/>
          <w:szCs w:val="24"/>
        </w:rPr>
        <w:t xml:space="preserve">, vol. 14, no. 11, 2024, doi: </w:t>
      </w:r>
      <w:hyperlink r:id="rId34" w:history="1">
        <w:r w:rsidRPr="00F34F99">
          <w:rPr>
            <w:rStyle w:val="Hyperlink"/>
            <w:rFonts w:ascii="Arial" w:hAnsi="Arial" w:cs="Arial"/>
            <w:noProof/>
            <w:sz w:val="20"/>
            <w:szCs w:val="24"/>
          </w:rPr>
          <w:t>https://doi.org/10.3390/admsci14110307</w:t>
        </w:r>
      </w:hyperlink>
      <w:r w:rsidRPr="008516C5">
        <w:rPr>
          <w:rFonts w:ascii="Arial" w:hAnsi="Arial" w:cs="Arial"/>
          <w:noProof/>
          <w:sz w:val="20"/>
          <w:szCs w:val="24"/>
        </w:rPr>
        <w:t>.</w:t>
      </w:r>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[11]</w:t>
      </w:r>
      <w:r w:rsidRPr="008516C5">
        <w:rPr>
          <w:rFonts w:ascii="Arial" w:hAnsi="Arial" w:cs="Arial"/>
          <w:noProof/>
          <w:sz w:val="20"/>
          <w:szCs w:val="24"/>
        </w:rPr>
        <w:tab/>
        <w:t xml:space="preserve">N. J. van Eck and L. Waltman, “Software survey: VOSviewer, a Computer Program for Bibliometric Mapping,” </w:t>
      </w:r>
      <w:r w:rsidRPr="008516C5">
        <w:rPr>
          <w:rFonts w:ascii="Arial" w:hAnsi="Arial" w:cs="Arial"/>
          <w:i/>
          <w:iCs/>
          <w:noProof/>
          <w:sz w:val="20"/>
          <w:szCs w:val="24"/>
        </w:rPr>
        <w:t>Scientometrics</w:t>
      </w:r>
      <w:r w:rsidRPr="008516C5">
        <w:rPr>
          <w:rFonts w:ascii="Arial" w:hAnsi="Arial" w:cs="Arial"/>
          <w:noProof/>
          <w:sz w:val="20"/>
          <w:szCs w:val="24"/>
        </w:rPr>
        <w:t xml:space="preserve">, vol. 84, no. 2, pp. 523–538, 2010, doi: </w:t>
      </w:r>
      <w:hyperlink r:id="rId35" w:history="1">
        <w:r w:rsidRPr="00F34F99">
          <w:rPr>
            <w:rStyle w:val="Hyperlink"/>
            <w:rFonts w:ascii="Arial" w:hAnsi="Arial" w:cs="Arial"/>
            <w:noProof/>
            <w:sz w:val="20"/>
            <w:szCs w:val="24"/>
          </w:rPr>
          <w:t>https://doi.org/10.1007/s11192-009-0146-3.</w:t>
        </w:r>
      </w:hyperlink>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[12]</w:t>
      </w:r>
      <w:r w:rsidRPr="008516C5">
        <w:rPr>
          <w:rFonts w:ascii="Arial" w:hAnsi="Arial" w:cs="Arial"/>
          <w:noProof/>
          <w:sz w:val="20"/>
          <w:szCs w:val="24"/>
        </w:rPr>
        <w:tab/>
        <w:t xml:space="preserve">V. Mishra and M. P. Mishra, “Prisma for Review of Management Literature – Method, Merits, and Limitations – an Academic Review,” </w:t>
      </w:r>
      <w:r w:rsidRPr="008516C5">
        <w:rPr>
          <w:rFonts w:ascii="Arial" w:hAnsi="Arial" w:cs="Arial"/>
          <w:i/>
          <w:iCs/>
          <w:noProof/>
          <w:sz w:val="20"/>
          <w:szCs w:val="24"/>
        </w:rPr>
        <w:t>Rev. Manag. Lit.</w:t>
      </w:r>
      <w:r w:rsidRPr="008516C5">
        <w:rPr>
          <w:rFonts w:ascii="Arial" w:hAnsi="Arial" w:cs="Arial"/>
          <w:noProof/>
          <w:sz w:val="20"/>
          <w:szCs w:val="24"/>
        </w:rPr>
        <w:t xml:space="preserve">, vol. 2, pp. 125–136, 2023, doi: </w:t>
      </w:r>
      <w:hyperlink r:id="rId36" w:history="1">
        <w:r w:rsidRPr="00F34F99">
          <w:rPr>
            <w:rStyle w:val="Hyperlink"/>
            <w:rFonts w:ascii="Arial" w:hAnsi="Arial" w:cs="Arial"/>
            <w:noProof/>
            <w:sz w:val="20"/>
            <w:szCs w:val="24"/>
          </w:rPr>
          <w:t>https://doi.org/10.1108/s2754-586520230000002007</w:t>
        </w:r>
      </w:hyperlink>
      <w:r w:rsidRPr="008516C5">
        <w:rPr>
          <w:rFonts w:ascii="Arial" w:hAnsi="Arial" w:cs="Arial"/>
          <w:noProof/>
          <w:sz w:val="20"/>
          <w:szCs w:val="24"/>
        </w:rPr>
        <w:t>.</w:t>
      </w:r>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[13]</w:t>
      </w:r>
      <w:r w:rsidRPr="008516C5">
        <w:rPr>
          <w:rFonts w:ascii="Arial" w:hAnsi="Arial" w:cs="Arial"/>
          <w:noProof/>
          <w:sz w:val="20"/>
          <w:szCs w:val="24"/>
        </w:rPr>
        <w:tab/>
        <w:t xml:space="preserve">S. Kraus, M. Breier, and S. Dasí-Rodríguez, “The art of crafting a systematic literature review in entrepreneurship research,” </w:t>
      </w:r>
      <w:r w:rsidRPr="008516C5">
        <w:rPr>
          <w:rFonts w:ascii="Arial" w:hAnsi="Arial" w:cs="Arial"/>
          <w:i/>
          <w:iCs/>
          <w:noProof/>
          <w:sz w:val="20"/>
          <w:szCs w:val="24"/>
        </w:rPr>
        <w:t>Int. Entrep. Manag. J.</w:t>
      </w:r>
      <w:r w:rsidRPr="008516C5">
        <w:rPr>
          <w:rFonts w:ascii="Arial" w:hAnsi="Arial" w:cs="Arial"/>
          <w:noProof/>
          <w:sz w:val="20"/>
          <w:szCs w:val="24"/>
        </w:rPr>
        <w:t xml:space="preserve">, vol. 16, no. 3, pp. 1023–1042, 2020, doi: </w:t>
      </w:r>
      <w:hyperlink r:id="rId37" w:history="1">
        <w:r w:rsidRPr="00F34F99">
          <w:rPr>
            <w:rStyle w:val="Hyperlink"/>
            <w:rFonts w:ascii="Arial" w:hAnsi="Arial" w:cs="Arial"/>
            <w:noProof/>
            <w:sz w:val="20"/>
            <w:szCs w:val="24"/>
          </w:rPr>
          <w:t>https://doi.org/10.1007/s11365-020-00635-4</w:t>
        </w:r>
      </w:hyperlink>
      <w:r w:rsidRPr="008516C5">
        <w:rPr>
          <w:rFonts w:ascii="Arial" w:hAnsi="Arial" w:cs="Arial"/>
          <w:noProof/>
          <w:sz w:val="20"/>
          <w:szCs w:val="24"/>
        </w:rPr>
        <w:t>.</w:t>
      </w:r>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[14]</w:t>
      </w:r>
      <w:r w:rsidRPr="008516C5">
        <w:rPr>
          <w:rFonts w:ascii="Arial" w:hAnsi="Arial" w:cs="Arial"/>
          <w:noProof/>
          <w:sz w:val="20"/>
          <w:szCs w:val="24"/>
        </w:rPr>
        <w:tab/>
        <w:t xml:space="preserve">Purwowibowo, “Improving Community Welfare Through the Cultivation of Coffee: A Case Study of Bondowoso’s Coffee Republic, Indonesia,” </w:t>
      </w:r>
      <w:r w:rsidRPr="008516C5">
        <w:rPr>
          <w:rFonts w:ascii="Arial" w:hAnsi="Arial" w:cs="Arial"/>
          <w:i/>
          <w:iCs/>
          <w:noProof/>
          <w:sz w:val="20"/>
          <w:szCs w:val="24"/>
        </w:rPr>
        <w:t>Acad. J. Interdiscip. Stud.</w:t>
      </w:r>
      <w:r w:rsidRPr="008516C5">
        <w:rPr>
          <w:rFonts w:ascii="Arial" w:hAnsi="Arial" w:cs="Arial"/>
          <w:noProof/>
          <w:sz w:val="20"/>
          <w:szCs w:val="24"/>
        </w:rPr>
        <w:t xml:space="preserve">, vol. 12, no. 2, pp. 315–322, 2023, doi: </w:t>
      </w:r>
      <w:hyperlink r:id="rId38" w:history="1">
        <w:r w:rsidRPr="00F34F99">
          <w:rPr>
            <w:rStyle w:val="Hyperlink"/>
            <w:rFonts w:ascii="Arial" w:hAnsi="Arial" w:cs="Arial"/>
            <w:noProof/>
            <w:sz w:val="20"/>
            <w:szCs w:val="24"/>
          </w:rPr>
          <w:t>https://doi.org/10.36941/ajis-2023-0051.</w:t>
        </w:r>
      </w:hyperlink>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[15]</w:t>
      </w:r>
      <w:r w:rsidRPr="008516C5">
        <w:rPr>
          <w:rFonts w:ascii="Arial" w:hAnsi="Arial" w:cs="Arial"/>
          <w:noProof/>
          <w:sz w:val="20"/>
          <w:szCs w:val="24"/>
        </w:rPr>
        <w:tab/>
        <w:t xml:space="preserve">N. J. van Eck and L. Waltman, “VOSviewer Manual version 1.6.19,” </w:t>
      </w:r>
      <w:r w:rsidRPr="008516C5">
        <w:rPr>
          <w:rFonts w:ascii="Arial" w:hAnsi="Arial" w:cs="Arial"/>
          <w:i/>
          <w:iCs/>
          <w:noProof/>
          <w:sz w:val="20"/>
          <w:szCs w:val="24"/>
        </w:rPr>
        <w:t>Leiden: Univeristeit Leiden</w:t>
      </w:r>
      <w:r w:rsidRPr="008516C5">
        <w:rPr>
          <w:rFonts w:ascii="Arial" w:hAnsi="Arial" w:cs="Arial"/>
          <w:noProof/>
          <w:sz w:val="20"/>
          <w:szCs w:val="24"/>
        </w:rPr>
        <w:t xml:space="preserve">, no. January, p. 54, 2023, [Online]. Available: </w:t>
      </w:r>
      <w:hyperlink r:id="rId39" w:history="1">
        <w:r w:rsidRPr="00F34F99">
          <w:rPr>
            <w:rStyle w:val="Hyperlink"/>
            <w:rFonts w:ascii="Arial" w:hAnsi="Arial" w:cs="Arial"/>
            <w:noProof/>
            <w:sz w:val="20"/>
            <w:szCs w:val="24"/>
          </w:rPr>
          <w:t>http://www.vosviewer.com/documentation/Manual_VOSviewer_1.6.1.pdf</w:t>
        </w:r>
      </w:hyperlink>
      <w:r w:rsidRPr="008516C5">
        <w:rPr>
          <w:rFonts w:ascii="Arial" w:hAnsi="Arial" w:cs="Arial"/>
          <w:noProof/>
          <w:sz w:val="20"/>
          <w:szCs w:val="24"/>
        </w:rPr>
        <w:t>.</w:t>
      </w:r>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[16]</w:t>
      </w:r>
      <w:r w:rsidRPr="008516C5">
        <w:rPr>
          <w:rFonts w:ascii="Arial" w:hAnsi="Arial" w:cs="Arial"/>
          <w:noProof/>
          <w:sz w:val="20"/>
          <w:szCs w:val="24"/>
        </w:rPr>
        <w:tab/>
        <w:t xml:space="preserve">M. Hamdouna and M. Khmelyarchuk, “Technological Innovations Shaping Sustainable Competitiveness—A Systematic Review,” </w:t>
      </w:r>
      <w:r w:rsidRPr="008516C5">
        <w:rPr>
          <w:rFonts w:ascii="Arial" w:hAnsi="Arial" w:cs="Arial"/>
          <w:i/>
          <w:iCs/>
          <w:noProof/>
          <w:sz w:val="20"/>
          <w:szCs w:val="24"/>
        </w:rPr>
        <w:t>Sustain.</w:t>
      </w:r>
      <w:r w:rsidRPr="008516C5">
        <w:rPr>
          <w:rFonts w:ascii="Arial" w:hAnsi="Arial" w:cs="Arial"/>
          <w:noProof/>
          <w:sz w:val="20"/>
          <w:szCs w:val="24"/>
        </w:rPr>
        <w:t xml:space="preserve">, vol. 17, no. 5, 2025, doi: </w:t>
      </w:r>
      <w:hyperlink r:id="rId40" w:history="1">
        <w:r w:rsidRPr="00F34F99">
          <w:rPr>
            <w:rStyle w:val="Hyperlink"/>
            <w:rFonts w:ascii="Arial" w:hAnsi="Arial" w:cs="Arial"/>
            <w:noProof/>
            <w:sz w:val="20"/>
            <w:szCs w:val="24"/>
          </w:rPr>
          <w:t>https://doi.org/10.3390/su17051953</w:t>
        </w:r>
      </w:hyperlink>
      <w:r w:rsidRPr="008516C5">
        <w:rPr>
          <w:rFonts w:ascii="Arial" w:hAnsi="Arial" w:cs="Arial"/>
          <w:noProof/>
          <w:sz w:val="20"/>
          <w:szCs w:val="24"/>
        </w:rPr>
        <w:t>.</w:t>
      </w:r>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[17]</w:t>
      </w:r>
      <w:r w:rsidRPr="008516C5">
        <w:rPr>
          <w:rFonts w:ascii="Arial" w:hAnsi="Arial" w:cs="Arial"/>
          <w:noProof/>
          <w:sz w:val="20"/>
          <w:szCs w:val="24"/>
        </w:rPr>
        <w:tab/>
        <w:t xml:space="preserve">A. Figurek and A. Thrassou, “An Integrated Framework for Sustainable Development in Agri-Food SMEs,” </w:t>
      </w:r>
      <w:r w:rsidRPr="008516C5">
        <w:rPr>
          <w:rFonts w:ascii="Arial" w:hAnsi="Arial" w:cs="Arial"/>
          <w:i/>
          <w:iCs/>
          <w:noProof/>
          <w:sz w:val="20"/>
          <w:szCs w:val="24"/>
        </w:rPr>
        <w:t>Sustain.</w:t>
      </w:r>
      <w:r w:rsidRPr="008516C5">
        <w:rPr>
          <w:rFonts w:ascii="Arial" w:hAnsi="Arial" w:cs="Arial"/>
          <w:noProof/>
          <w:sz w:val="20"/>
          <w:szCs w:val="24"/>
        </w:rPr>
        <w:t xml:space="preserve">, vol. 15, no. 12, 2023, doi: </w:t>
      </w:r>
      <w:hyperlink r:id="rId41" w:history="1">
        <w:r w:rsidRPr="00F34F99">
          <w:rPr>
            <w:rStyle w:val="Hyperlink"/>
            <w:rFonts w:ascii="Arial" w:hAnsi="Arial" w:cs="Arial"/>
            <w:noProof/>
            <w:sz w:val="20"/>
            <w:szCs w:val="24"/>
          </w:rPr>
          <w:t>https://doi.org/10.3390/ su15129387 Academic</w:t>
        </w:r>
      </w:hyperlink>
      <w:r w:rsidRPr="008516C5">
        <w:rPr>
          <w:rFonts w:ascii="Arial" w:hAnsi="Arial" w:cs="Arial"/>
          <w:noProof/>
          <w:sz w:val="20"/>
          <w:szCs w:val="24"/>
        </w:rPr>
        <w:t>.</w:t>
      </w:r>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[18]</w:t>
      </w:r>
      <w:r w:rsidRPr="008516C5">
        <w:rPr>
          <w:rFonts w:ascii="Arial" w:hAnsi="Arial" w:cs="Arial"/>
          <w:noProof/>
          <w:sz w:val="20"/>
          <w:szCs w:val="24"/>
        </w:rPr>
        <w:tab/>
        <w:t xml:space="preserve">M. F. Islam, “Exploring key drivers of tourism sustainability practices and their impact on sustainable competitive performance in the accommodation industry,” </w:t>
      </w:r>
      <w:r w:rsidRPr="008516C5">
        <w:rPr>
          <w:rFonts w:ascii="Arial" w:hAnsi="Arial" w:cs="Arial"/>
          <w:i/>
          <w:iCs/>
          <w:noProof/>
          <w:sz w:val="20"/>
          <w:szCs w:val="24"/>
        </w:rPr>
        <w:t>Int. J. Bus. Ecosyst. Strateg.</w:t>
      </w:r>
      <w:r w:rsidRPr="008516C5">
        <w:rPr>
          <w:rFonts w:ascii="Arial" w:hAnsi="Arial" w:cs="Arial"/>
          <w:noProof/>
          <w:sz w:val="20"/>
          <w:szCs w:val="24"/>
        </w:rPr>
        <w:t xml:space="preserve">, vol. 6, no. 1, pp. 28–44, 2024, doi: </w:t>
      </w:r>
      <w:hyperlink r:id="rId42" w:history="1">
        <w:r w:rsidRPr="00F34F99">
          <w:rPr>
            <w:rStyle w:val="Hyperlink"/>
            <w:rFonts w:ascii="Arial" w:hAnsi="Arial" w:cs="Arial"/>
            <w:noProof/>
            <w:sz w:val="20"/>
            <w:szCs w:val="24"/>
          </w:rPr>
          <w:t>http://dx.doi.org/10.36096/ijbes.v6i1.465</w:t>
        </w:r>
      </w:hyperlink>
      <w:r w:rsidRPr="008516C5">
        <w:rPr>
          <w:rFonts w:ascii="Arial" w:hAnsi="Arial" w:cs="Arial"/>
          <w:noProof/>
          <w:sz w:val="20"/>
          <w:szCs w:val="24"/>
        </w:rPr>
        <w:t>.</w:t>
      </w:r>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[19]</w:t>
      </w:r>
      <w:r w:rsidRPr="008516C5">
        <w:rPr>
          <w:rFonts w:ascii="Arial" w:hAnsi="Arial" w:cs="Arial"/>
          <w:noProof/>
          <w:sz w:val="20"/>
          <w:szCs w:val="24"/>
        </w:rPr>
        <w:tab/>
        <w:t xml:space="preserve">L. Rienda and L. Ruiz-fern, “Internationalization and Sustainable Hotel Competitiveness : Resilience and Network Ties to Increase Tourism Sustainability,” </w:t>
      </w:r>
      <w:r w:rsidRPr="008516C5">
        <w:rPr>
          <w:rFonts w:ascii="Arial" w:hAnsi="Arial" w:cs="Arial"/>
          <w:i/>
          <w:iCs/>
          <w:noProof/>
          <w:sz w:val="20"/>
          <w:szCs w:val="24"/>
        </w:rPr>
        <w:t>Sustainability</w:t>
      </w:r>
      <w:r w:rsidRPr="008516C5">
        <w:rPr>
          <w:rFonts w:ascii="Arial" w:hAnsi="Arial" w:cs="Arial"/>
          <w:noProof/>
          <w:sz w:val="20"/>
          <w:szCs w:val="24"/>
        </w:rPr>
        <w:t xml:space="preserve">, vol. 16, no. 3267, pp. 1–12, 2024, doi: </w:t>
      </w:r>
      <w:hyperlink r:id="rId43" w:history="1">
        <w:r w:rsidRPr="00F34F99">
          <w:rPr>
            <w:rStyle w:val="Hyperlink"/>
            <w:rFonts w:ascii="Arial" w:hAnsi="Arial" w:cs="Arial"/>
            <w:noProof/>
            <w:sz w:val="20"/>
            <w:szCs w:val="24"/>
          </w:rPr>
          <w:t>https://doi.org/10.3390/ su16083267 Academic.</w:t>
        </w:r>
      </w:hyperlink>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[20]</w:t>
      </w:r>
      <w:r w:rsidRPr="008516C5">
        <w:rPr>
          <w:rFonts w:ascii="Arial" w:hAnsi="Arial" w:cs="Arial"/>
          <w:noProof/>
          <w:sz w:val="20"/>
          <w:szCs w:val="24"/>
        </w:rPr>
        <w:tab/>
        <w:t xml:space="preserve">K. L. Armas, C. Dela Cruz, J. E. Navarro, and V. Viloria, “Triple Helix for Sustainable Development Goals: An Impact Assessment of Shared Service Facility for Micro, Small, and Medium Enterprises Competitiveness in the Philippines,” </w:t>
      </w:r>
      <w:r w:rsidRPr="008516C5">
        <w:rPr>
          <w:rFonts w:ascii="Arial" w:hAnsi="Arial" w:cs="Arial"/>
          <w:i/>
          <w:iCs/>
          <w:noProof/>
          <w:sz w:val="20"/>
          <w:szCs w:val="24"/>
        </w:rPr>
        <w:t>Int. Rev. Manag. Mark.</w:t>
      </w:r>
      <w:r w:rsidRPr="008516C5">
        <w:rPr>
          <w:rFonts w:ascii="Arial" w:hAnsi="Arial" w:cs="Arial"/>
          <w:noProof/>
          <w:sz w:val="20"/>
          <w:szCs w:val="24"/>
        </w:rPr>
        <w:t xml:space="preserve">, vol. 14, no. 3, pp. 65–73, 2024, doi: </w:t>
      </w:r>
      <w:hyperlink r:id="rId44" w:history="1">
        <w:r w:rsidRPr="00F34F99">
          <w:rPr>
            <w:rStyle w:val="Hyperlink"/>
            <w:rFonts w:ascii="Arial" w:hAnsi="Arial" w:cs="Arial"/>
            <w:noProof/>
            <w:sz w:val="20"/>
            <w:szCs w:val="24"/>
          </w:rPr>
          <w:t>https://doi.org/10.32479/irmm.16103.</w:t>
        </w:r>
      </w:hyperlink>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[21]</w:t>
      </w:r>
      <w:r w:rsidRPr="008516C5">
        <w:rPr>
          <w:rFonts w:ascii="Arial" w:hAnsi="Arial" w:cs="Arial"/>
          <w:noProof/>
          <w:sz w:val="20"/>
          <w:szCs w:val="24"/>
        </w:rPr>
        <w:tab/>
        <w:t xml:space="preserve">C. Novia, S. Syaiful, and D. Utomo, “Analysis of strategies for increasing the competitiveness of jackfruit chips small medium enterprises in Malang Regency, Indonesia,” </w:t>
      </w:r>
      <w:r w:rsidRPr="008516C5">
        <w:rPr>
          <w:rFonts w:ascii="Arial" w:hAnsi="Arial" w:cs="Arial"/>
          <w:i/>
          <w:iCs/>
          <w:noProof/>
          <w:sz w:val="20"/>
          <w:szCs w:val="24"/>
        </w:rPr>
        <w:t>Food Res.</w:t>
      </w:r>
      <w:r w:rsidRPr="008516C5">
        <w:rPr>
          <w:rFonts w:ascii="Arial" w:hAnsi="Arial" w:cs="Arial"/>
          <w:noProof/>
          <w:sz w:val="20"/>
          <w:szCs w:val="24"/>
        </w:rPr>
        <w:t xml:space="preserve">, vol. 8, no. 5, pp. 303–309, 2024, doi: </w:t>
      </w:r>
      <w:hyperlink r:id="rId45" w:history="1">
        <w:r w:rsidRPr="00F34F99">
          <w:rPr>
            <w:rStyle w:val="Hyperlink"/>
            <w:rFonts w:ascii="Arial" w:hAnsi="Arial" w:cs="Arial"/>
            <w:noProof/>
            <w:sz w:val="20"/>
            <w:szCs w:val="24"/>
          </w:rPr>
          <w:t>https://doi.org/10.26656/fr</w:t>
        </w:r>
        <w:r w:rsidR="00F34F99" w:rsidRPr="00F34F99">
          <w:rPr>
            <w:rStyle w:val="Hyperlink"/>
            <w:rFonts w:ascii="Arial" w:hAnsi="Arial" w:cs="Arial"/>
            <w:noProof/>
            <w:sz w:val="20"/>
            <w:szCs w:val="24"/>
          </w:rPr>
          <w:t>.2017.8(5).639R</w:t>
        </w:r>
      </w:hyperlink>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[22]</w:t>
      </w:r>
      <w:r w:rsidRPr="008516C5">
        <w:rPr>
          <w:rFonts w:ascii="Arial" w:hAnsi="Arial" w:cs="Arial"/>
          <w:noProof/>
          <w:sz w:val="20"/>
          <w:szCs w:val="24"/>
        </w:rPr>
        <w:tab/>
        <w:t xml:space="preserve">A. Belgibayeva, O. Denissova, M. Kozlova, I. Savchenko, A. Tleubayev, and G. Siximbayeva, “Analysis of Sustainable Development of SMEs in Agriculture,” </w:t>
      </w:r>
      <w:r w:rsidRPr="008516C5">
        <w:rPr>
          <w:rFonts w:ascii="Arial" w:hAnsi="Arial" w:cs="Arial"/>
          <w:i/>
          <w:iCs/>
          <w:noProof/>
          <w:sz w:val="20"/>
          <w:szCs w:val="24"/>
        </w:rPr>
        <w:t>J. Environ. Manag. Tour.</w:t>
      </w:r>
      <w:r w:rsidRPr="008516C5">
        <w:rPr>
          <w:rFonts w:ascii="Arial" w:hAnsi="Arial" w:cs="Arial"/>
          <w:noProof/>
          <w:sz w:val="20"/>
          <w:szCs w:val="24"/>
        </w:rPr>
        <w:t xml:space="preserve">, vol. VII, no. 4, 2022, doi: </w:t>
      </w:r>
      <w:hyperlink r:id="rId46" w:history="1">
        <w:r w:rsidRPr="00F34F99">
          <w:rPr>
            <w:rStyle w:val="Hyperlink"/>
            <w:rFonts w:ascii="Arial" w:hAnsi="Arial" w:cs="Arial"/>
            <w:noProof/>
            <w:sz w:val="20"/>
            <w:szCs w:val="24"/>
          </w:rPr>
          <w:t>https://doi.org/10.14505/jem</w:t>
        </w:r>
        <w:r w:rsidR="00F34F99" w:rsidRPr="00F34F99">
          <w:rPr>
            <w:rStyle w:val="Hyperlink"/>
            <w:rFonts w:ascii="Arial" w:hAnsi="Arial" w:cs="Arial"/>
            <w:noProof/>
            <w:sz w:val="20"/>
            <w:szCs w:val="24"/>
          </w:rPr>
          <w:t>t.v13.3(59).09</w:t>
        </w:r>
      </w:hyperlink>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[23]</w:t>
      </w:r>
      <w:r w:rsidRPr="008516C5">
        <w:rPr>
          <w:rFonts w:ascii="Arial" w:hAnsi="Arial" w:cs="Arial"/>
          <w:noProof/>
          <w:sz w:val="20"/>
          <w:szCs w:val="24"/>
        </w:rPr>
        <w:tab/>
        <w:t xml:space="preserve">R. D. Acosta-Velásquez, J. León-Pulido, A. García-Pérez, W. S. Fajardo-Moreno, and L. Espinosa-Leal, “Contemporary Management Practice Applying the Dynamic Absorptive Capacity Measurement Model ( PM 4 AC ) for Improved Business Sustainability,” </w:t>
      </w:r>
      <w:r w:rsidRPr="008516C5">
        <w:rPr>
          <w:rFonts w:ascii="Arial" w:hAnsi="Arial" w:cs="Arial"/>
          <w:i/>
          <w:iCs/>
          <w:noProof/>
          <w:sz w:val="20"/>
          <w:szCs w:val="24"/>
        </w:rPr>
        <w:t>Sustainability</w:t>
      </w:r>
      <w:r w:rsidRPr="008516C5">
        <w:rPr>
          <w:rFonts w:ascii="Arial" w:hAnsi="Arial" w:cs="Arial"/>
          <w:noProof/>
          <w:sz w:val="20"/>
          <w:szCs w:val="24"/>
        </w:rPr>
        <w:t xml:space="preserve">, vol. 14, no. 11036, pp. 1–12, 2022, doi: </w:t>
      </w:r>
      <w:hyperlink r:id="rId47" w:history="1">
        <w:r w:rsidRPr="00F34F99">
          <w:rPr>
            <w:rStyle w:val="Hyperlink"/>
            <w:rFonts w:ascii="Arial" w:hAnsi="Arial" w:cs="Arial"/>
            <w:noProof/>
            <w:sz w:val="20"/>
            <w:szCs w:val="24"/>
          </w:rPr>
          <w:t>https://doi.org/10.3390/su141711036</w:t>
        </w:r>
      </w:hyperlink>
      <w:r w:rsidRPr="008516C5">
        <w:rPr>
          <w:rFonts w:ascii="Arial" w:hAnsi="Arial" w:cs="Arial"/>
          <w:noProof/>
          <w:sz w:val="20"/>
          <w:szCs w:val="24"/>
        </w:rPr>
        <w:t>.</w:t>
      </w:r>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[24]</w:t>
      </w:r>
      <w:r w:rsidRPr="008516C5">
        <w:rPr>
          <w:rFonts w:ascii="Arial" w:hAnsi="Arial" w:cs="Arial"/>
          <w:noProof/>
          <w:sz w:val="20"/>
          <w:szCs w:val="24"/>
        </w:rPr>
        <w:tab/>
        <w:t xml:space="preserve">T. T. Le, “Corporate social responsibility and SMEs ’ performance : mediating role of corporate image , corporate reputation and customer loyalty,” </w:t>
      </w:r>
      <w:r w:rsidRPr="008516C5">
        <w:rPr>
          <w:rFonts w:ascii="Arial" w:hAnsi="Arial" w:cs="Arial"/>
          <w:i/>
          <w:iCs/>
          <w:noProof/>
          <w:sz w:val="20"/>
          <w:szCs w:val="24"/>
        </w:rPr>
        <w:t>Int. J. Emerg. Mark.</w:t>
      </w:r>
      <w:r w:rsidRPr="008516C5">
        <w:rPr>
          <w:rFonts w:ascii="Arial" w:hAnsi="Arial" w:cs="Arial"/>
          <w:noProof/>
          <w:sz w:val="20"/>
          <w:szCs w:val="24"/>
        </w:rPr>
        <w:t xml:space="preserve">, vol. 18, no. 10, pp. 4565–4590, 2023, doi: </w:t>
      </w:r>
      <w:hyperlink r:id="rId48" w:history="1">
        <w:r w:rsidRPr="00F34F99">
          <w:rPr>
            <w:rStyle w:val="Hyperlink"/>
            <w:rFonts w:ascii="Arial" w:hAnsi="Arial" w:cs="Arial"/>
            <w:noProof/>
            <w:sz w:val="20"/>
            <w:szCs w:val="24"/>
          </w:rPr>
          <w:t>https://doi.org/10.1108/IJOEM-07-2021-1164</w:t>
        </w:r>
      </w:hyperlink>
      <w:r w:rsidRPr="008516C5">
        <w:rPr>
          <w:rFonts w:ascii="Arial" w:hAnsi="Arial" w:cs="Arial"/>
          <w:noProof/>
          <w:sz w:val="20"/>
          <w:szCs w:val="24"/>
        </w:rPr>
        <w:t>.</w:t>
      </w:r>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[25]</w:t>
      </w:r>
      <w:r w:rsidRPr="008516C5">
        <w:rPr>
          <w:rFonts w:ascii="Arial" w:hAnsi="Arial" w:cs="Arial"/>
          <w:noProof/>
          <w:sz w:val="20"/>
          <w:szCs w:val="24"/>
        </w:rPr>
        <w:tab/>
        <w:t xml:space="preserve">T. Le Thanh, N. Q. Huan, T. Thi, and T. Hong, “Determinants for competitiveness in the context of international integration pressure : Case of small and medium enterprises in emerging economy – Vietnam,” </w:t>
      </w:r>
      <w:r w:rsidRPr="008516C5">
        <w:rPr>
          <w:rFonts w:ascii="Arial" w:hAnsi="Arial" w:cs="Arial"/>
          <w:i/>
          <w:iCs/>
          <w:noProof/>
          <w:sz w:val="20"/>
          <w:szCs w:val="24"/>
        </w:rPr>
        <w:t>Cogent Bus. Manag.</w:t>
      </w:r>
      <w:r w:rsidRPr="008516C5">
        <w:rPr>
          <w:rFonts w:ascii="Arial" w:hAnsi="Arial" w:cs="Arial"/>
          <w:noProof/>
          <w:sz w:val="20"/>
          <w:szCs w:val="24"/>
        </w:rPr>
        <w:t xml:space="preserve">, vol. 8, no. 1, 2021, doi: </w:t>
      </w:r>
      <w:hyperlink r:id="rId49" w:history="1">
        <w:r w:rsidRPr="00F34F99">
          <w:rPr>
            <w:rStyle w:val="Hyperlink"/>
            <w:rFonts w:ascii="Arial" w:hAnsi="Arial" w:cs="Arial"/>
            <w:noProof/>
            <w:sz w:val="20"/>
            <w:szCs w:val="24"/>
          </w:rPr>
          <w:t>https://doi.org/10.1080/23311975.2021.1893246</w:t>
        </w:r>
      </w:hyperlink>
      <w:r w:rsidRPr="008516C5">
        <w:rPr>
          <w:rFonts w:ascii="Arial" w:hAnsi="Arial" w:cs="Arial"/>
          <w:noProof/>
          <w:sz w:val="20"/>
          <w:szCs w:val="24"/>
        </w:rPr>
        <w:t>.</w:t>
      </w:r>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[26]</w:t>
      </w:r>
      <w:r w:rsidRPr="008516C5">
        <w:rPr>
          <w:rFonts w:ascii="Arial" w:hAnsi="Arial" w:cs="Arial"/>
          <w:noProof/>
          <w:sz w:val="20"/>
          <w:szCs w:val="24"/>
        </w:rPr>
        <w:tab/>
        <w:t xml:space="preserve">H. Rahman, S. Oktavia, N. Shetye, and W. L. S. Azonhoumon, “Enhancing Operations for Sustainability in Indonesian SMEs through Climate Change Awareness and Business Orientation,” </w:t>
      </w:r>
      <w:r w:rsidRPr="008516C5">
        <w:rPr>
          <w:rFonts w:ascii="Arial" w:hAnsi="Arial" w:cs="Arial"/>
          <w:i/>
          <w:iCs/>
          <w:noProof/>
          <w:sz w:val="20"/>
          <w:szCs w:val="24"/>
        </w:rPr>
        <w:t>J. Optimasi Sist. Ind.</w:t>
      </w:r>
      <w:r w:rsidRPr="008516C5">
        <w:rPr>
          <w:rFonts w:ascii="Arial" w:hAnsi="Arial" w:cs="Arial"/>
          <w:noProof/>
          <w:sz w:val="20"/>
          <w:szCs w:val="24"/>
        </w:rPr>
        <w:t xml:space="preserve">, vol. 23, no. 1, pp. 109–119, 2024, doi: </w:t>
      </w:r>
      <w:hyperlink r:id="rId50" w:history="1">
        <w:r w:rsidRPr="00F34F99">
          <w:rPr>
            <w:rStyle w:val="Hyperlink"/>
            <w:rFonts w:ascii="Arial" w:hAnsi="Arial" w:cs="Arial"/>
            <w:noProof/>
            <w:sz w:val="20"/>
            <w:szCs w:val="24"/>
          </w:rPr>
          <w:t>https://doi.org/10.25077/josi.v23.n1.p109-119.2024</w:t>
        </w:r>
      </w:hyperlink>
      <w:r w:rsidRPr="008516C5">
        <w:rPr>
          <w:rFonts w:ascii="Arial" w:hAnsi="Arial" w:cs="Arial"/>
          <w:noProof/>
          <w:sz w:val="20"/>
          <w:szCs w:val="24"/>
        </w:rPr>
        <w:t>.</w:t>
      </w:r>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[27]</w:t>
      </w:r>
      <w:r w:rsidRPr="008516C5">
        <w:rPr>
          <w:rFonts w:ascii="Arial" w:hAnsi="Arial" w:cs="Arial"/>
          <w:noProof/>
          <w:sz w:val="20"/>
          <w:szCs w:val="24"/>
        </w:rPr>
        <w:tab/>
        <w:t xml:space="preserve">R. R. P. Advincula, C. G. Chavesta, and L. Ocares-Cunyarachi, “Innovation Management Model as a Source of Business Competitiveness for Industrial SMEs,” </w:t>
      </w:r>
      <w:r w:rsidRPr="008516C5">
        <w:rPr>
          <w:rFonts w:ascii="Arial" w:hAnsi="Arial" w:cs="Arial"/>
          <w:i/>
          <w:iCs/>
          <w:noProof/>
          <w:sz w:val="20"/>
          <w:szCs w:val="24"/>
        </w:rPr>
        <w:t>Int. J. Adv. Comput. Sci. Appl.</w:t>
      </w:r>
      <w:r w:rsidRPr="008516C5">
        <w:rPr>
          <w:rFonts w:ascii="Arial" w:hAnsi="Arial" w:cs="Arial"/>
          <w:noProof/>
          <w:sz w:val="20"/>
          <w:szCs w:val="24"/>
        </w:rPr>
        <w:t xml:space="preserve">, vol. 13, no. 8, pp. 620–627, 2022, doi: </w:t>
      </w:r>
      <w:hyperlink r:id="rId51" w:history="1">
        <w:r w:rsidRPr="00F34F99">
          <w:rPr>
            <w:rStyle w:val="Hyperlink"/>
            <w:rFonts w:ascii="Arial" w:hAnsi="Arial" w:cs="Arial"/>
            <w:noProof/>
            <w:sz w:val="20"/>
            <w:szCs w:val="24"/>
          </w:rPr>
          <w:t>http://doi.org/10.14569/IJACSA.2022.0130871</w:t>
        </w:r>
      </w:hyperlink>
      <w:r w:rsidRPr="008516C5">
        <w:rPr>
          <w:rFonts w:ascii="Arial" w:hAnsi="Arial" w:cs="Arial"/>
          <w:noProof/>
          <w:sz w:val="20"/>
          <w:szCs w:val="24"/>
        </w:rPr>
        <w:t>.</w:t>
      </w:r>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[28]</w:t>
      </w:r>
      <w:r w:rsidRPr="008516C5">
        <w:rPr>
          <w:rFonts w:ascii="Arial" w:hAnsi="Arial" w:cs="Arial"/>
          <w:noProof/>
          <w:sz w:val="20"/>
          <w:szCs w:val="24"/>
        </w:rPr>
        <w:tab/>
        <w:t xml:space="preserve">E. Santos, R. A. Castanho, and D. Meyer, “Is Investment Contributing to Competitiveness in Nautical Tourism in the Atlantic Area?,” </w:t>
      </w:r>
      <w:r w:rsidRPr="008516C5">
        <w:rPr>
          <w:rFonts w:ascii="Arial" w:hAnsi="Arial" w:cs="Arial"/>
          <w:i/>
          <w:iCs/>
          <w:noProof/>
          <w:sz w:val="20"/>
          <w:szCs w:val="24"/>
        </w:rPr>
        <w:t>Water (Switzerland)</w:t>
      </w:r>
      <w:r w:rsidRPr="008516C5">
        <w:rPr>
          <w:rFonts w:ascii="Arial" w:hAnsi="Arial" w:cs="Arial"/>
          <w:noProof/>
          <w:sz w:val="20"/>
          <w:szCs w:val="24"/>
        </w:rPr>
        <w:t xml:space="preserve">, vol. 14, no. 19, pp. 1–17, 2022, doi: </w:t>
      </w:r>
      <w:hyperlink r:id="rId52" w:history="1">
        <w:r w:rsidRPr="00F34F99">
          <w:rPr>
            <w:rStyle w:val="Hyperlink"/>
            <w:rFonts w:ascii="Arial" w:hAnsi="Arial" w:cs="Arial"/>
            <w:noProof/>
            <w:sz w:val="20"/>
            <w:szCs w:val="24"/>
          </w:rPr>
          <w:t>https://doi.org/10.3390/w14192964</w:t>
        </w:r>
      </w:hyperlink>
      <w:r w:rsidRPr="008516C5">
        <w:rPr>
          <w:rFonts w:ascii="Arial" w:hAnsi="Arial" w:cs="Arial"/>
          <w:noProof/>
          <w:sz w:val="20"/>
          <w:szCs w:val="24"/>
        </w:rPr>
        <w:t>.</w:t>
      </w:r>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[29]</w:t>
      </w:r>
      <w:r w:rsidRPr="008516C5">
        <w:rPr>
          <w:rFonts w:ascii="Arial" w:hAnsi="Arial" w:cs="Arial"/>
          <w:noProof/>
          <w:sz w:val="20"/>
          <w:szCs w:val="24"/>
        </w:rPr>
        <w:tab/>
        <w:t xml:space="preserve">H. A. Halima, S. R. M. Zainala, and N. H. Ahmada, “Strategic Foresight and Agility: Upholding Sustainable Competitiveness Among SMEs During COVID-19 Pandemic,” </w:t>
      </w:r>
      <w:r w:rsidRPr="008516C5">
        <w:rPr>
          <w:rFonts w:ascii="Arial" w:hAnsi="Arial" w:cs="Arial"/>
          <w:i/>
          <w:iCs/>
          <w:noProof/>
          <w:sz w:val="20"/>
          <w:szCs w:val="24"/>
        </w:rPr>
        <w:t>Int. J. Econ. Manag.</w:t>
      </w:r>
      <w:r w:rsidRPr="008516C5">
        <w:rPr>
          <w:rFonts w:ascii="Arial" w:hAnsi="Arial" w:cs="Arial"/>
          <w:noProof/>
          <w:sz w:val="20"/>
          <w:szCs w:val="24"/>
        </w:rPr>
        <w:t xml:space="preserve">, vol. 16, no. SpecialIssue1, pp. 81–97, 2022, doi: </w:t>
      </w:r>
      <w:hyperlink r:id="rId53" w:history="1">
        <w:r w:rsidRPr="00F34F99">
          <w:rPr>
            <w:rStyle w:val="Hyperlink"/>
            <w:rFonts w:ascii="Arial" w:hAnsi="Arial" w:cs="Arial"/>
            <w:noProof/>
            <w:sz w:val="20"/>
            <w:szCs w:val="24"/>
          </w:rPr>
          <w:t>http://doi.org/10.47836/ijeamsi.16.1.006.</w:t>
        </w:r>
      </w:hyperlink>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[30]</w:t>
      </w:r>
      <w:r w:rsidRPr="008516C5">
        <w:rPr>
          <w:rFonts w:ascii="Arial" w:hAnsi="Arial" w:cs="Arial"/>
          <w:noProof/>
          <w:sz w:val="20"/>
          <w:szCs w:val="24"/>
        </w:rPr>
        <w:tab/>
        <w:t xml:space="preserve">O. Khongmalai and A. Distanont, “Technology Transfer Model to Enhance Sustainable Competitiveness of SMEs,” </w:t>
      </w:r>
      <w:r w:rsidRPr="008516C5">
        <w:rPr>
          <w:rFonts w:ascii="Arial" w:hAnsi="Arial" w:cs="Arial"/>
          <w:i/>
          <w:iCs/>
          <w:noProof/>
          <w:sz w:val="20"/>
          <w:szCs w:val="24"/>
        </w:rPr>
        <w:t>Proc. Eur. Conf. Manag. Leadersh. Gov.</w:t>
      </w:r>
      <w:r w:rsidRPr="008516C5">
        <w:rPr>
          <w:rFonts w:ascii="Arial" w:hAnsi="Arial" w:cs="Arial"/>
          <w:noProof/>
          <w:sz w:val="20"/>
          <w:szCs w:val="24"/>
        </w:rPr>
        <w:t xml:space="preserve">, vol. 2022-Novem, pp. 222–228, 2022, doi: DOI: </w:t>
      </w:r>
      <w:hyperlink r:id="rId54" w:history="1">
        <w:r w:rsidRPr="00F34F99">
          <w:rPr>
            <w:rStyle w:val="Hyperlink"/>
            <w:rFonts w:ascii="Arial" w:hAnsi="Arial" w:cs="Arial"/>
            <w:noProof/>
            <w:sz w:val="20"/>
            <w:szCs w:val="24"/>
          </w:rPr>
          <w:t>https://doi.org/10.34190/ecmlg.18.1.906</w:t>
        </w:r>
      </w:hyperlink>
      <w:r w:rsidRPr="008516C5">
        <w:rPr>
          <w:rFonts w:ascii="Arial" w:hAnsi="Arial" w:cs="Arial"/>
          <w:noProof/>
          <w:sz w:val="20"/>
          <w:szCs w:val="24"/>
        </w:rPr>
        <w:t>.</w:t>
      </w:r>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[31]</w:t>
      </w:r>
      <w:r w:rsidRPr="008516C5">
        <w:rPr>
          <w:rFonts w:ascii="Arial" w:hAnsi="Arial" w:cs="Arial"/>
          <w:noProof/>
          <w:sz w:val="20"/>
          <w:szCs w:val="24"/>
        </w:rPr>
        <w:tab/>
        <w:t xml:space="preserve">R. Machmud, N. F. Wuryaningrat, and D. Mutiarasari, “Technopreneurship-Based Competitiveness and Innovation at Small Business in Gorontalo City,” </w:t>
      </w:r>
      <w:r w:rsidRPr="008516C5">
        <w:rPr>
          <w:rFonts w:ascii="Arial" w:hAnsi="Arial" w:cs="Arial"/>
          <w:i/>
          <w:iCs/>
          <w:noProof/>
          <w:sz w:val="20"/>
          <w:szCs w:val="24"/>
        </w:rPr>
        <w:t>Int. J. Sustain. Dev. Plan.</w:t>
      </w:r>
      <w:r w:rsidRPr="008516C5">
        <w:rPr>
          <w:rFonts w:ascii="Arial" w:hAnsi="Arial" w:cs="Arial"/>
          <w:noProof/>
          <w:sz w:val="20"/>
          <w:szCs w:val="24"/>
        </w:rPr>
        <w:t>, vol. 17, no. 4, pp. 1117–1122, 2022, doi: https://doi.org/10.18280/ijsdp.170408.</w:t>
      </w:r>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[32]</w:t>
      </w:r>
      <w:r w:rsidRPr="008516C5">
        <w:rPr>
          <w:rFonts w:ascii="Arial" w:hAnsi="Arial" w:cs="Arial"/>
          <w:noProof/>
          <w:sz w:val="20"/>
          <w:szCs w:val="24"/>
        </w:rPr>
        <w:tab/>
        <w:t xml:space="preserve">Y. Chen, “The sustainable development of small and midsize enterprises in China on green reverse logistics,” </w:t>
      </w:r>
      <w:r w:rsidRPr="008516C5">
        <w:rPr>
          <w:rFonts w:ascii="Arial" w:hAnsi="Arial" w:cs="Arial"/>
          <w:i/>
          <w:iCs/>
          <w:noProof/>
          <w:sz w:val="20"/>
          <w:szCs w:val="24"/>
        </w:rPr>
        <w:t>J. Infrastructure, Policy Dev.</w:t>
      </w:r>
      <w:r w:rsidRPr="008516C5">
        <w:rPr>
          <w:rFonts w:ascii="Arial" w:hAnsi="Arial" w:cs="Arial"/>
          <w:noProof/>
          <w:sz w:val="20"/>
          <w:szCs w:val="24"/>
        </w:rPr>
        <w:t xml:space="preserve">, vol. 8, no. 11, p. 8209, Oct. 2024, doi: </w:t>
      </w:r>
      <w:hyperlink r:id="rId55" w:history="1">
        <w:r w:rsidRPr="00F34F99">
          <w:rPr>
            <w:rStyle w:val="Hyperlink"/>
            <w:rFonts w:ascii="Arial" w:hAnsi="Arial" w:cs="Arial"/>
            <w:noProof/>
            <w:sz w:val="20"/>
            <w:szCs w:val="24"/>
          </w:rPr>
          <w:t>https://doi.org/10.24294/jipd.v8i11.8209</w:t>
        </w:r>
      </w:hyperlink>
      <w:r w:rsidRPr="008516C5">
        <w:rPr>
          <w:rFonts w:ascii="Arial" w:hAnsi="Arial" w:cs="Arial"/>
          <w:noProof/>
          <w:sz w:val="20"/>
          <w:szCs w:val="24"/>
        </w:rPr>
        <w:t>.</w:t>
      </w:r>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[33]</w:t>
      </w:r>
      <w:r w:rsidRPr="008516C5">
        <w:rPr>
          <w:rFonts w:ascii="Arial" w:hAnsi="Arial" w:cs="Arial"/>
          <w:noProof/>
          <w:sz w:val="20"/>
          <w:szCs w:val="24"/>
        </w:rPr>
        <w:tab/>
        <w:t xml:space="preserve">R. Hurriyati, D. Dagustani, A. Surachim, S. Sulastri, and L. Lisnawati, “Triple-Layered Business Model Canvas Environment Based in the Fashion Industry,” </w:t>
      </w:r>
      <w:r w:rsidRPr="008516C5">
        <w:rPr>
          <w:rFonts w:ascii="Arial" w:hAnsi="Arial" w:cs="Arial"/>
          <w:i/>
          <w:iCs/>
          <w:noProof/>
          <w:sz w:val="20"/>
          <w:szCs w:val="24"/>
        </w:rPr>
        <w:t>J. Human, Earth, Futur.</w:t>
      </w:r>
      <w:r w:rsidRPr="008516C5">
        <w:rPr>
          <w:rFonts w:ascii="Arial" w:hAnsi="Arial" w:cs="Arial"/>
          <w:noProof/>
          <w:sz w:val="20"/>
          <w:szCs w:val="24"/>
        </w:rPr>
        <w:t xml:space="preserve">, vol. 4, no. 4, pp. 411–423, 2023, doi: </w:t>
      </w:r>
      <w:hyperlink r:id="rId56" w:history="1">
        <w:r w:rsidRPr="00F34F99">
          <w:rPr>
            <w:rStyle w:val="Hyperlink"/>
            <w:rFonts w:ascii="Arial" w:hAnsi="Arial" w:cs="Arial"/>
            <w:noProof/>
            <w:sz w:val="20"/>
            <w:szCs w:val="24"/>
          </w:rPr>
          <w:t>http://dx.doi.org/10. 28991/HEF-2023-04-04-03</w:t>
        </w:r>
      </w:hyperlink>
      <w:r w:rsidRPr="008516C5">
        <w:rPr>
          <w:rFonts w:ascii="Arial" w:hAnsi="Arial" w:cs="Arial"/>
          <w:noProof/>
          <w:sz w:val="20"/>
          <w:szCs w:val="24"/>
        </w:rPr>
        <w:t>.</w:t>
      </w:r>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[34]</w:t>
      </w:r>
      <w:r w:rsidRPr="008516C5">
        <w:rPr>
          <w:rFonts w:ascii="Arial" w:hAnsi="Arial" w:cs="Arial"/>
          <w:noProof/>
          <w:sz w:val="20"/>
          <w:szCs w:val="24"/>
        </w:rPr>
        <w:tab/>
        <w:t xml:space="preserve">R. V. D. Jordão and J. C. Novas, “Information and Knowledge Management, Intellectual Capital, and Sustainable Growth in Networked Small and Medium Enterprises,” </w:t>
      </w:r>
      <w:r w:rsidRPr="008516C5">
        <w:rPr>
          <w:rFonts w:ascii="Arial" w:hAnsi="Arial" w:cs="Arial"/>
          <w:i/>
          <w:iCs/>
          <w:noProof/>
          <w:sz w:val="20"/>
          <w:szCs w:val="24"/>
        </w:rPr>
        <w:t>J. Knowl. Econ.</w:t>
      </w:r>
      <w:r w:rsidRPr="008516C5">
        <w:rPr>
          <w:rFonts w:ascii="Arial" w:hAnsi="Arial" w:cs="Arial"/>
          <w:noProof/>
          <w:sz w:val="20"/>
          <w:szCs w:val="24"/>
        </w:rPr>
        <w:t xml:space="preserve">, vol. 15, no. 1, pp. 563–595, 2024, doi: </w:t>
      </w:r>
      <w:hyperlink r:id="rId57" w:history="1">
        <w:r w:rsidRPr="00F34F99">
          <w:rPr>
            <w:rStyle w:val="Hyperlink"/>
            <w:rFonts w:ascii="Arial" w:hAnsi="Arial" w:cs="Arial"/>
            <w:noProof/>
            <w:sz w:val="20"/>
            <w:szCs w:val="24"/>
          </w:rPr>
          <w:t>https://doi.org/10.1007/s13132-022-01043-5</w:t>
        </w:r>
      </w:hyperlink>
      <w:r w:rsidRPr="008516C5">
        <w:rPr>
          <w:rFonts w:ascii="Arial" w:hAnsi="Arial" w:cs="Arial"/>
          <w:noProof/>
          <w:sz w:val="20"/>
          <w:szCs w:val="24"/>
        </w:rPr>
        <w:t>.</w:t>
      </w:r>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[35]</w:t>
      </w:r>
      <w:r w:rsidRPr="008516C5">
        <w:rPr>
          <w:rFonts w:ascii="Arial" w:hAnsi="Arial" w:cs="Arial"/>
          <w:noProof/>
          <w:sz w:val="20"/>
          <w:szCs w:val="24"/>
        </w:rPr>
        <w:tab/>
        <w:t xml:space="preserve">P. Castellani, C. Rossato, E. Giaretta, and A. Vargas-Sánchez, “Partner selection strategies of SMEs for reaching the Sustainable Development Goals,” </w:t>
      </w:r>
      <w:r w:rsidRPr="008516C5">
        <w:rPr>
          <w:rFonts w:ascii="Arial" w:hAnsi="Arial" w:cs="Arial"/>
          <w:i/>
          <w:iCs/>
          <w:noProof/>
          <w:sz w:val="20"/>
          <w:szCs w:val="24"/>
        </w:rPr>
        <w:t>Rev. Manag. Sci.</w:t>
      </w:r>
      <w:r w:rsidRPr="008516C5">
        <w:rPr>
          <w:rFonts w:ascii="Arial" w:hAnsi="Arial" w:cs="Arial"/>
          <w:noProof/>
          <w:sz w:val="20"/>
          <w:szCs w:val="24"/>
        </w:rPr>
        <w:t xml:space="preserve">, vol. 18, no. 5, pp. 1317–1352, 2024, doi: </w:t>
      </w:r>
      <w:hyperlink r:id="rId58" w:history="1">
        <w:r w:rsidRPr="00F34F99">
          <w:rPr>
            <w:rStyle w:val="Hyperlink"/>
            <w:rFonts w:ascii="Arial" w:hAnsi="Arial" w:cs="Arial"/>
            <w:noProof/>
            <w:sz w:val="20"/>
            <w:szCs w:val="24"/>
          </w:rPr>
          <w:t>https://doi.org/10.1007/s11846-023-00656-7</w:t>
        </w:r>
      </w:hyperlink>
      <w:r w:rsidRPr="008516C5">
        <w:rPr>
          <w:rFonts w:ascii="Arial" w:hAnsi="Arial" w:cs="Arial"/>
          <w:noProof/>
          <w:sz w:val="20"/>
          <w:szCs w:val="24"/>
        </w:rPr>
        <w:t>.</w:t>
      </w:r>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szCs w:val="24"/>
        </w:rPr>
      </w:pPr>
      <w:r w:rsidRPr="008516C5">
        <w:rPr>
          <w:rFonts w:ascii="Arial" w:hAnsi="Arial" w:cs="Arial"/>
          <w:noProof/>
          <w:sz w:val="20"/>
          <w:szCs w:val="24"/>
        </w:rPr>
        <w:t>[36]</w:t>
      </w:r>
      <w:r w:rsidRPr="008516C5">
        <w:rPr>
          <w:rFonts w:ascii="Arial" w:hAnsi="Arial" w:cs="Arial"/>
          <w:noProof/>
          <w:sz w:val="20"/>
          <w:szCs w:val="24"/>
        </w:rPr>
        <w:tab/>
        <w:t xml:space="preserve">D. V. Bhise, M. A. Kumbhalkar, M. M. Sardeshmukh, S. A. Choudhari, S. H. Sarje, and N. B. Kardekar, “Study for Identification and Classification of Advanced Manufacturing Technology Implementation Drivers in Small and Medium Enterprises,” </w:t>
      </w:r>
      <w:r w:rsidRPr="008516C5">
        <w:rPr>
          <w:rFonts w:ascii="Arial" w:hAnsi="Arial" w:cs="Arial"/>
          <w:i/>
          <w:iCs/>
          <w:noProof/>
          <w:sz w:val="20"/>
          <w:szCs w:val="24"/>
        </w:rPr>
        <w:t>African J. Appl. Res.</w:t>
      </w:r>
      <w:r w:rsidRPr="008516C5">
        <w:rPr>
          <w:rFonts w:ascii="Arial" w:hAnsi="Arial" w:cs="Arial"/>
          <w:noProof/>
          <w:sz w:val="20"/>
          <w:szCs w:val="24"/>
        </w:rPr>
        <w:t xml:space="preserve">, vol. 11, no. 1, pp. 388–407, 2025, doi: </w:t>
      </w:r>
      <w:hyperlink r:id="rId59" w:history="1">
        <w:r w:rsidRPr="00F34F99">
          <w:rPr>
            <w:rStyle w:val="Hyperlink"/>
            <w:rFonts w:ascii="Arial" w:hAnsi="Arial" w:cs="Arial"/>
            <w:noProof/>
            <w:sz w:val="20"/>
            <w:szCs w:val="24"/>
          </w:rPr>
          <w:t>https://doi.org/10.26437/ajar.v11i1</w:t>
        </w:r>
      </w:hyperlink>
      <w:r w:rsidRPr="008516C5">
        <w:rPr>
          <w:rFonts w:ascii="Arial" w:hAnsi="Arial" w:cs="Arial"/>
          <w:noProof/>
          <w:sz w:val="20"/>
          <w:szCs w:val="24"/>
        </w:rPr>
        <w:t>.</w:t>
      </w:r>
    </w:p>
    <w:p w:rsidR="008516C5" w:rsidRPr="008516C5" w:rsidRDefault="008516C5" w:rsidP="00F34F99">
      <w:pPr>
        <w:widowControl w:val="0"/>
        <w:autoSpaceDE w:val="0"/>
        <w:autoSpaceDN w:val="0"/>
        <w:adjustRightInd w:val="0"/>
        <w:spacing w:after="0" w:line="240" w:lineRule="auto"/>
        <w:ind w:left="640" w:hanging="640"/>
        <w:jc w:val="both"/>
        <w:rPr>
          <w:rFonts w:ascii="Arial" w:hAnsi="Arial" w:cs="Arial"/>
          <w:noProof/>
          <w:sz w:val="20"/>
        </w:rPr>
      </w:pPr>
      <w:r w:rsidRPr="008516C5">
        <w:rPr>
          <w:rFonts w:ascii="Arial" w:hAnsi="Arial" w:cs="Arial"/>
          <w:noProof/>
          <w:sz w:val="20"/>
          <w:szCs w:val="24"/>
        </w:rPr>
        <w:t>[37]</w:t>
      </w:r>
      <w:r w:rsidRPr="008516C5">
        <w:rPr>
          <w:rFonts w:ascii="Arial" w:hAnsi="Arial" w:cs="Arial"/>
          <w:noProof/>
          <w:sz w:val="20"/>
          <w:szCs w:val="24"/>
        </w:rPr>
        <w:tab/>
        <w:t xml:space="preserve">C. R. Carag </w:t>
      </w:r>
      <w:r w:rsidRPr="008516C5">
        <w:rPr>
          <w:rFonts w:ascii="Arial" w:hAnsi="Arial" w:cs="Arial"/>
          <w:i/>
          <w:iCs/>
          <w:noProof/>
          <w:sz w:val="20"/>
          <w:szCs w:val="24"/>
        </w:rPr>
        <w:t>et al.</w:t>
      </w:r>
      <w:r w:rsidRPr="008516C5">
        <w:rPr>
          <w:rFonts w:ascii="Arial" w:hAnsi="Arial" w:cs="Arial"/>
          <w:noProof/>
          <w:sz w:val="20"/>
          <w:szCs w:val="24"/>
        </w:rPr>
        <w:t xml:space="preserve">, “Development and Validation of a Knowledge Audit Framework for SMEs,” </w:t>
      </w:r>
      <w:r w:rsidRPr="008516C5">
        <w:rPr>
          <w:rFonts w:ascii="Arial" w:hAnsi="Arial" w:cs="Arial"/>
          <w:i/>
          <w:iCs/>
          <w:noProof/>
          <w:sz w:val="20"/>
          <w:szCs w:val="24"/>
        </w:rPr>
        <w:t>Asian J. Mechatronics, Electr. Eng.</w:t>
      </w:r>
      <w:r w:rsidRPr="008516C5">
        <w:rPr>
          <w:rFonts w:ascii="Arial" w:hAnsi="Arial" w:cs="Arial"/>
          <w:noProof/>
          <w:sz w:val="20"/>
          <w:szCs w:val="24"/>
        </w:rPr>
        <w:t xml:space="preserve">, vol. 2, no. 1, pp. 69–94, 2023, doi: </w:t>
      </w:r>
      <w:hyperlink r:id="rId60" w:history="1">
        <w:r w:rsidRPr="00F34F99">
          <w:rPr>
            <w:rStyle w:val="Hyperlink"/>
            <w:rFonts w:ascii="Arial" w:hAnsi="Arial" w:cs="Arial"/>
            <w:noProof/>
            <w:sz w:val="20"/>
            <w:szCs w:val="24"/>
          </w:rPr>
          <w:t>https://doi.org/10.55927/ajmee.v2i1.4090</w:t>
        </w:r>
      </w:hyperlink>
      <w:r w:rsidRPr="008516C5">
        <w:rPr>
          <w:rFonts w:ascii="Arial" w:hAnsi="Arial" w:cs="Arial"/>
          <w:noProof/>
          <w:sz w:val="20"/>
          <w:szCs w:val="24"/>
        </w:rPr>
        <w:t>.</w:t>
      </w:r>
    </w:p>
    <w:p w:rsidR="003C67CE" w:rsidRDefault="00B0441B" w:rsidP="00F34F99">
      <w:pPr>
        <w:widowControl w:val="0"/>
        <w:autoSpaceDE w:val="0"/>
        <w:autoSpaceDN w:val="0"/>
        <w:adjustRightInd w:val="0"/>
        <w:spacing w:after="0" w:line="240" w:lineRule="auto"/>
        <w:ind w:left="640" w:hanging="640"/>
        <w:jc w:val="both"/>
        <w:rPr>
          <w:rFonts w:ascii="Arial" w:hAnsi="Arial" w:cs="Arial"/>
          <w:color w:val="000000"/>
        </w:rPr>
        <w:sectPr w:rsidR="003C67CE" w:rsidSect="00BE782E">
          <w:type w:val="continuous"/>
          <w:pgSz w:w="11907" w:h="16840" w:code="9"/>
          <w:pgMar w:top="1701" w:right="1134" w:bottom="1701" w:left="1701" w:header="680" w:footer="680" w:gutter="0"/>
          <w:cols w:num="2" w:space="284"/>
          <w:docGrid w:linePitch="360"/>
        </w:sectPr>
      </w:pPr>
      <w:r>
        <w:rPr>
          <w:rFonts w:ascii="Arial" w:hAnsi="Arial" w:cs="Arial"/>
          <w:b/>
          <w:color w:val="1F4E79"/>
          <w:sz w:val="20"/>
          <w:szCs w:val="20"/>
          <w:lang w:val="pt-BR"/>
        </w:rPr>
        <w:fldChar w:fldCharType="end"/>
      </w:r>
    </w:p>
    <w:p w:rsidR="003C67CE" w:rsidRPr="005436D7" w:rsidRDefault="003C67CE" w:rsidP="00B0441B">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both"/>
        <w:rPr>
          <w:rFonts w:ascii="Arial" w:hAnsi="Arial" w:cs="Arial"/>
          <w:color w:val="000000"/>
        </w:rPr>
      </w:pPr>
    </w:p>
    <w:sectPr w:rsidR="003C67CE" w:rsidRPr="005436D7" w:rsidSect="00E170F0">
      <w:type w:val="continuous"/>
      <w:pgSz w:w="11907" w:h="16840" w:code="9"/>
      <w:pgMar w:top="1701" w:right="1134" w:bottom="1701" w:left="1701" w:header="680" w:footer="680" w:gutter="0"/>
      <w:cols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013C" w:rsidRDefault="009D013C" w:rsidP="004B3C3F">
      <w:pPr>
        <w:spacing w:after="0" w:line="240" w:lineRule="auto"/>
      </w:pPr>
      <w:r>
        <w:separator/>
      </w:r>
    </w:p>
  </w:endnote>
  <w:endnote w:type="continuationSeparator" w:id="1">
    <w:p w:rsidR="009D013C" w:rsidRDefault="009D013C" w:rsidP="004B3C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Look w:val="04A0"/>
    </w:tblPr>
    <w:tblGrid>
      <w:gridCol w:w="1242"/>
      <w:gridCol w:w="7938"/>
    </w:tblGrid>
    <w:tr w:rsidR="009D2B5C" w:rsidRPr="00910635" w:rsidTr="00F47EA1">
      <w:tc>
        <w:tcPr>
          <w:tcW w:w="1242" w:type="dxa"/>
          <w:shd w:val="clear" w:color="auto" w:fill="auto"/>
        </w:tcPr>
        <w:p w:rsidR="009D2B5C" w:rsidRPr="00180435" w:rsidRDefault="009D2B5C" w:rsidP="00080421">
          <w:pPr>
            <w:pStyle w:val="Footer"/>
            <w:spacing w:before="120"/>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047E55">
            <w:rPr>
              <w:rFonts w:ascii="Arial" w:hAnsi="Arial" w:cs="Arial"/>
              <w:noProof/>
              <w:sz w:val="20"/>
              <w:szCs w:val="20"/>
            </w:rPr>
            <w:t>2</w:t>
          </w:r>
          <w:r w:rsidRPr="00180435">
            <w:rPr>
              <w:rFonts w:ascii="Arial" w:hAnsi="Arial" w:cs="Arial"/>
              <w:noProof/>
              <w:sz w:val="20"/>
              <w:szCs w:val="20"/>
            </w:rPr>
            <w:fldChar w:fldCharType="end"/>
          </w:r>
        </w:p>
      </w:tc>
      <w:tc>
        <w:tcPr>
          <w:tcW w:w="7938" w:type="dxa"/>
          <w:shd w:val="clear" w:color="auto" w:fill="auto"/>
        </w:tcPr>
        <w:p w:rsidR="009D2B5C" w:rsidRPr="00180435" w:rsidRDefault="009D2B5C" w:rsidP="00F47EA1">
          <w:pPr>
            <w:pStyle w:val="Footer"/>
            <w:spacing w:before="120"/>
            <w:ind w:left="720"/>
            <w:jc w:val="right"/>
            <w:rPr>
              <w:rFonts w:ascii="Arial" w:hAnsi="Arial" w:cs="Arial"/>
              <w:sz w:val="20"/>
              <w:szCs w:val="20"/>
            </w:rPr>
          </w:pPr>
          <w:r>
            <w:rPr>
              <w:rFonts w:ascii="Arial" w:hAnsi="Arial" w:cs="Arial"/>
              <w:sz w:val="20"/>
              <w:szCs w:val="20"/>
            </w:rPr>
            <w:t>H. Kartika et al.</w:t>
          </w:r>
          <w:r w:rsidRPr="00180435">
            <w:rPr>
              <w:rFonts w:ascii="Arial" w:hAnsi="Arial" w:cs="Arial"/>
              <w:sz w:val="20"/>
              <w:szCs w:val="20"/>
            </w:rPr>
            <w:t xml:space="preserve">, </w:t>
          </w:r>
          <w:r>
            <w:rPr>
              <w:rFonts w:ascii="Arial" w:hAnsi="Arial" w:cs="Arial"/>
              <w:sz w:val="20"/>
              <w:szCs w:val="20"/>
            </w:rPr>
            <w:t>Author Template for SINERGI</w:t>
          </w:r>
        </w:p>
      </w:tc>
    </w:tr>
  </w:tbl>
  <w:p w:rsidR="009D2B5C" w:rsidRDefault="009D2B5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Look w:val="04A0"/>
    </w:tblPr>
    <w:tblGrid>
      <w:gridCol w:w="8453"/>
      <w:gridCol w:w="727"/>
    </w:tblGrid>
    <w:tr w:rsidR="009D2B5C" w:rsidRPr="00910635" w:rsidTr="00080421">
      <w:tc>
        <w:tcPr>
          <w:tcW w:w="8453" w:type="dxa"/>
          <w:shd w:val="clear" w:color="auto" w:fill="auto"/>
        </w:tcPr>
        <w:p w:rsidR="009D2B5C" w:rsidRPr="00180435" w:rsidRDefault="009D2B5C" w:rsidP="00080421">
          <w:pPr>
            <w:pStyle w:val="Footer"/>
            <w:spacing w:before="120"/>
            <w:rPr>
              <w:rFonts w:ascii="Arial" w:hAnsi="Arial" w:cs="Arial"/>
              <w:sz w:val="20"/>
              <w:szCs w:val="20"/>
            </w:rPr>
          </w:pPr>
          <w:r>
            <w:rPr>
              <w:rFonts w:ascii="Arial" w:hAnsi="Arial" w:cs="Arial"/>
              <w:sz w:val="20"/>
              <w:szCs w:val="20"/>
            </w:rPr>
            <w:t>H. Kartika et al.</w:t>
          </w:r>
          <w:r w:rsidRPr="00180435">
            <w:rPr>
              <w:rFonts w:ascii="Arial" w:hAnsi="Arial" w:cs="Arial"/>
              <w:sz w:val="20"/>
              <w:szCs w:val="20"/>
            </w:rPr>
            <w:t xml:space="preserve">, </w:t>
          </w:r>
          <w:r>
            <w:rPr>
              <w:rFonts w:ascii="Arial" w:hAnsi="Arial" w:cs="Arial"/>
              <w:sz w:val="20"/>
              <w:szCs w:val="20"/>
            </w:rPr>
            <w:t>Author Template for SINERGI</w:t>
          </w:r>
        </w:p>
      </w:tc>
      <w:tc>
        <w:tcPr>
          <w:tcW w:w="727" w:type="dxa"/>
          <w:shd w:val="clear" w:color="auto" w:fill="auto"/>
        </w:tcPr>
        <w:p w:rsidR="009D2B5C" w:rsidRPr="00180435" w:rsidRDefault="009D2B5C" w:rsidP="00080421">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047E55">
            <w:rPr>
              <w:rFonts w:ascii="Arial" w:hAnsi="Arial" w:cs="Arial"/>
              <w:noProof/>
              <w:sz w:val="20"/>
              <w:szCs w:val="20"/>
            </w:rPr>
            <w:t>3</w:t>
          </w:r>
          <w:r w:rsidRPr="00180435">
            <w:rPr>
              <w:rFonts w:ascii="Arial" w:hAnsi="Arial" w:cs="Arial"/>
              <w:noProof/>
              <w:sz w:val="20"/>
              <w:szCs w:val="20"/>
            </w:rPr>
            <w:fldChar w:fldCharType="end"/>
          </w:r>
        </w:p>
      </w:tc>
    </w:tr>
  </w:tbl>
  <w:p w:rsidR="009D2B5C" w:rsidRDefault="009D2B5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Look w:val="04A0"/>
    </w:tblPr>
    <w:tblGrid>
      <w:gridCol w:w="8453"/>
      <w:gridCol w:w="727"/>
    </w:tblGrid>
    <w:tr w:rsidR="009D2B5C" w:rsidRPr="00910635" w:rsidTr="00345A10">
      <w:tc>
        <w:tcPr>
          <w:tcW w:w="8453" w:type="dxa"/>
          <w:shd w:val="clear" w:color="auto" w:fill="auto"/>
        </w:tcPr>
        <w:p w:rsidR="009D2B5C" w:rsidRPr="00180435" w:rsidRDefault="009D2B5C" w:rsidP="00345A10">
          <w:pPr>
            <w:pStyle w:val="Footer"/>
            <w:spacing w:before="120"/>
            <w:rPr>
              <w:rFonts w:ascii="Arial" w:hAnsi="Arial" w:cs="Arial"/>
              <w:sz w:val="20"/>
              <w:szCs w:val="20"/>
            </w:rPr>
          </w:pPr>
          <w:r>
            <w:rPr>
              <w:rFonts w:ascii="Arial" w:hAnsi="Arial" w:cs="Arial"/>
              <w:sz w:val="20"/>
              <w:szCs w:val="20"/>
            </w:rPr>
            <w:t>H. Kartika et al.</w:t>
          </w:r>
          <w:r w:rsidRPr="00180435">
            <w:rPr>
              <w:rFonts w:ascii="Arial" w:hAnsi="Arial" w:cs="Arial"/>
              <w:sz w:val="20"/>
              <w:szCs w:val="20"/>
            </w:rPr>
            <w:t xml:space="preserve">, </w:t>
          </w:r>
          <w:r>
            <w:rPr>
              <w:rFonts w:ascii="Arial" w:hAnsi="Arial" w:cs="Arial"/>
              <w:sz w:val="20"/>
              <w:szCs w:val="20"/>
            </w:rPr>
            <w:t xml:space="preserve">Author Template for SINERGI </w:t>
          </w:r>
        </w:p>
      </w:tc>
      <w:tc>
        <w:tcPr>
          <w:tcW w:w="727" w:type="dxa"/>
          <w:shd w:val="clear" w:color="auto" w:fill="auto"/>
        </w:tcPr>
        <w:p w:rsidR="009D2B5C" w:rsidRPr="00180435" w:rsidRDefault="009D2B5C" w:rsidP="00345A10">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9D013C">
            <w:rPr>
              <w:rFonts w:ascii="Arial" w:hAnsi="Arial" w:cs="Arial"/>
              <w:noProof/>
              <w:sz w:val="20"/>
              <w:szCs w:val="20"/>
            </w:rPr>
            <w:t>1</w:t>
          </w:r>
          <w:r w:rsidRPr="00180435">
            <w:rPr>
              <w:rFonts w:ascii="Arial" w:hAnsi="Arial" w:cs="Arial"/>
              <w:noProof/>
              <w:sz w:val="20"/>
              <w:szCs w:val="20"/>
            </w:rPr>
            <w:fldChar w:fldCharType="end"/>
          </w:r>
        </w:p>
      </w:tc>
    </w:tr>
  </w:tbl>
  <w:p w:rsidR="009D2B5C" w:rsidRDefault="009D2B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013C" w:rsidRDefault="009D013C" w:rsidP="004B3C3F">
      <w:pPr>
        <w:spacing w:after="0" w:line="240" w:lineRule="auto"/>
      </w:pPr>
      <w:r>
        <w:separator/>
      </w:r>
    </w:p>
  </w:footnote>
  <w:footnote w:type="continuationSeparator" w:id="1">
    <w:p w:rsidR="009D013C" w:rsidRDefault="009D013C" w:rsidP="004B3C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ook w:val="04A0"/>
    </w:tblPr>
    <w:tblGrid>
      <w:gridCol w:w="9288"/>
    </w:tblGrid>
    <w:tr w:rsidR="009D2B5C" w:rsidRPr="00910635" w:rsidTr="00910635">
      <w:tc>
        <w:tcPr>
          <w:tcW w:w="9288" w:type="dxa"/>
          <w:shd w:val="clear" w:color="auto" w:fill="auto"/>
        </w:tcPr>
        <w:p w:rsidR="009D2B5C" w:rsidRPr="00F47EA1" w:rsidRDefault="009D2B5C" w:rsidP="00F47EA1">
          <w:pPr>
            <w:pStyle w:val="Header"/>
            <w:tabs>
              <w:tab w:val="clear" w:pos="4680"/>
              <w:tab w:val="clear" w:pos="9360"/>
              <w:tab w:val="left" w:pos="5556"/>
            </w:tabs>
            <w:spacing w:after="120"/>
            <w:rPr>
              <w:rFonts w:ascii="Arial" w:hAnsi="Arial" w:cs="Arial"/>
              <w:sz w:val="20"/>
              <w:szCs w:val="20"/>
              <w:lang w:val="id-ID"/>
            </w:rPr>
          </w:pPr>
          <w:r w:rsidRPr="00BB6E68">
            <w:rPr>
              <w:rFonts w:ascii="Arial" w:hAnsi="Arial" w:cs="Arial"/>
              <w:b/>
              <w:sz w:val="20"/>
              <w:szCs w:val="20"/>
            </w:rPr>
            <w:t>SINERGI</w:t>
          </w:r>
          <w:r w:rsidRPr="00BB6E68">
            <w:rPr>
              <w:rFonts w:ascii="Arial" w:hAnsi="Arial" w:cs="Arial"/>
              <w:sz w:val="20"/>
              <w:szCs w:val="20"/>
            </w:rPr>
            <w:t xml:space="preserve"> Vol. </w:t>
          </w:r>
          <w:r>
            <w:rPr>
              <w:rFonts w:ascii="Arial" w:hAnsi="Arial" w:cs="Arial"/>
              <w:sz w:val="20"/>
              <w:szCs w:val="20"/>
              <w:lang w:val="id-ID"/>
            </w:rPr>
            <w:t>xx</w:t>
          </w:r>
          <w:r w:rsidRPr="00BB6E68">
            <w:rPr>
              <w:rFonts w:ascii="Arial" w:hAnsi="Arial" w:cs="Arial"/>
              <w:sz w:val="20"/>
              <w:szCs w:val="20"/>
            </w:rPr>
            <w:t xml:space="preserve">, No. </w:t>
          </w:r>
          <w:r>
            <w:rPr>
              <w:rFonts w:ascii="Arial" w:hAnsi="Arial" w:cs="Arial"/>
              <w:sz w:val="20"/>
              <w:szCs w:val="20"/>
              <w:lang w:val="id-ID"/>
            </w:rPr>
            <w:t>x</w:t>
          </w:r>
          <w:r w:rsidRPr="00BB6E68">
            <w:rPr>
              <w:rFonts w:ascii="Arial" w:hAnsi="Arial" w:cs="Arial"/>
              <w:sz w:val="20"/>
              <w:szCs w:val="20"/>
            </w:rPr>
            <w:t xml:space="preserve">, </w:t>
          </w:r>
          <w:r>
            <w:rPr>
              <w:rFonts w:ascii="Arial" w:hAnsi="Arial" w:cs="Arial"/>
              <w:sz w:val="20"/>
              <w:szCs w:val="20"/>
              <w:lang w:val="id-ID"/>
            </w:rPr>
            <w:t>xxxxxx</w:t>
          </w:r>
          <w:r w:rsidRPr="00BB6E68">
            <w:rPr>
              <w:rFonts w:ascii="Arial" w:hAnsi="Arial" w:cs="Arial"/>
              <w:sz w:val="20"/>
              <w:szCs w:val="20"/>
              <w:lang w:val="id-ID"/>
            </w:rPr>
            <w:t xml:space="preserve"> </w:t>
          </w:r>
          <w:r w:rsidRPr="00BB6E68">
            <w:rPr>
              <w:rFonts w:ascii="Arial" w:hAnsi="Arial" w:cs="Arial"/>
              <w:sz w:val="20"/>
              <w:szCs w:val="20"/>
            </w:rPr>
            <w:t>20</w:t>
          </w:r>
          <w:r>
            <w:rPr>
              <w:rFonts w:ascii="Arial" w:hAnsi="Arial" w:cs="Arial"/>
              <w:sz w:val="20"/>
              <w:szCs w:val="20"/>
              <w:lang w:val="id-ID"/>
            </w:rPr>
            <w:t>xx</w:t>
          </w:r>
          <w:r w:rsidRPr="00BB6E68">
            <w:rPr>
              <w:rFonts w:ascii="Arial" w:hAnsi="Arial" w:cs="Arial"/>
              <w:sz w:val="20"/>
              <w:szCs w:val="20"/>
            </w:rPr>
            <w:t xml:space="preserve">: </w:t>
          </w:r>
          <w:r>
            <w:rPr>
              <w:rFonts w:ascii="Arial" w:hAnsi="Arial" w:cs="Arial"/>
              <w:sz w:val="20"/>
              <w:szCs w:val="20"/>
              <w:lang w:val="id-ID"/>
            </w:rPr>
            <w:t>xxx-xxx</w:t>
          </w:r>
        </w:p>
      </w:tc>
    </w:tr>
  </w:tbl>
  <w:p w:rsidR="009D2B5C" w:rsidRPr="004B3C3F" w:rsidRDefault="009D2B5C" w:rsidP="0012144A">
    <w:pPr>
      <w:pStyle w:val="Header"/>
      <w:spacing w:after="120"/>
      <w:rPr>
        <w:rFonts w:ascii="Arial" w:hAnsi="Arial" w:cs="Arial"/>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ook w:val="04A0"/>
    </w:tblPr>
    <w:tblGrid>
      <w:gridCol w:w="9288"/>
    </w:tblGrid>
    <w:tr w:rsidR="009D2B5C" w:rsidRPr="00910635" w:rsidTr="00910635">
      <w:tc>
        <w:tcPr>
          <w:tcW w:w="9288" w:type="dxa"/>
          <w:shd w:val="clear" w:color="auto" w:fill="auto"/>
        </w:tcPr>
        <w:p w:rsidR="009D2B5C" w:rsidRPr="00910635" w:rsidRDefault="009D2B5C" w:rsidP="00910635">
          <w:pPr>
            <w:pStyle w:val="Header"/>
            <w:spacing w:after="120"/>
            <w:jc w:val="right"/>
            <w:rPr>
              <w:rFonts w:ascii="Arial" w:hAnsi="Arial" w:cs="Arial"/>
              <w:sz w:val="20"/>
              <w:szCs w:val="20"/>
            </w:rPr>
          </w:pPr>
          <w:r w:rsidRPr="00447ECA">
            <w:rPr>
              <w:rFonts w:ascii="Arial" w:hAnsi="Arial" w:cs="Arial"/>
              <w:sz w:val="20"/>
              <w:szCs w:val="20"/>
            </w:rPr>
            <w:t>p-ISSN: 1410-2331  e-ISSN: 2460-1217</w:t>
          </w:r>
        </w:p>
      </w:tc>
    </w:tr>
  </w:tbl>
  <w:p w:rsidR="009D2B5C" w:rsidRDefault="009D2B5C"/>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701"/>
      <w:gridCol w:w="5783"/>
      <w:gridCol w:w="1701"/>
    </w:tblGrid>
    <w:tr w:rsidR="009D2B5C" w:rsidTr="00B62A4D">
      <w:tc>
        <w:tcPr>
          <w:tcW w:w="1701" w:type="dxa"/>
          <w:shd w:val="clear" w:color="auto" w:fill="auto"/>
          <w:vAlign w:val="bottom"/>
        </w:tcPr>
        <w:p w:rsidR="009D2B5C" w:rsidRDefault="009D2B5C" w:rsidP="00A55F4E">
          <w:pPr>
            <w:pStyle w:val="Header"/>
            <w:tabs>
              <w:tab w:val="clear" w:pos="4680"/>
              <w:tab w:val="clear" w:pos="9360"/>
              <w:tab w:val="left" w:pos="5556"/>
            </w:tabs>
            <w:rPr>
              <w:rFonts w:ascii="Arial" w:hAnsi="Arial" w:cs="Arial"/>
              <w:sz w:val="20"/>
              <w:szCs w:val="20"/>
              <w:lang w:val="id-ID"/>
            </w:rPr>
          </w:pPr>
          <w:r>
            <w:rPr>
              <w:noProof/>
            </w:rPr>
            <w:drawing>
              <wp:inline distT="0" distB="0" distL="0" distR="0">
                <wp:extent cx="887095" cy="8121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l="28929" t="31964" r="28990" b="30028"/>
                        <a:stretch>
                          <a:fillRect/>
                        </a:stretch>
                      </pic:blipFill>
                      <pic:spPr bwMode="auto">
                        <a:xfrm>
                          <a:off x="0" y="0"/>
                          <a:ext cx="887095" cy="812165"/>
                        </a:xfrm>
                        <a:prstGeom prst="rect">
                          <a:avLst/>
                        </a:prstGeom>
                        <a:noFill/>
                        <a:ln w="9525">
                          <a:noFill/>
                          <a:miter lim="800000"/>
                          <a:headEnd/>
                          <a:tailEnd/>
                        </a:ln>
                      </pic:spPr>
                    </pic:pic>
                  </a:graphicData>
                </a:graphic>
              </wp:inline>
            </w:drawing>
          </w:r>
        </w:p>
      </w:tc>
      <w:tc>
        <w:tcPr>
          <w:tcW w:w="5783" w:type="dxa"/>
          <w:shd w:val="clear" w:color="auto" w:fill="auto"/>
          <w:vAlign w:val="center"/>
        </w:tcPr>
        <w:p w:rsidR="009D2B5C" w:rsidRPr="00BC3D80" w:rsidRDefault="009D2B5C" w:rsidP="00BC3D80">
          <w:pPr>
            <w:pStyle w:val="Header"/>
            <w:tabs>
              <w:tab w:val="clear" w:pos="4680"/>
              <w:tab w:val="clear" w:pos="9360"/>
              <w:tab w:val="left" w:pos="5556"/>
            </w:tabs>
            <w:jc w:val="center"/>
            <w:rPr>
              <w:rFonts w:ascii="Arial" w:hAnsi="Arial" w:cs="Arial"/>
              <w:sz w:val="24"/>
              <w:szCs w:val="24"/>
            </w:rPr>
          </w:pPr>
          <w:r w:rsidRPr="00BC3D80">
            <w:rPr>
              <w:rFonts w:ascii="Arial" w:hAnsi="Arial" w:cs="Arial"/>
              <w:b/>
              <w:sz w:val="24"/>
              <w:szCs w:val="24"/>
            </w:rPr>
            <w:t>SINERGI</w:t>
          </w:r>
          <w:r w:rsidRPr="00BC3D80">
            <w:rPr>
              <w:rFonts w:ascii="Arial" w:hAnsi="Arial" w:cs="Arial"/>
              <w:sz w:val="24"/>
              <w:szCs w:val="24"/>
            </w:rPr>
            <w:t xml:space="preserve"> Vol. xx, No. x, February</w:t>
          </w:r>
          <w:r w:rsidRPr="00BC3D80">
            <w:rPr>
              <w:rFonts w:ascii="Arial" w:hAnsi="Arial" w:cs="Arial"/>
              <w:sz w:val="24"/>
              <w:szCs w:val="24"/>
              <w:lang w:val="id-ID"/>
            </w:rPr>
            <w:t xml:space="preserve"> </w:t>
          </w:r>
          <w:r w:rsidRPr="00BC3D80">
            <w:rPr>
              <w:rFonts w:ascii="Arial" w:hAnsi="Arial" w:cs="Arial"/>
              <w:sz w:val="24"/>
              <w:szCs w:val="24"/>
            </w:rPr>
            <w:t>20xx: xxx</w:t>
          </w:r>
          <w:r w:rsidRPr="00BC3D80">
            <w:rPr>
              <w:rFonts w:ascii="Arial" w:hAnsi="Arial" w:cs="Arial"/>
              <w:sz w:val="24"/>
              <w:szCs w:val="24"/>
              <w:lang w:val="id-ID"/>
            </w:rPr>
            <w:t>-</w:t>
          </w:r>
          <w:r w:rsidRPr="00BC3D80">
            <w:rPr>
              <w:rFonts w:ascii="Arial" w:hAnsi="Arial" w:cs="Arial"/>
              <w:sz w:val="24"/>
              <w:szCs w:val="24"/>
            </w:rPr>
            <w:t>xxx http://publikasi.mercubuana.ac.id/index.php/sinergi http://doi.org/10.22441/sinergi.</w:t>
          </w:r>
          <w:r w:rsidRPr="00BC3D80">
            <w:rPr>
              <w:rFonts w:ascii="Arial" w:hAnsi="Arial" w:cs="Arial"/>
              <w:sz w:val="24"/>
              <w:szCs w:val="24"/>
              <w:lang w:val="id-ID"/>
            </w:rPr>
            <w:t>xxxx</w:t>
          </w:r>
          <w:r w:rsidRPr="00BC3D80">
            <w:rPr>
              <w:rFonts w:ascii="Arial" w:hAnsi="Arial" w:cs="Arial"/>
              <w:sz w:val="24"/>
              <w:szCs w:val="24"/>
            </w:rPr>
            <w:t>.</w:t>
          </w:r>
          <w:r w:rsidRPr="00BC3D80">
            <w:rPr>
              <w:rFonts w:ascii="Arial" w:hAnsi="Arial" w:cs="Arial"/>
              <w:sz w:val="24"/>
              <w:szCs w:val="24"/>
              <w:lang w:val="id-ID"/>
            </w:rPr>
            <w:t>x</w:t>
          </w:r>
          <w:r w:rsidRPr="00BC3D80">
            <w:rPr>
              <w:rFonts w:ascii="Arial" w:hAnsi="Arial" w:cs="Arial"/>
              <w:sz w:val="24"/>
              <w:szCs w:val="24"/>
            </w:rPr>
            <w:t>.</w:t>
          </w:r>
          <w:r w:rsidRPr="00BC3D80">
            <w:rPr>
              <w:rFonts w:ascii="Arial" w:hAnsi="Arial" w:cs="Arial"/>
              <w:sz w:val="24"/>
              <w:szCs w:val="24"/>
              <w:lang w:val="id-ID"/>
            </w:rPr>
            <w:t>xxx</w:t>
          </w:r>
        </w:p>
      </w:tc>
      <w:tc>
        <w:tcPr>
          <w:tcW w:w="1701" w:type="dxa"/>
          <w:shd w:val="clear" w:color="auto" w:fill="auto"/>
          <w:vAlign w:val="center"/>
        </w:tcPr>
        <w:p w:rsidR="009D2B5C" w:rsidRDefault="009D2B5C" w:rsidP="00B62A4D">
          <w:pPr>
            <w:pStyle w:val="Header"/>
            <w:tabs>
              <w:tab w:val="clear" w:pos="9360"/>
              <w:tab w:val="left" w:pos="4680"/>
            </w:tabs>
            <w:jc w:val="center"/>
          </w:pPr>
          <w:r>
            <w:rPr>
              <w:noProof/>
            </w:rPr>
            <w:drawing>
              <wp:inline distT="0" distB="0" distL="0" distR="0">
                <wp:extent cx="628015" cy="784860"/>
                <wp:effectExtent l="19050" t="0" r="63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628015" cy="784860"/>
                        </a:xfrm>
                        <a:prstGeom prst="rect">
                          <a:avLst/>
                        </a:prstGeom>
                        <a:noFill/>
                        <a:ln w="9525">
                          <a:noFill/>
                          <a:miter lim="800000"/>
                          <a:headEnd/>
                          <a:tailEnd/>
                        </a:ln>
                      </pic:spPr>
                    </pic:pic>
                  </a:graphicData>
                </a:graphic>
              </wp:inline>
            </w:drawing>
          </w:r>
        </w:p>
      </w:tc>
    </w:tr>
  </w:tbl>
  <w:p w:rsidR="009D2B5C" w:rsidRDefault="009D2B5C">
    <w:pPr>
      <w:pStyle w:val="Header"/>
    </w:pPr>
  </w:p>
  <w:p w:rsidR="009D2B5C" w:rsidRDefault="009D2B5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A3FE9"/>
    <w:multiLevelType w:val="hybridMultilevel"/>
    <w:tmpl w:val="35BCB4E6"/>
    <w:lvl w:ilvl="0" w:tplc="E5B261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B31064"/>
    <w:multiLevelType w:val="hybridMultilevel"/>
    <w:tmpl w:val="D6E829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2A86A90"/>
    <w:multiLevelType w:val="hybridMultilevel"/>
    <w:tmpl w:val="35B6F0FE"/>
    <w:lvl w:ilvl="0" w:tplc="B7E0A248">
      <w:start w:val="1"/>
      <w:numFmt w:val="upperLetter"/>
      <w:lvlText w:val="%1."/>
      <w:lvlJc w:val="left"/>
      <w:pPr>
        <w:ind w:left="727" w:hanging="3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546161"/>
    <w:multiLevelType w:val="hybridMultilevel"/>
    <w:tmpl w:val="0788358E"/>
    <w:lvl w:ilvl="0" w:tplc="7DF81182">
      <w:start w:val="1"/>
      <w:numFmt w:val="decimal"/>
      <w:pStyle w:val="DaftarReferensi"/>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2A1351C"/>
    <w:multiLevelType w:val="hybridMultilevel"/>
    <w:tmpl w:val="5636D9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6E7955A9"/>
    <w:multiLevelType w:val="hybridMultilevel"/>
    <w:tmpl w:val="991E9F74"/>
    <w:lvl w:ilvl="0" w:tplc="15F00C68">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5"/>
  </w:num>
  <w:num w:numId="4">
    <w:abstractNumId w:val="6"/>
  </w:num>
  <w:num w:numId="5">
    <w:abstractNumId w:val="1"/>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mirrorMargins/>
  <w:defaultTabStop w:val="720"/>
  <w:evenAndOddHeaders/>
  <w:characterSpacingControl w:val="doNotCompress"/>
  <w:savePreviewPicture/>
  <w:hdrShapeDefaults>
    <o:shapedefaults v:ext="edit" spidmax="11266"/>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tDQxM7YwMDUzNrMwNLRQ0lEKTi0uzszPAykwNKoFAF9/pH4tAAAA"/>
  </w:docVars>
  <w:rsids>
    <w:rsidRoot w:val="005B7666"/>
    <w:rsid w:val="0000187F"/>
    <w:rsid w:val="00002052"/>
    <w:rsid w:val="00002767"/>
    <w:rsid w:val="00002989"/>
    <w:rsid w:val="00002BB4"/>
    <w:rsid w:val="00002FED"/>
    <w:rsid w:val="00004768"/>
    <w:rsid w:val="00004923"/>
    <w:rsid w:val="00004F92"/>
    <w:rsid w:val="00014896"/>
    <w:rsid w:val="00015DA6"/>
    <w:rsid w:val="0001699B"/>
    <w:rsid w:val="000216E3"/>
    <w:rsid w:val="000237AA"/>
    <w:rsid w:val="00023A58"/>
    <w:rsid w:val="0002452D"/>
    <w:rsid w:val="00031BFF"/>
    <w:rsid w:val="00032953"/>
    <w:rsid w:val="00032D3C"/>
    <w:rsid w:val="0003573C"/>
    <w:rsid w:val="00037A57"/>
    <w:rsid w:val="00045597"/>
    <w:rsid w:val="00046631"/>
    <w:rsid w:val="00047E55"/>
    <w:rsid w:val="0005443A"/>
    <w:rsid w:val="00056D87"/>
    <w:rsid w:val="00057AA0"/>
    <w:rsid w:val="00062A2D"/>
    <w:rsid w:val="00071A8E"/>
    <w:rsid w:val="00072FD8"/>
    <w:rsid w:val="00073D5E"/>
    <w:rsid w:val="00076FC3"/>
    <w:rsid w:val="00077F91"/>
    <w:rsid w:val="00080282"/>
    <w:rsid w:val="00080421"/>
    <w:rsid w:val="00081DC2"/>
    <w:rsid w:val="00084800"/>
    <w:rsid w:val="0009340F"/>
    <w:rsid w:val="000978F7"/>
    <w:rsid w:val="000A49DD"/>
    <w:rsid w:val="000A4ADF"/>
    <w:rsid w:val="000C2BF1"/>
    <w:rsid w:val="000C3548"/>
    <w:rsid w:val="000C3FFE"/>
    <w:rsid w:val="000C459D"/>
    <w:rsid w:val="000C6D1F"/>
    <w:rsid w:val="000D57DE"/>
    <w:rsid w:val="000D684F"/>
    <w:rsid w:val="000E1E9B"/>
    <w:rsid w:val="000E43D5"/>
    <w:rsid w:val="000E5E07"/>
    <w:rsid w:val="000F1284"/>
    <w:rsid w:val="00105E56"/>
    <w:rsid w:val="00106046"/>
    <w:rsid w:val="0011170E"/>
    <w:rsid w:val="00111C8E"/>
    <w:rsid w:val="00116186"/>
    <w:rsid w:val="0012144A"/>
    <w:rsid w:val="00121E97"/>
    <w:rsid w:val="0012420A"/>
    <w:rsid w:val="00126FAA"/>
    <w:rsid w:val="00132885"/>
    <w:rsid w:val="00132DB4"/>
    <w:rsid w:val="00142331"/>
    <w:rsid w:val="001445A1"/>
    <w:rsid w:val="00147B63"/>
    <w:rsid w:val="00153B0E"/>
    <w:rsid w:val="00156403"/>
    <w:rsid w:val="0016058C"/>
    <w:rsid w:val="0016109B"/>
    <w:rsid w:val="001665D2"/>
    <w:rsid w:val="00166E8E"/>
    <w:rsid w:val="00171F2D"/>
    <w:rsid w:val="00172811"/>
    <w:rsid w:val="00172E6D"/>
    <w:rsid w:val="0017519A"/>
    <w:rsid w:val="00185232"/>
    <w:rsid w:val="00190C8E"/>
    <w:rsid w:val="00192A88"/>
    <w:rsid w:val="00193E8D"/>
    <w:rsid w:val="00193F0C"/>
    <w:rsid w:val="00197D01"/>
    <w:rsid w:val="001A18AE"/>
    <w:rsid w:val="001B0208"/>
    <w:rsid w:val="001B2F5B"/>
    <w:rsid w:val="001B6829"/>
    <w:rsid w:val="001B685A"/>
    <w:rsid w:val="001B6BB9"/>
    <w:rsid w:val="001C182F"/>
    <w:rsid w:val="001C41C0"/>
    <w:rsid w:val="001C5AED"/>
    <w:rsid w:val="001C62D9"/>
    <w:rsid w:val="001D3C1E"/>
    <w:rsid w:val="001D78BA"/>
    <w:rsid w:val="001E218A"/>
    <w:rsid w:val="001E5FED"/>
    <w:rsid w:val="001E6EC3"/>
    <w:rsid w:val="001F556A"/>
    <w:rsid w:val="001F7F74"/>
    <w:rsid w:val="002051DE"/>
    <w:rsid w:val="0021107D"/>
    <w:rsid w:val="002149C9"/>
    <w:rsid w:val="00214B29"/>
    <w:rsid w:val="00214BCB"/>
    <w:rsid w:val="00221A0A"/>
    <w:rsid w:val="0022228D"/>
    <w:rsid w:val="00222783"/>
    <w:rsid w:val="00222973"/>
    <w:rsid w:val="00223A18"/>
    <w:rsid w:val="0022535A"/>
    <w:rsid w:val="00227D9B"/>
    <w:rsid w:val="00227FF6"/>
    <w:rsid w:val="002319B6"/>
    <w:rsid w:val="00233F9E"/>
    <w:rsid w:val="00236E14"/>
    <w:rsid w:val="00237377"/>
    <w:rsid w:val="0024063B"/>
    <w:rsid w:val="00244A6C"/>
    <w:rsid w:val="00250348"/>
    <w:rsid w:val="00250653"/>
    <w:rsid w:val="00256625"/>
    <w:rsid w:val="00256E9E"/>
    <w:rsid w:val="00257EDD"/>
    <w:rsid w:val="00262217"/>
    <w:rsid w:val="00263644"/>
    <w:rsid w:val="00264230"/>
    <w:rsid w:val="00264451"/>
    <w:rsid w:val="0026489A"/>
    <w:rsid w:val="00267390"/>
    <w:rsid w:val="00270ED2"/>
    <w:rsid w:val="002713ED"/>
    <w:rsid w:val="002718F6"/>
    <w:rsid w:val="002766D1"/>
    <w:rsid w:val="00277585"/>
    <w:rsid w:val="0027776C"/>
    <w:rsid w:val="00280E13"/>
    <w:rsid w:val="0028488E"/>
    <w:rsid w:val="00291184"/>
    <w:rsid w:val="0029333C"/>
    <w:rsid w:val="00294B01"/>
    <w:rsid w:val="002A1ED2"/>
    <w:rsid w:val="002A26EA"/>
    <w:rsid w:val="002A526B"/>
    <w:rsid w:val="002A69F9"/>
    <w:rsid w:val="002B0203"/>
    <w:rsid w:val="002B1945"/>
    <w:rsid w:val="002B3A2D"/>
    <w:rsid w:val="002C0939"/>
    <w:rsid w:val="002C0D36"/>
    <w:rsid w:val="002C34AD"/>
    <w:rsid w:val="002C451D"/>
    <w:rsid w:val="002D2FCA"/>
    <w:rsid w:val="002E0930"/>
    <w:rsid w:val="002E36EC"/>
    <w:rsid w:val="002E5824"/>
    <w:rsid w:val="002F0828"/>
    <w:rsid w:val="002F1518"/>
    <w:rsid w:val="002F2DF7"/>
    <w:rsid w:val="002F4582"/>
    <w:rsid w:val="002F54AF"/>
    <w:rsid w:val="002F5C24"/>
    <w:rsid w:val="0030097A"/>
    <w:rsid w:val="003009FC"/>
    <w:rsid w:val="00301717"/>
    <w:rsid w:val="00304BE1"/>
    <w:rsid w:val="00306E55"/>
    <w:rsid w:val="00307C89"/>
    <w:rsid w:val="00311C8D"/>
    <w:rsid w:val="00316F93"/>
    <w:rsid w:val="00323D37"/>
    <w:rsid w:val="00323E00"/>
    <w:rsid w:val="00327FC9"/>
    <w:rsid w:val="00331DDB"/>
    <w:rsid w:val="003347A2"/>
    <w:rsid w:val="00334D0A"/>
    <w:rsid w:val="00335632"/>
    <w:rsid w:val="003376E3"/>
    <w:rsid w:val="00343B81"/>
    <w:rsid w:val="00345A10"/>
    <w:rsid w:val="00346D0A"/>
    <w:rsid w:val="00347CE7"/>
    <w:rsid w:val="00354BC9"/>
    <w:rsid w:val="00356105"/>
    <w:rsid w:val="00366109"/>
    <w:rsid w:val="00366DB4"/>
    <w:rsid w:val="0037210A"/>
    <w:rsid w:val="00372B76"/>
    <w:rsid w:val="00375AB8"/>
    <w:rsid w:val="0037606D"/>
    <w:rsid w:val="00376D22"/>
    <w:rsid w:val="0038011E"/>
    <w:rsid w:val="00385D9D"/>
    <w:rsid w:val="00386910"/>
    <w:rsid w:val="00390557"/>
    <w:rsid w:val="0039099D"/>
    <w:rsid w:val="003926B2"/>
    <w:rsid w:val="0039599F"/>
    <w:rsid w:val="00397EF0"/>
    <w:rsid w:val="003A0E0C"/>
    <w:rsid w:val="003A6E47"/>
    <w:rsid w:val="003A6E81"/>
    <w:rsid w:val="003C17FE"/>
    <w:rsid w:val="003C2D9A"/>
    <w:rsid w:val="003C2E88"/>
    <w:rsid w:val="003C4080"/>
    <w:rsid w:val="003C67CE"/>
    <w:rsid w:val="003D2113"/>
    <w:rsid w:val="003D3A6B"/>
    <w:rsid w:val="003D7948"/>
    <w:rsid w:val="003E14BF"/>
    <w:rsid w:val="003E4436"/>
    <w:rsid w:val="003E4D27"/>
    <w:rsid w:val="003F34F1"/>
    <w:rsid w:val="003F3967"/>
    <w:rsid w:val="003F49E8"/>
    <w:rsid w:val="003F4B3D"/>
    <w:rsid w:val="00403B19"/>
    <w:rsid w:val="0041021D"/>
    <w:rsid w:val="0041399D"/>
    <w:rsid w:val="00413FE5"/>
    <w:rsid w:val="0041732A"/>
    <w:rsid w:val="004209D0"/>
    <w:rsid w:val="00420A74"/>
    <w:rsid w:val="00421887"/>
    <w:rsid w:val="00432B3C"/>
    <w:rsid w:val="00433143"/>
    <w:rsid w:val="00441193"/>
    <w:rsid w:val="00444FFE"/>
    <w:rsid w:val="00451CB2"/>
    <w:rsid w:val="00454CA3"/>
    <w:rsid w:val="00464D18"/>
    <w:rsid w:val="0046561A"/>
    <w:rsid w:val="00470F91"/>
    <w:rsid w:val="004717A0"/>
    <w:rsid w:val="00473638"/>
    <w:rsid w:val="00476BF2"/>
    <w:rsid w:val="00482597"/>
    <w:rsid w:val="004836C1"/>
    <w:rsid w:val="004857E8"/>
    <w:rsid w:val="00487F54"/>
    <w:rsid w:val="0049295C"/>
    <w:rsid w:val="00494E9B"/>
    <w:rsid w:val="004A4FC8"/>
    <w:rsid w:val="004B3C3F"/>
    <w:rsid w:val="004B5E4A"/>
    <w:rsid w:val="004B6F05"/>
    <w:rsid w:val="004C2077"/>
    <w:rsid w:val="004C473F"/>
    <w:rsid w:val="004D0608"/>
    <w:rsid w:val="004D38C3"/>
    <w:rsid w:val="004D3A08"/>
    <w:rsid w:val="004D4D42"/>
    <w:rsid w:val="004D6BFC"/>
    <w:rsid w:val="004E106D"/>
    <w:rsid w:val="004E2D85"/>
    <w:rsid w:val="004E506C"/>
    <w:rsid w:val="004E5A84"/>
    <w:rsid w:val="004E736D"/>
    <w:rsid w:val="004F05F6"/>
    <w:rsid w:val="004F08CA"/>
    <w:rsid w:val="004F29D4"/>
    <w:rsid w:val="004F2B33"/>
    <w:rsid w:val="004F2CE0"/>
    <w:rsid w:val="004F3AC2"/>
    <w:rsid w:val="004F3ADD"/>
    <w:rsid w:val="004F7285"/>
    <w:rsid w:val="004F765A"/>
    <w:rsid w:val="00505BDA"/>
    <w:rsid w:val="0051666C"/>
    <w:rsid w:val="0052300B"/>
    <w:rsid w:val="00524653"/>
    <w:rsid w:val="00524BC4"/>
    <w:rsid w:val="005315A2"/>
    <w:rsid w:val="005330A8"/>
    <w:rsid w:val="005429E6"/>
    <w:rsid w:val="005436D7"/>
    <w:rsid w:val="00544F2F"/>
    <w:rsid w:val="00547046"/>
    <w:rsid w:val="00554B33"/>
    <w:rsid w:val="00563F23"/>
    <w:rsid w:val="00573ADA"/>
    <w:rsid w:val="00574B0E"/>
    <w:rsid w:val="00574E1F"/>
    <w:rsid w:val="0058068D"/>
    <w:rsid w:val="00582714"/>
    <w:rsid w:val="00585990"/>
    <w:rsid w:val="00590B44"/>
    <w:rsid w:val="005916AE"/>
    <w:rsid w:val="00593099"/>
    <w:rsid w:val="00595EF9"/>
    <w:rsid w:val="005A1561"/>
    <w:rsid w:val="005A3263"/>
    <w:rsid w:val="005A3991"/>
    <w:rsid w:val="005A532B"/>
    <w:rsid w:val="005B0DE3"/>
    <w:rsid w:val="005B15AD"/>
    <w:rsid w:val="005B5423"/>
    <w:rsid w:val="005B6460"/>
    <w:rsid w:val="005B7666"/>
    <w:rsid w:val="005D1FD6"/>
    <w:rsid w:val="005D54D8"/>
    <w:rsid w:val="005D6E53"/>
    <w:rsid w:val="005E5814"/>
    <w:rsid w:val="005F1C20"/>
    <w:rsid w:val="00606939"/>
    <w:rsid w:val="006123C5"/>
    <w:rsid w:val="006316D4"/>
    <w:rsid w:val="00635560"/>
    <w:rsid w:val="00641C3E"/>
    <w:rsid w:val="00645B49"/>
    <w:rsid w:val="0066286D"/>
    <w:rsid w:val="00662C66"/>
    <w:rsid w:val="0066607C"/>
    <w:rsid w:val="0066753C"/>
    <w:rsid w:val="00667C93"/>
    <w:rsid w:val="00676CAF"/>
    <w:rsid w:val="00676EEF"/>
    <w:rsid w:val="00686975"/>
    <w:rsid w:val="00686C6F"/>
    <w:rsid w:val="00695549"/>
    <w:rsid w:val="00695C9A"/>
    <w:rsid w:val="00695CCF"/>
    <w:rsid w:val="00696495"/>
    <w:rsid w:val="00696D5F"/>
    <w:rsid w:val="006A36BD"/>
    <w:rsid w:val="006A5D0F"/>
    <w:rsid w:val="006B46CF"/>
    <w:rsid w:val="006B739E"/>
    <w:rsid w:val="006C193B"/>
    <w:rsid w:val="006C468C"/>
    <w:rsid w:val="006C4769"/>
    <w:rsid w:val="006C5AA1"/>
    <w:rsid w:val="006C5F43"/>
    <w:rsid w:val="006D3866"/>
    <w:rsid w:val="006E267C"/>
    <w:rsid w:val="006E2BB9"/>
    <w:rsid w:val="006E590F"/>
    <w:rsid w:val="006F09CA"/>
    <w:rsid w:val="006F0B0D"/>
    <w:rsid w:val="00703305"/>
    <w:rsid w:val="007033C7"/>
    <w:rsid w:val="007052C7"/>
    <w:rsid w:val="00710714"/>
    <w:rsid w:val="00713B7E"/>
    <w:rsid w:val="00715274"/>
    <w:rsid w:val="007170A8"/>
    <w:rsid w:val="0072283A"/>
    <w:rsid w:val="00724D19"/>
    <w:rsid w:val="00744B11"/>
    <w:rsid w:val="00745322"/>
    <w:rsid w:val="00747762"/>
    <w:rsid w:val="00747DDC"/>
    <w:rsid w:val="00750639"/>
    <w:rsid w:val="007527B9"/>
    <w:rsid w:val="007534D3"/>
    <w:rsid w:val="00753C6B"/>
    <w:rsid w:val="00756850"/>
    <w:rsid w:val="00761F48"/>
    <w:rsid w:val="0076208A"/>
    <w:rsid w:val="00763FF1"/>
    <w:rsid w:val="007731BB"/>
    <w:rsid w:val="0077678B"/>
    <w:rsid w:val="00780A3F"/>
    <w:rsid w:val="00784324"/>
    <w:rsid w:val="00784385"/>
    <w:rsid w:val="00786A98"/>
    <w:rsid w:val="00787A92"/>
    <w:rsid w:val="007A79C9"/>
    <w:rsid w:val="007B1FE7"/>
    <w:rsid w:val="007B3ECA"/>
    <w:rsid w:val="007B5DF1"/>
    <w:rsid w:val="007C14FD"/>
    <w:rsid w:val="007C17E3"/>
    <w:rsid w:val="007C2465"/>
    <w:rsid w:val="007C395A"/>
    <w:rsid w:val="007C52C2"/>
    <w:rsid w:val="007C7516"/>
    <w:rsid w:val="007D177F"/>
    <w:rsid w:val="007D17BC"/>
    <w:rsid w:val="007D4DE8"/>
    <w:rsid w:val="007D5EDF"/>
    <w:rsid w:val="007E125F"/>
    <w:rsid w:val="007F3B65"/>
    <w:rsid w:val="007F55E9"/>
    <w:rsid w:val="007F5A37"/>
    <w:rsid w:val="007F77E8"/>
    <w:rsid w:val="007F7DCE"/>
    <w:rsid w:val="00800161"/>
    <w:rsid w:val="0080192C"/>
    <w:rsid w:val="00802203"/>
    <w:rsid w:val="00803E46"/>
    <w:rsid w:val="0080506C"/>
    <w:rsid w:val="008054DD"/>
    <w:rsid w:val="0080716E"/>
    <w:rsid w:val="00807EF2"/>
    <w:rsid w:val="008120EA"/>
    <w:rsid w:val="00813287"/>
    <w:rsid w:val="008143CD"/>
    <w:rsid w:val="00815021"/>
    <w:rsid w:val="0081776F"/>
    <w:rsid w:val="00817947"/>
    <w:rsid w:val="00821EDA"/>
    <w:rsid w:val="00824556"/>
    <w:rsid w:val="00824D76"/>
    <w:rsid w:val="00830581"/>
    <w:rsid w:val="0083064A"/>
    <w:rsid w:val="00834153"/>
    <w:rsid w:val="00836970"/>
    <w:rsid w:val="00841D3C"/>
    <w:rsid w:val="008424DD"/>
    <w:rsid w:val="008431FE"/>
    <w:rsid w:val="00844432"/>
    <w:rsid w:val="00845C04"/>
    <w:rsid w:val="0085059D"/>
    <w:rsid w:val="008516C5"/>
    <w:rsid w:val="00854A94"/>
    <w:rsid w:val="00860E11"/>
    <w:rsid w:val="00860F09"/>
    <w:rsid w:val="00865B88"/>
    <w:rsid w:val="0087089A"/>
    <w:rsid w:val="008729DE"/>
    <w:rsid w:val="00873C6C"/>
    <w:rsid w:val="0087711E"/>
    <w:rsid w:val="00880729"/>
    <w:rsid w:val="00881974"/>
    <w:rsid w:val="008873D3"/>
    <w:rsid w:val="008A1448"/>
    <w:rsid w:val="008A1A80"/>
    <w:rsid w:val="008A5552"/>
    <w:rsid w:val="008B2F52"/>
    <w:rsid w:val="008B3217"/>
    <w:rsid w:val="008B34BA"/>
    <w:rsid w:val="008B7508"/>
    <w:rsid w:val="008B7F07"/>
    <w:rsid w:val="008C3125"/>
    <w:rsid w:val="008C4748"/>
    <w:rsid w:val="008C47A8"/>
    <w:rsid w:val="008D1455"/>
    <w:rsid w:val="008E3473"/>
    <w:rsid w:val="008E4040"/>
    <w:rsid w:val="008E524D"/>
    <w:rsid w:val="008E6B81"/>
    <w:rsid w:val="008F692C"/>
    <w:rsid w:val="009009C0"/>
    <w:rsid w:val="0090181A"/>
    <w:rsid w:val="009063B7"/>
    <w:rsid w:val="009075F6"/>
    <w:rsid w:val="0091044D"/>
    <w:rsid w:val="009104FA"/>
    <w:rsid w:val="00910635"/>
    <w:rsid w:val="009116AE"/>
    <w:rsid w:val="009120C2"/>
    <w:rsid w:val="009315F8"/>
    <w:rsid w:val="00936D8F"/>
    <w:rsid w:val="009413C9"/>
    <w:rsid w:val="00950CDC"/>
    <w:rsid w:val="0095342E"/>
    <w:rsid w:val="00956F63"/>
    <w:rsid w:val="009570FF"/>
    <w:rsid w:val="00957607"/>
    <w:rsid w:val="00960026"/>
    <w:rsid w:val="009641D4"/>
    <w:rsid w:val="0098055A"/>
    <w:rsid w:val="0098071B"/>
    <w:rsid w:val="00983670"/>
    <w:rsid w:val="00983AD6"/>
    <w:rsid w:val="00985E77"/>
    <w:rsid w:val="0099189B"/>
    <w:rsid w:val="009A0A47"/>
    <w:rsid w:val="009A16C8"/>
    <w:rsid w:val="009A4DE6"/>
    <w:rsid w:val="009B24FC"/>
    <w:rsid w:val="009B2D2B"/>
    <w:rsid w:val="009B342F"/>
    <w:rsid w:val="009B4798"/>
    <w:rsid w:val="009B4D39"/>
    <w:rsid w:val="009B544A"/>
    <w:rsid w:val="009B5B26"/>
    <w:rsid w:val="009C5396"/>
    <w:rsid w:val="009C7FF8"/>
    <w:rsid w:val="009D013C"/>
    <w:rsid w:val="009D098E"/>
    <w:rsid w:val="009D271D"/>
    <w:rsid w:val="009D2B5C"/>
    <w:rsid w:val="009D3BFA"/>
    <w:rsid w:val="009D40A0"/>
    <w:rsid w:val="009D45CF"/>
    <w:rsid w:val="009E2018"/>
    <w:rsid w:val="009F0030"/>
    <w:rsid w:val="00A00D47"/>
    <w:rsid w:val="00A06929"/>
    <w:rsid w:val="00A108D8"/>
    <w:rsid w:val="00A10EDF"/>
    <w:rsid w:val="00A11902"/>
    <w:rsid w:val="00A11EAA"/>
    <w:rsid w:val="00A15684"/>
    <w:rsid w:val="00A20FCF"/>
    <w:rsid w:val="00A2416D"/>
    <w:rsid w:val="00A2567D"/>
    <w:rsid w:val="00A3063B"/>
    <w:rsid w:val="00A308A2"/>
    <w:rsid w:val="00A3594A"/>
    <w:rsid w:val="00A37AB6"/>
    <w:rsid w:val="00A404DE"/>
    <w:rsid w:val="00A517F5"/>
    <w:rsid w:val="00A52014"/>
    <w:rsid w:val="00A55F4E"/>
    <w:rsid w:val="00A63A60"/>
    <w:rsid w:val="00A6409A"/>
    <w:rsid w:val="00A667BD"/>
    <w:rsid w:val="00A741BF"/>
    <w:rsid w:val="00A74E87"/>
    <w:rsid w:val="00A80D4B"/>
    <w:rsid w:val="00A8567C"/>
    <w:rsid w:val="00A85B49"/>
    <w:rsid w:val="00A878F8"/>
    <w:rsid w:val="00A91376"/>
    <w:rsid w:val="00A91704"/>
    <w:rsid w:val="00A93955"/>
    <w:rsid w:val="00AA0A6F"/>
    <w:rsid w:val="00AA3CB4"/>
    <w:rsid w:val="00AA3EFF"/>
    <w:rsid w:val="00AA619B"/>
    <w:rsid w:val="00AB1B3B"/>
    <w:rsid w:val="00AC3636"/>
    <w:rsid w:val="00AD6DA2"/>
    <w:rsid w:val="00AE1F2D"/>
    <w:rsid w:val="00AF07E1"/>
    <w:rsid w:val="00AF0BB7"/>
    <w:rsid w:val="00AF1D26"/>
    <w:rsid w:val="00AF2F52"/>
    <w:rsid w:val="00AF61C6"/>
    <w:rsid w:val="00AF722B"/>
    <w:rsid w:val="00AF7948"/>
    <w:rsid w:val="00B00202"/>
    <w:rsid w:val="00B0441B"/>
    <w:rsid w:val="00B11E39"/>
    <w:rsid w:val="00B127E6"/>
    <w:rsid w:val="00B15C49"/>
    <w:rsid w:val="00B1663F"/>
    <w:rsid w:val="00B17D82"/>
    <w:rsid w:val="00B2047F"/>
    <w:rsid w:val="00B2097D"/>
    <w:rsid w:val="00B34BF9"/>
    <w:rsid w:val="00B36D1A"/>
    <w:rsid w:val="00B45EB1"/>
    <w:rsid w:val="00B51C0A"/>
    <w:rsid w:val="00B531B1"/>
    <w:rsid w:val="00B54A9C"/>
    <w:rsid w:val="00B579B8"/>
    <w:rsid w:val="00B60204"/>
    <w:rsid w:val="00B62A4D"/>
    <w:rsid w:val="00B6323B"/>
    <w:rsid w:val="00B63342"/>
    <w:rsid w:val="00B642EF"/>
    <w:rsid w:val="00B71CE8"/>
    <w:rsid w:val="00B753B5"/>
    <w:rsid w:val="00B762CA"/>
    <w:rsid w:val="00B87A8F"/>
    <w:rsid w:val="00BA1C2B"/>
    <w:rsid w:val="00BB43C5"/>
    <w:rsid w:val="00BB4556"/>
    <w:rsid w:val="00BB6648"/>
    <w:rsid w:val="00BC3D80"/>
    <w:rsid w:val="00BD1E65"/>
    <w:rsid w:val="00BD3977"/>
    <w:rsid w:val="00BE0214"/>
    <w:rsid w:val="00BE1604"/>
    <w:rsid w:val="00BE2949"/>
    <w:rsid w:val="00BE2A2B"/>
    <w:rsid w:val="00BE31E5"/>
    <w:rsid w:val="00BE54D5"/>
    <w:rsid w:val="00BE782E"/>
    <w:rsid w:val="00BF1A16"/>
    <w:rsid w:val="00BF7DA3"/>
    <w:rsid w:val="00C04CA6"/>
    <w:rsid w:val="00C04E3B"/>
    <w:rsid w:val="00C05660"/>
    <w:rsid w:val="00C1028D"/>
    <w:rsid w:val="00C13CE8"/>
    <w:rsid w:val="00C14198"/>
    <w:rsid w:val="00C17DA8"/>
    <w:rsid w:val="00C25C2E"/>
    <w:rsid w:val="00C36519"/>
    <w:rsid w:val="00C46618"/>
    <w:rsid w:val="00C466FA"/>
    <w:rsid w:val="00C50553"/>
    <w:rsid w:val="00C533EC"/>
    <w:rsid w:val="00C54B22"/>
    <w:rsid w:val="00C5682E"/>
    <w:rsid w:val="00C61BD8"/>
    <w:rsid w:val="00C62B9A"/>
    <w:rsid w:val="00C63A3C"/>
    <w:rsid w:val="00C67245"/>
    <w:rsid w:val="00C74F74"/>
    <w:rsid w:val="00C7685A"/>
    <w:rsid w:val="00C847C6"/>
    <w:rsid w:val="00C90ED0"/>
    <w:rsid w:val="00C92205"/>
    <w:rsid w:val="00C92569"/>
    <w:rsid w:val="00C94E4C"/>
    <w:rsid w:val="00C97101"/>
    <w:rsid w:val="00C97FDC"/>
    <w:rsid w:val="00CA0D39"/>
    <w:rsid w:val="00CA12C4"/>
    <w:rsid w:val="00CA1A67"/>
    <w:rsid w:val="00CA1B0D"/>
    <w:rsid w:val="00CA2F65"/>
    <w:rsid w:val="00CA3709"/>
    <w:rsid w:val="00CA564B"/>
    <w:rsid w:val="00CA606B"/>
    <w:rsid w:val="00CA6919"/>
    <w:rsid w:val="00CB0804"/>
    <w:rsid w:val="00CB1245"/>
    <w:rsid w:val="00CB187F"/>
    <w:rsid w:val="00CB24B2"/>
    <w:rsid w:val="00CB6A42"/>
    <w:rsid w:val="00CB71AC"/>
    <w:rsid w:val="00CC08D1"/>
    <w:rsid w:val="00CC4282"/>
    <w:rsid w:val="00CC5ECD"/>
    <w:rsid w:val="00CC67E9"/>
    <w:rsid w:val="00CE0C43"/>
    <w:rsid w:val="00CE2E0A"/>
    <w:rsid w:val="00CE7A10"/>
    <w:rsid w:val="00CE7DC2"/>
    <w:rsid w:val="00CF2348"/>
    <w:rsid w:val="00CF23B0"/>
    <w:rsid w:val="00CF2901"/>
    <w:rsid w:val="00D00934"/>
    <w:rsid w:val="00D07533"/>
    <w:rsid w:val="00D07CCC"/>
    <w:rsid w:val="00D127F6"/>
    <w:rsid w:val="00D16D84"/>
    <w:rsid w:val="00D2495A"/>
    <w:rsid w:val="00D36730"/>
    <w:rsid w:val="00D36796"/>
    <w:rsid w:val="00D376DD"/>
    <w:rsid w:val="00D407DE"/>
    <w:rsid w:val="00D41910"/>
    <w:rsid w:val="00D41A9C"/>
    <w:rsid w:val="00D42DF5"/>
    <w:rsid w:val="00D51E61"/>
    <w:rsid w:val="00D53240"/>
    <w:rsid w:val="00D5425E"/>
    <w:rsid w:val="00D710AA"/>
    <w:rsid w:val="00D739FF"/>
    <w:rsid w:val="00D76153"/>
    <w:rsid w:val="00D77F7F"/>
    <w:rsid w:val="00D8075D"/>
    <w:rsid w:val="00D814C9"/>
    <w:rsid w:val="00D92F50"/>
    <w:rsid w:val="00D93A6C"/>
    <w:rsid w:val="00D95081"/>
    <w:rsid w:val="00D96BD8"/>
    <w:rsid w:val="00DA7E85"/>
    <w:rsid w:val="00DB0AC5"/>
    <w:rsid w:val="00DB2BC3"/>
    <w:rsid w:val="00DB2C6F"/>
    <w:rsid w:val="00DB6325"/>
    <w:rsid w:val="00DC01B9"/>
    <w:rsid w:val="00DC3146"/>
    <w:rsid w:val="00DC3A75"/>
    <w:rsid w:val="00DC6376"/>
    <w:rsid w:val="00DE78D7"/>
    <w:rsid w:val="00DF0C67"/>
    <w:rsid w:val="00DF2396"/>
    <w:rsid w:val="00DF2B68"/>
    <w:rsid w:val="00DF7A62"/>
    <w:rsid w:val="00E01DB4"/>
    <w:rsid w:val="00E03E4C"/>
    <w:rsid w:val="00E0525A"/>
    <w:rsid w:val="00E12FCC"/>
    <w:rsid w:val="00E132C9"/>
    <w:rsid w:val="00E147BE"/>
    <w:rsid w:val="00E1688A"/>
    <w:rsid w:val="00E170F0"/>
    <w:rsid w:val="00E20409"/>
    <w:rsid w:val="00E2319C"/>
    <w:rsid w:val="00E24C02"/>
    <w:rsid w:val="00E257C3"/>
    <w:rsid w:val="00E26BC6"/>
    <w:rsid w:val="00E26E02"/>
    <w:rsid w:val="00E26E92"/>
    <w:rsid w:val="00E27F5C"/>
    <w:rsid w:val="00E32328"/>
    <w:rsid w:val="00E335EE"/>
    <w:rsid w:val="00E42287"/>
    <w:rsid w:val="00E5772C"/>
    <w:rsid w:val="00E57F5B"/>
    <w:rsid w:val="00E64AFD"/>
    <w:rsid w:val="00E65E86"/>
    <w:rsid w:val="00E66FDA"/>
    <w:rsid w:val="00E67B0A"/>
    <w:rsid w:val="00E77105"/>
    <w:rsid w:val="00E77EE0"/>
    <w:rsid w:val="00E852EC"/>
    <w:rsid w:val="00E85753"/>
    <w:rsid w:val="00E86CBD"/>
    <w:rsid w:val="00E95EDF"/>
    <w:rsid w:val="00EA73D1"/>
    <w:rsid w:val="00EB119E"/>
    <w:rsid w:val="00EB1AA6"/>
    <w:rsid w:val="00EB3566"/>
    <w:rsid w:val="00EB3CAE"/>
    <w:rsid w:val="00EB3CD4"/>
    <w:rsid w:val="00EB4591"/>
    <w:rsid w:val="00EC45E0"/>
    <w:rsid w:val="00EC7CFB"/>
    <w:rsid w:val="00EC7D2F"/>
    <w:rsid w:val="00EC7FF1"/>
    <w:rsid w:val="00ED084B"/>
    <w:rsid w:val="00ED193C"/>
    <w:rsid w:val="00ED23E0"/>
    <w:rsid w:val="00ED2688"/>
    <w:rsid w:val="00ED4DCF"/>
    <w:rsid w:val="00ED5186"/>
    <w:rsid w:val="00ED6230"/>
    <w:rsid w:val="00ED7438"/>
    <w:rsid w:val="00EE162F"/>
    <w:rsid w:val="00EE2CE9"/>
    <w:rsid w:val="00EE35BA"/>
    <w:rsid w:val="00EE420C"/>
    <w:rsid w:val="00EF11C6"/>
    <w:rsid w:val="00EF5F30"/>
    <w:rsid w:val="00EF6A40"/>
    <w:rsid w:val="00F01AB5"/>
    <w:rsid w:val="00F22651"/>
    <w:rsid w:val="00F2698A"/>
    <w:rsid w:val="00F27EFF"/>
    <w:rsid w:val="00F339B8"/>
    <w:rsid w:val="00F33B19"/>
    <w:rsid w:val="00F34F99"/>
    <w:rsid w:val="00F37CD6"/>
    <w:rsid w:val="00F40D7D"/>
    <w:rsid w:val="00F40E03"/>
    <w:rsid w:val="00F41885"/>
    <w:rsid w:val="00F41EF6"/>
    <w:rsid w:val="00F43A97"/>
    <w:rsid w:val="00F43D96"/>
    <w:rsid w:val="00F450F9"/>
    <w:rsid w:val="00F47EA1"/>
    <w:rsid w:val="00F50AE5"/>
    <w:rsid w:val="00F51C3D"/>
    <w:rsid w:val="00F549EB"/>
    <w:rsid w:val="00F54C24"/>
    <w:rsid w:val="00F61C50"/>
    <w:rsid w:val="00F6397A"/>
    <w:rsid w:val="00F64711"/>
    <w:rsid w:val="00F66A96"/>
    <w:rsid w:val="00F67902"/>
    <w:rsid w:val="00F71B78"/>
    <w:rsid w:val="00F72BE5"/>
    <w:rsid w:val="00F72CED"/>
    <w:rsid w:val="00F81D4C"/>
    <w:rsid w:val="00F84825"/>
    <w:rsid w:val="00F855D6"/>
    <w:rsid w:val="00F859E5"/>
    <w:rsid w:val="00F90085"/>
    <w:rsid w:val="00F933CE"/>
    <w:rsid w:val="00F979D0"/>
    <w:rsid w:val="00FA2D0B"/>
    <w:rsid w:val="00FA3ABC"/>
    <w:rsid w:val="00FA63D7"/>
    <w:rsid w:val="00FB36A4"/>
    <w:rsid w:val="00FB3851"/>
    <w:rsid w:val="00FB59B4"/>
    <w:rsid w:val="00FB5EBC"/>
    <w:rsid w:val="00FC1FE8"/>
    <w:rsid w:val="00FC7E7F"/>
    <w:rsid w:val="00FD02E9"/>
    <w:rsid w:val="00FD54A2"/>
    <w:rsid w:val="00FD6F9B"/>
    <w:rsid w:val="00FD7224"/>
    <w:rsid w:val="00FE071C"/>
    <w:rsid w:val="00FE1349"/>
    <w:rsid w:val="00FE2CBF"/>
    <w:rsid w:val="00FF20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HTML Preformatted" w:uiPriority="0"/>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666"/>
    <w:pPr>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B7666"/>
    <w:pPr>
      <w:ind w:left="720"/>
      <w:contextualSpacing/>
    </w:pPr>
  </w:style>
  <w:style w:type="paragraph" w:styleId="BalloonText">
    <w:name w:val="Balloon Text"/>
    <w:basedOn w:val="Normal"/>
    <w:link w:val="BalloonTextChar"/>
    <w:uiPriority w:val="99"/>
    <w:semiHidden/>
    <w:unhideWhenUsed/>
    <w:rsid w:val="005B766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B7666"/>
    <w:rPr>
      <w:rFonts w:ascii="Tahoma" w:eastAsia="Times New Roman" w:hAnsi="Tahoma" w:cs="Tahoma"/>
      <w:sz w:val="16"/>
      <w:szCs w:val="16"/>
    </w:rPr>
  </w:style>
  <w:style w:type="paragraph" w:customStyle="1" w:styleId="ratatengah">
    <w:name w:val="rata tengah"/>
    <w:basedOn w:val="Normal"/>
    <w:rsid w:val="00F22651"/>
    <w:pPr>
      <w:keepNext/>
      <w:spacing w:after="0" w:line="240" w:lineRule="auto"/>
      <w:jc w:val="center"/>
    </w:pPr>
    <w:rPr>
      <w:rFonts w:ascii="Times New Roman" w:hAnsi="Times New Roman"/>
      <w:sz w:val="20"/>
      <w:szCs w:val="24"/>
      <w:lang w:val="id-ID"/>
    </w:rPr>
  </w:style>
  <w:style w:type="paragraph" w:styleId="Caption">
    <w:name w:val="caption"/>
    <w:basedOn w:val="Normal"/>
    <w:next w:val="Normal"/>
    <w:qFormat/>
    <w:rsid w:val="006B46CF"/>
    <w:pPr>
      <w:spacing w:before="120" w:after="120" w:line="240" w:lineRule="auto"/>
      <w:jc w:val="both"/>
    </w:pPr>
    <w:rPr>
      <w:rFonts w:ascii="Times New Roman" w:hAnsi="Times New Roman"/>
      <w:bCs/>
      <w:sz w:val="20"/>
      <w:szCs w:val="20"/>
      <w:lang w:val="id-ID"/>
    </w:rPr>
  </w:style>
  <w:style w:type="paragraph" w:customStyle="1" w:styleId="TableTitle">
    <w:name w:val="Table Title"/>
    <w:basedOn w:val="Normal"/>
    <w:rsid w:val="006B46CF"/>
    <w:pPr>
      <w:autoSpaceDE w:val="0"/>
      <w:autoSpaceDN w:val="0"/>
      <w:spacing w:after="0" w:line="240" w:lineRule="auto"/>
      <w:jc w:val="center"/>
    </w:pPr>
    <w:rPr>
      <w:rFonts w:ascii="Times New Roman" w:hAnsi="Times New Roman"/>
      <w:smallCaps/>
      <w:sz w:val="16"/>
      <w:szCs w:val="16"/>
    </w:rPr>
  </w:style>
  <w:style w:type="paragraph" w:customStyle="1" w:styleId="DaftarReferensi">
    <w:name w:val="Daftar Referensi"/>
    <w:basedOn w:val="Normal"/>
    <w:rsid w:val="00841D3C"/>
    <w:pPr>
      <w:numPr>
        <w:numId w:val="2"/>
      </w:numPr>
      <w:autoSpaceDE w:val="0"/>
      <w:autoSpaceDN w:val="0"/>
      <w:adjustRightInd w:val="0"/>
      <w:spacing w:after="0" w:line="240" w:lineRule="auto"/>
      <w:jc w:val="both"/>
    </w:pPr>
    <w:rPr>
      <w:rFonts w:ascii="Times New Roman" w:hAnsi="Times New Roman"/>
      <w:sz w:val="20"/>
      <w:szCs w:val="24"/>
    </w:rPr>
  </w:style>
  <w:style w:type="paragraph" w:styleId="Header">
    <w:name w:val="header"/>
    <w:basedOn w:val="Normal"/>
    <w:link w:val="HeaderChar"/>
    <w:uiPriority w:val="99"/>
    <w:unhideWhenUsed/>
    <w:rsid w:val="004B3C3F"/>
    <w:pPr>
      <w:tabs>
        <w:tab w:val="center" w:pos="4680"/>
        <w:tab w:val="right" w:pos="9360"/>
      </w:tabs>
      <w:spacing w:after="0" w:line="240" w:lineRule="auto"/>
    </w:pPr>
  </w:style>
  <w:style w:type="character" w:customStyle="1" w:styleId="HeaderChar">
    <w:name w:val="Header Char"/>
    <w:link w:val="Header"/>
    <w:uiPriority w:val="99"/>
    <w:rsid w:val="004B3C3F"/>
    <w:rPr>
      <w:rFonts w:eastAsia="Times New Roman"/>
    </w:rPr>
  </w:style>
  <w:style w:type="paragraph" w:styleId="Footer">
    <w:name w:val="footer"/>
    <w:basedOn w:val="Normal"/>
    <w:link w:val="FooterChar"/>
    <w:uiPriority w:val="99"/>
    <w:unhideWhenUsed/>
    <w:rsid w:val="004B3C3F"/>
    <w:pPr>
      <w:tabs>
        <w:tab w:val="center" w:pos="4680"/>
        <w:tab w:val="right" w:pos="9360"/>
      </w:tabs>
      <w:spacing w:after="0" w:line="240" w:lineRule="auto"/>
    </w:pPr>
  </w:style>
  <w:style w:type="character" w:customStyle="1" w:styleId="FooterChar">
    <w:name w:val="Footer Char"/>
    <w:link w:val="Footer"/>
    <w:uiPriority w:val="99"/>
    <w:rsid w:val="004B3C3F"/>
    <w:rPr>
      <w:rFonts w:eastAsia="Times New Roman"/>
    </w:rPr>
  </w:style>
  <w:style w:type="character" w:styleId="Hyperlink">
    <w:name w:val="Hyperlink"/>
    <w:uiPriority w:val="99"/>
    <w:unhideWhenUsed/>
    <w:rsid w:val="004B3C3F"/>
    <w:rPr>
      <w:color w:val="0000FF"/>
      <w:u w:val="single"/>
    </w:rPr>
  </w:style>
  <w:style w:type="paragraph" w:styleId="HTMLPreformatted">
    <w:name w:val="HTML Preformatted"/>
    <w:basedOn w:val="Normal"/>
    <w:link w:val="HTMLPreformattedChar"/>
    <w:rsid w:val="00250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rsid w:val="00250653"/>
    <w:rPr>
      <w:rFonts w:ascii="Courier New" w:eastAsia="Times New Roman" w:hAnsi="Courier New" w:cs="Courier New"/>
      <w:sz w:val="20"/>
      <w:szCs w:val="20"/>
    </w:rPr>
  </w:style>
  <w:style w:type="table" w:styleId="TableGrid">
    <w:name w:val="Table Grid"/>
    <w:basedOn w:val="TableNormal"/>
    <w:qFormat/>
    <w:rsid w:val="001214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301717"/>
    <w:pPr>
      <w:spacing w:after="0" w:line="240" w:lineRule="auto"/>
      <w:jc w:val="center"/>
    </w:pPr>
    <w:rPr>
      <w:rFonts w:ascii="Times New Roman" w:hAnsi="Times New Roman"/>
      <w:b/>
      <w:bCs/>
      <w:sz w:val="28"/>
      <w:szCs w:val="24"/>
      <w:lang w:val="id-ID"/>
    </w:rPr>
  </w:style>
  <w:style w:type="character" w:customStyle="1" w:styleId="TitleChar">
    <w:name w:val="Title Char"/>
    <w:link w:val="Title"/>
    <w:rsid w:val="00301717"/>
    <w:rPr>
      <w:rFonts w:ascii="Times New Roman" w:eastAsia="Times New Roman" w:hAnsi="Times New Roman"/>
      <w:b/>
      <w:bCs/>
      <w:sz w:val="28"/>
      <w:szCs w:val="24"/>
      <w:lang w:val="id-ID"/>
    </w:rPr>
  </w:style>
  <w:style w:type="character" w:customStyle="1" w:styleId="apple-style-span">
    <w:name w:val="apple-style-span"/>
    <w:rsid w:val="00ED2688"/>
  </w:style>
  <w:style w:type="paragraph" w:customStyle="1" w:styleId="ICVETBodyText">
    <w:name w:val="ICVET_BodyText"/>
    <w:basedOn w:val="Normal"/>
    <w:link w:val="ICVETBodyTextChar"/>
    <w:rsid w:val="00ED2688"/>
    <w:pPr>
      <w:spacing w:after="0" w:line="240" w:lineRule="auto"/>
      <w:ind w:firstLine="426"/>
      <w:jc w:val="both"/>
    </w:pPr>
    <w:rPr>
      <w:rFonts w:ascii="Times New Roman" w:hAnsi="Times New Roman"/>
      <w:sz w:val="20"/>
      <w:szCs w:val="20"/>
    </w:rPr>
  </w:style>
  <w:style w:type="character" w:customStyle="1" w:styleId="ICVETBodyTextChar">
    <w:name w:val="ICVET_BodyText Char"/>
    <w:link w:val="ICVETBodyText"/>
    <w:locked/>
    <w:rsid w:val="00ED2688"/>
    <w:rPr>
      <w:rFonts w:ascii="Times New Roman" w:eastAsia="Times New Roman" w:hAnsi="Times New Roman"/>
    </w:rPr>
  </w:style>
  <w:style w:type="character" w:styleId="Strong">
    <w:name w:val="Strong"/>
    <w:qFormat/>
    <w:rsid w:val="00ED2688"/>
    <w:rPr>
      <w:rFonts w:cs="Times New Roman"/>
      <w:b/>
      <w:bCs/>
    </w:rPr>
  </w:style>
  <w:style w:type="character" w:styleId="Emphasis">
    <w:name w:val="Emphasis"/>
    <w:uiPriority w:val="20"/>
    <w:qFormat/>
    <w:rsid w:val="00ED2688"/>
    <w:rPr>
      <w:i/>
      <w:iCs/>
    </w:rPr>
  </w:style>
  <w:style w:type="character" w:customStyle="1" w:styleId="apple-converted-space">
    <w:name w:val="apple-converted-space"/>
    <w:rsid w:val="00ED2688"/>
  </w:style>
  <w:style w:type="paragraph" w:styleId="NoSpacing">
    <w:name w:val="No Spacing"/>
    <w:qFormat/>
    <w:rsid w:val="00802203"/>
    <w:rPr>
      <w:sz w:val="22"/>
      <w:szCs w:val="22"/>
    </w:rPr>
  </w:style>
  <w:style w:type="paragraph" w:styleId="NormalWeb">
    <w:name w:val="Normal (Web)"/>
    <w:basedOn w:val="Normal"/>
    <w:uiPriority w:val="99"/>
    <w:unhideWhenUsed/>
    <w:qFormat/>
    <w:rsid w:val="005436D7"/>
    <w:pPr>
      <w:spacing w:before="100" w:beforeAutospacing="1" w:after="100" w:afterAutospacing="1" w:line="240" w:lineRule="auto"/>
    </w:pPr>
    <w:rPr>
      <w:rFonts w:ascii="Times New Roman" w:hAnsi="Times New Roman"/>
      <w:sz w:val="24"/>
      <w:szCs w:val="24"/>
    </w:rPr>
  </w:style>
  <w:style w:type="paragraph" w:customStyle="1" w:styleId="EndNoteBibliographyTitle">
    <w:name w:val="EndNote Bibliography Title"/>
    <w:basedOn w:val="Normal"/>
    <w:link w:val="EndNoteBibliographyTitleChar"/>
    <w:rsid w:val="00D07CCC"/>
    <w:pPr>
      <w:spacing w:after="0"/>
      <w:jc w:val="center"/>
    </w:pPr>
    <w:rPr>
      <w:rFonts w:eastAsia="Calibri" w:cs="Calibri"/>
      <w:noProof/>
    </w:rPr>
  </w:style>
  <w:style w:type="character" w:customStyle="1" w:styleId="EndNoteBibliographyTitleChar">
    <w:name w:val="EndNote Bibliography Title Char"/>
    <w:link w:val="EndNoteBibliographyTitle"/>
    <w:rsid w:val="00D07CCC"/>
    <w:rPr>
      <w:rFonts w:cs="Calibri"/>
      <w:noProof/>
      <w:sz w:val="22"/>
      <w:szCs w:val="22"/>
      <w:lang w:val="en-US" w:eastAsia="en-US"/>
    </w:rPr>
  </w:style>
  <w:style w:type="character" w:customStyle="1" w:styleId="UnresolvedMention">
    <w:name w:val="Unresolved Mention"/>
    <w:uiPriority w:val="99"/>
    <w:semiHidden/>
    <w:unhideWhenUsed/>
    <w:rsid w:val="00147B63"/>
    <w:rPr>
      <w:color w:val="605E5C"/>
      <w:shd w:val="clear" w:color="auto" w:fill="E1DFDD"/>
    </w:rPr>
  </w:style>
  <w:style w:type="character" w:customStyle="1" w:styleId="ListParagraphChar">
    <w:name w:val="List Paragraph Char"/>
    <w:link w:val="ListParagraph"/>
    <w:uiPriority w:val="34"/>
    <w:rsid w:val="00132885"/>
    <w:rPr>
      <w:rFonts w:eastAsia="Times New Roman"/>
      <w:sz w:val="22"/>
      <w:szCs w:val="22"/>
    </w:rPr>
  </w:style>
  <w:style w:type="paragraph" w:customStyle="1" w:styleId="normal0">
    <w:name w:val="normal"/>
    <w:rsid w:val="008A1448"/>
    <w:pPr>
      <w:spacing w:after="200" w:line="276" w:lineRule="auto"/>
    </w:pPr>
    <w:rPr>
      <w:rFonts w:cs="Calibri"/>
      <w:sz w:val="22"/>
      <w:szCs w:val="22"/>
    </w:rPr>
  </w:style>
</w:styles>
</file>

<file path=word/webSettings.xml><?xml version="1.0" encoding="utf-8"?>
<w:webSettings xmlns:r="http://schemas.openxmlformats.org/officeDocument/2006/relationships" xmlns:w="http://schemas.openxmlformats.org/wordprocessingml/2006/main">
  <w:divs>
    <w:div w:id="365838496">
      <w:bodyDiv w:val="1"/>
      <w:marLeft w:val="0"/>
      <w:marRight w:val="0"/>
      <w:marTop w:val="0"/>
      <w:marBottom w:val="0"/>
      <w:divBdr>
        <w:top w:val="none" w:sz="0" w:space="0" w:color="auto"/>
        <w:left w:val="none" w:sz="0" w:space="0" w:color="auto"/>
        <w:bottom w:val="none" w:sz="0" w:space="0" w:color="auto"/>
        <w:right w:val="none" w:sz="0" w:space="0" w:color="auto"/>
      </w:divBdr>
    </w:div>
    <w:div w:id="466124277">
      <w:bodyDiv w:val="1"/>
      <w:marLeft w:val="0"/>
      <w:marRight w:val="0"/>
      <w:marTop w:val="0"/>
      <w:marBottom w:val="0"/>
      <w:divBdr>
        <w:top w:val="none" w:sz="0" w:space="0" w:color="auto"/>
        <w:left w:val="none" w:sz="0" w:space="0" w:color="auto"/>
        <w:bottom w:val="none" w:sz="0" w:space="0" w:color="auto"/>
        <w:right w:val="none" w:sz="0" w:space="0" w:color="auto"/>
      </w:divBdr>
    </w:div>
    <w:div w:id="866333028">
      <w:bodyDiv w:val="1"/>
      <w:marLeft w:val="0"/>
      <w:marRight w:val="0"/>
      <w:marTop w:val="0"/>
      <w:marBottom w:val="0"/>
      <w:divBdr>
        <w:top w:val="none" w:sz="0" w:space="0" w:color="auto"/>
        <w:left w:val="none" w:sz="0" w:space="0" w:color="auto"/>
        <w:bottom w:val="none" w:sz="0" w:space="0" w:color="auto"/>
        <w:right w:val="none" w:sz="0" w:space="0" w:color="auto"/>
      </w:divBdr>
      <w:divsChild>
        <w:div w:id="640036022">
          <w:marLeft w:val="0"/>
          <w:marRight w:val="0"/>
          <w:marTop w:val="0"/>
          <w:marBottom w:val="0"/>
          <w:divBdr>
            <w:top w:val="none" w:sz="0" w:space="0" w:color="auto"/>
            <w:left w:val="none" w:sz="0" w:space="0" w:color="auto"/>
            <w:bottom w:val="none" w:sz="0" w:space="0" w:color="auto"/>
            <w:right w:val="none" w:sz="0" w:space="0" w:color="auto"/>
          </w:divBdr>
        </w:div>
      </w:divsChild>
    </w:div>
    <w:div w:id="1128164002">
      <w:bodyDiv w:val="1"/>
      <w:marLeft w:val="0"/>
      <w:marRight w:val="0"/>
      <w:marTop w:val="0"/>
      <w:marBottom w:val="0"/>
      <w:divBdr>
        <w:top w:val="none" w:sz="0" w:space="0" w:color="auto"/>
        <w:left w:val="none" w:sz="0" w:space="0" w:color="auto"/>
        <w:bottom w:val="none" w:sz="0" w:space="0" w:color="auto"/>
        <w:right w:val="none" w:sz="0" w:space="0" w:color="auto"/>
      </w:divBdr>
    </w:div>
    <w:div w:id="1280650923">
      <w:bodyDiv w:val="1"/>
      <w:marLeft w:val="0"/>
      <w:marRight w:val="0"/>
      <w:marTop w:val="0"/>
      <w:marBottom w:val="0"/>
      <w:divBdr>
        <w:top w:val="none" w:sz="0" w:space="0" w:color="auto"/>
        <w:left w:val="none" w:sz="0" w:space="0" w:color="auto"/>
        <w:bottom w:val="none" w:sz="0" w:space="0" w:color="auto"/>
        <w:right w:val="none" w:sz="0" w:space="0" w:color="auto"/>
      </w:divBdr>
      <w:divsChild>
        <w:div w:id="834153394">
          <w:marLeft w:val="0"/>
          <w:marRight w:val="0"/>
          <w:marTop w:val="0"/>
          <w:marBottom w:val="0"/>
          <w:divBdr>
            <w:top w:val="none" w:sz="0" w:space="0" w:color="auto"/>
            <w:left w:val="none" w:sz="0" w:space="0" w:color="auto"/>
            <w:bottom w:val="none" w:sz="0" w:space="0" w:color="auto"/>
            <w:right w:val="none" w:sz="0" w:space="0" w:color="auto"/>
          </w:divBdr>
        </w:div>
      </w:divsChild>
    </w:div>
    <w:div w:id="1610235191">
      <w:bodyDiv w:val="1"/>
      <w:marLeft w:val="0"/>
      <w:marRight w:val="0"/>
      <w:marTop w:val="0"/>
      <w:marBottom w:val="0"/>
      <w:divBdr>
        <w:top w:val="none" w:sz="0" w:space="0" w:color="auto"/>
        <w:left w:val="none" w:sz="0" w:space="0" w:color="auto"/>
        <w:bottom w:val="none" w:sz="0" w:space="0" w:color="auto"/>
        <w:right w:val="none" w:sz="0" w:space="0" w:color="auto"/>
      </w:divBdr>
    </w:div>
    <w:div w:id="173115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https://doi.org/10.3389/fenvs.2024.1348994." TargetMode="External"/><Relationship Id="rId39" Type="http://schemas.openxmlformats.org/officeDocument/2006/relationships/hyperlink" Target="http://www.vosviewer.com/documentation/Manual_VOSviewer_1.6.1.pdf" TargetMode="External"/><Relationship Id="rId21" Type="http://schemas.openxmlformats.org/officeDocument/2006/relationships/image" Target="media/image8.png"/><Relationship Id="rId34" Type="http://schemas.openxmlformats.org/officeDocument/2006/relationships/hyperlink" Target="https://doi.org/10.3390/admsci14110307" TargetMode="External"/><Relationship Id="rId42" Type="http://schemas.openxmlformats.org/officeDocument/2006/relationships/hyperlink" Target="http://dx.doi.org/10.36096/ijbes.v6i1.465" TargetMode="External"/><Relationship Id="rId47" Type="http://schemas.openxmlformats.org/officeDocument/2006/relationships/hyperlink" Target="https://doi.org/10.3390/su141711036" TargetMode="External"/><Relationship Id="rId50" Type="http://schemas.openxmlformats.org/officeDocument/2006/relationships/hyperlink" Target="https://doi.org/10.25077/josi.v23.n1.p109-119.2024" TargetMode="External"/><Relationship Id="rId55" Type="http://schemas.openxmlformats.org/officeDocument/2006/relationships/hyperlink" Target="https://doi.org/10.24294/jipd.v8i11.820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hyperlink" Target="https://doi.org/10.3390/su141912505" TargetMode="External"/><Relationship Id="rId41" Type="http://schemas.openxmlformats.org/officeDocument/2006/relationships/hyperlink" Target="https://doi.org/10.3390/%20su15129387%20Academic" TargetMode="External"/><Relationship Id="rId54" Type="http://schemas.openxmlformats.org/officeDocument/2006/relationships/hyperlink" Target="https://doi.org/10.34190/ecmlg.18.1.906"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tikahayu@apps.ipb.ac.id" TargetMode="External"/><Relationship Id="rId24" Type="http://schemas.openxmlformats.org/officeDocument/2006/relationships/image" Target="media/image11.png"/><Relationship Id="rId32" Type="http://schemas.openxmlformats.org/officeDocument/2006/relationships/hyperlink" Target="https://doi.org/10.21837/pm.v21i25.1225" TargetMode="External"/><Relationship Id="rId37" Type="http://schemas.openxmlformats.org/officeDocument/2006/relationships/hyperlink" Target="https://doi.org/10.1007/s11365-020-00635-4" TargetMode="External"/><Relationship Id="rId40" Type="http://schemas.openxmlformats.org/officeDocument/2006/relationships/hyperlink" Target="https://doi.org/10.3390/su17051953" TargetMode="External"/><Relationship Id="rId45" Type="http://schemas.openxmlformats.org/officeDocument/2006/relationships/hyperlink" Target="https://doi.org/10.26656/fr.2017.8(5).639R" TargetMode="External"/><Relationship Id="rId53" Type="http://schemas.openxmlformats.org/officeDocument/2006/relationships/hyperlink" Target="http://doi.org/10.47836/ijeamsi.16.1.006." TargetMode="External"/><Relationship Id="rId58" Type="http://schemas.openxmlformats.org/officeDocument/2006/relationships/hyperlink" Target="https://doi.org/10.1007/s11846-023-00656-7"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hyperlink" Target="https://doi.org/10.3390/su16114377" TargetMode="External"/><Relationship Id="rId36" Type="http://schemas.openxmlformats.org/officeDocument/2006/relationships/hyperlink" Target="https://doi.org/10.1108/s2754-586520230000002007" TargetMode="External"/><Relationship Id="rId49" Type="http://schemas.openxmlformats.org/officeDocument/2006/relationships/hyperlink" Target="https://doi.org/10.1080/23311975.2021.1893246" TargetMode="External"/><Relationship Id="rId57" Type="http://schemas.openxmlformats.org/officeDocument/2006/relationships/hyperlink" Target="https://doi.org/10.1007/s13132-022-01043-5" TargetMode="Externa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s://doi.org/10.18280/ijsdp.160315" TargetMode="External"/><Relationship Id="rId44" Type="http://schemas.openxmlformats.org/officeDocument/2006/relationships/hyperlink" Target="https://doi.org/10.32479/irmm.16103." TargetMode="External"/><Relationship Id="rId52" Type="http://schemas.openxmlformats.org/officeDocument/2006/relationships/hyperlink" Target="https://doi.org/10.3390/w14192964" TargetMode="External"/><Relationship Id="rId60" Type="http://schemas.openxmlformats.org/officeDocument/2006/relationships/hyperlink" Target="https://doi.org/10.55927/ajmee.v2i1.4090" TargetMode="External"/><Relationship Id="rId4" Type="http://schemas.openxmlformats.org/officeDocument/2006/relationships/settings" Target="settings.xml"/><Relationship Id="rId9" Type="http://schemas.openxmlformats.org/officeDocument/2006/relationships/hyperlink" Target="http://creativecommons.org/licenses/by-sa/4.0/" TargetMode="Externa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yperlink" Target="https://doi.org/10.24294/jipd.v8i12.8934" TargetMode="External"/><Relationship Id="rId30" Type="http://schemas.openxmlformats.org/officeDocument/2006/relationships/hyperlink" Target="https://doi.org/10.3390/su14159668." TargetMode="External"/><Relationship Id="rId35" Type="http://schemas.openxmlformats.org/officeDocument/2006/relationships/hyperlink" Target="https://doi.org/10.1007/s11192-009-0146-3." TargetMode="External"/><Relationship Id="rId43" Type="http://schemas.openxmlformats.org/officeDocument/2006/relationships/hyperlink" Target="https://doi.org/10.3390/%20su16083267%20Academic." TargetMode="External"/><Relationship Id="rId48" Type="http://schemas.openxmlformats.org/officeDocument/2006/relationships/hyperlink" Target="https://doi.org/10.1108/IJOEM-07-2021-1164" TargetMode="External"/><Relationship Id="rId56" Type="http://schemas.openxmlformats.org/officeDocument/2006/relationships/hyperlink" Target="http://dx.doi.org/10.%2028991/HEF-2023-04-04-03" TargetMode="External"/><Relationship Id="rId8" Type="http://schemas.openxmlformats.org/officeDocument/2006/relationships/image" Target="media/image1.jpeg"/><Relationship Id="rId51" Type="http://schemas.openxmlformats.org/officeDocument/2006/relationships/hyperlink" Target="http://doi.org/10.14569/IJACSA.2022.0130871"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doi.org/10.3390/su152316325" TargetMode="External"/><Relationship Id="rId33" Type="http://schemas.openxmlformats.org/officeDocument/2006/relationships/hyperlink" Target="https://doi.org/10.1051/e3sconf/202459206013" TargetMode="External"/><Relationship Id="rId38" Type="http://schemas.openxmlformats.org/officeDocument/2006/relationships/hyperlink" Target="https://doi.org/10.36941/ajis-2023-0051." TargetMode="External"/><Relationship Id="rId46" Type="http://schemas.openxmlformats.org/officeDocument/2006/relationships/hyperlink" Target="https://doi.org/10.14505/jemt.v13.3(59).09" TargetMode="External"/><Relationship Id="rId59" Type="http://schemas.openxmlformats.org/officeDocument/2006/relationships/hyperlink" Target="https://doi.org/10.26437/ajar.v11i1"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FEEF9-2A98-4CCA-8B89-EB334C0F5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15</Pages>
  <Words>56275</Words>
  <Characters>320769</Characters>
  <Application>Microsoft Office Word</Application>
  <DocSecurity>0</DocSecurity>
  <Lines>2673</Lines>
  <Paragraphs>752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kelas</dc:creator>
  <cp:lastModifiedBy>ASUS</cp:lastModifiedBy>
  <cp:revision>46</cp:revision>
  <cp:lastPrinted>2023-06-01T09:33:00Z</cp:lastPrinted>
  <dcterms:created xsi:type="dcterms:W3CDTF">2025-02-28T05:23:00Z</dcterms:created>
  <dcterms:modified xsi:type="dcterms:W3CDTF">2025-04-09T15:10:00Z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98618c6c-b967-33c0-8b82-9ef39fc98bd8</vt:lpwstr>
  </property>
  <property fmtid="{D5CDD505-2E9C-101B-9397-08002B2CF9AE}" pid="4" name="Mendeley Citation Style_1">
    <vt:lpwstr>http://www.zotero.org/styles/ieee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http://www.zotero.org/styles/iop-conference-series-earth-and-environmental-science</vt:lpwstr>
  </property>
  <property fmtid="{D5CDD505-2E9C-101B-9397-08002B2CF9AE}" pid="16" name="Mendeley Recent Style Name 5_1">
    <vt:lpwstr>IOP Conference Series: Earth and Environmental Science</vt:lpwstr>
  </property>
  <property fmtid="{D5CDD505-2E9C-101B-9397-08002B2CF9AE}" pid="17" name="Mendeley Recent Style Id 6_1">
    <vt:lpwstr>http://www.zotero.org/styles/institut-pertanian-bogor</vt:lpwstr>
  </property>
  <property fmtid="{D5CDD505-2E9C-101B-9397-08002B2CF9AE}" pid="18" name="Mendeley Recent Style Name 6_1">
    <vt:lpwstr>Institut Pertanian Bogor: Pedoman Penulisan Karya Ilmiah Edisi ke-4 (Indonesian)</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