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3D1DB8" w14:paraId="7E14A52D" w14:textId="77777777">
        <w:tc>
          <w:tcPr>
            <w:tcW w:w="8504" w:type="dxa"/>
          </w:tcPr>
          <w:p w14:paraId="449083F0" w14:textId="559ADDC6" w:rsidR="003D1DB8" w:rsidRPr="0017704E" w:rsidRDefault="00000000" w:rsidP="00953AE5">
            <w:pPr>
              <w:spacing w:line="240" w:lineRule="auto"/>
              <w:ind w:left="0" w:hanging="2"/>
              <w:rPr>
                <w:rFonts w:ascii="Arial" w:hAnsi="Arial" w:cs="Arial"/>
                <w:b/>
                <w:bCs/>
                <w:sz w:val="28"/>
                <w:szCs w:val="28"/>
              </w:rPr>
            </w:pPr>
            <w:r>
              <w:pict w14:anchorId="5202F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50pt;height:50pt;z-index:251657728;visibility:hidden">
                  <v:path o:extrusionok="t"/>
                  <o:lock v:ext="edit" selection="t"/>
                </v:shape>
              </w:pict>
            </w:r>
            <w:r w:rsidR="00646F30" w:rsidRPr="0017704E">
              <w:rPr>
                <w:rFonts w:ascii="Arial" w:hAnsi="Arial" w:cs="Arial"/>
                <w:b/>
                <w:bCs/>
                <w:sz w:val="28"/>
                <w:szCs w:val="28"/>
              </w:rPr>
              <w:t xml:space="preserve">Strategy Development Biodiesel </w:t>
            </w:r>
            <w:proofErr w:type="gramStart"/>
            <w:r w:rsidR="00646F30" w:rsidRPr="0017704E">
              <w:rPr>
                <w:rFonts w:ascii="Arial" w:hAnsi="Arial" w:cs="Arial"/>
                <w:b/>
                <w:bCs/>
                <w:sz w:val="28"/>
                <w:szCs w:val="28"/>
              </w:rPr>
              <w:t>From</w:t>
            </w:r>
            <w:proofErr w:type="gramEnd"/>
            <w:r w:rsidR="00646F30" w:rsidRPr="0017704E">
              <w:rPr>
                <w:rFonts w:ascii="Arial" w:hAnsi="Arial" w:cs="Arial"/>
                <w:b/>
                <w:bCs/>
                <w:sz w:val="28"/>
                <w:szCs w:val="28"/>
              </w:rPr>
              <w:t xml:space="preserve"> Maggot Black Soldier Fly (BSF) In Indonesia</w:t>
            </w:r>
          </w:p>
        </w:tc>
        <w:tc>
          <w:tcPr>
            <w:tcW w:w="784" w:type="dxa"/>
            <w:vAlign w:val="center"/>
          </w:tcPr>
          <w:p w14:paraId="7722689F" w14:textId="77777777" w:rsidR="003D1DB8" w:rsidRDefault="00283E10" w:rsidP="00953AE5">
            <w:pPr>
              <w:pStyle w:val="Title"/>
              <w:ind w:left="1" w:hanging="3"/>
              <w:rPr>
                <w:rFonts w:ascii="Arial" w:eastAsia="Arial" w:hAnsi="Arial" w:cs="Arial"/>
              </w:rPr>
            </w:pPr>
            <w:r>
              <w:rPr>
                <w:rFonts w:ascii="Arial" w:eastAsia="Arial" w:hAnsi="Arial" w:cs="Arial"/>
                <w:noProof/>
              </w:rPr>
              <w:drawing>
                <wp:inline distT="0" distB="0" distL="114300" distR="114300" wp14:anchorId="56EB571C" wp14:editId="1D79C31D">
                  <wp:extent cx="360045" cy="360045"/>
                  <wp:effectExtent l="0" t="0" r="0" b="0"/>
                  <wp:docPr id="10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7911B4A4" w14:textId="77777777" w:rsidR="003D1DB8" w:rsidRDefault="003D1DB8" w:rsidP="00953AE5">
      <w:pPr>
        <w:pStyle w:val="Title"/>
        <w:ind w:left="1" w:hanging="3"/>
        <w:rPr>
          <w:rFonts w:ascii="Arial" w:eastAsia="Arial" w:hAnsi="Arial" w:cs="Arial"/>
        </w:rPr>
      </w:pPr>
    </w:p>
    <w:p w14:paraId="374BFD2D" w14:textId="644BB443" w:rsidR="003D1DB8" w:rsidRDefault="00646F30" w:rsidP="00953AE5">
      <w:pPr>
        <w:widowControl w:val="0"/>
        <w:spacing w:after="0" w:line="240" w:lineRule="auto"/>
        <w:ind w:left="0" w:hanging="2"/>
        <w:rPr>
          <w:rFonts w:ascii="Arial" w:eastAsia="Arial" w:hAnsi="Arial" w:cs="Arial"/>
          <w:sz w:val="20"/>
          <w:szCs w:val="20"/>
        </w:rPr>
      </w:pPr>
      <w:r>
        <w:rPr>
          <w:rFonts w:ascii="Arial" w:eastAsia="Arial" w:hAnsi="Arial" w:cs="Arial"/>
          <w:b/>
          <w:sz w:val="20"/>
          <w:szCs w:val="20"/>
        </w:rPr>
        <w:t>Dino Rimantho</w:t>
      </w:r>
      <w:r w:rsidR="00283E10">
        <w:rPr>
          <w:rFonts w:ascii="Arial" w:eastAsia="Arial" w:hAnsi="Arial" w:cs="Arial"/>
          <w:b/>
          <w:sz w:val="20"/>
          <w:szCs w:val="20"/>
          <w:vertAlign w:val="superscript"/>
        </w:rPr>
        <w:t>1*</w:t>
      </w:r>
      <w:r w:rsidR="00283E10">
        <w:rPr>
          <w:rFonts w:ascii="Arial" w:eastAsia="Arial" w:hAnsi="Arial" w:cs="Arial"/>
          <w:b/>
          <w:sz w:val="20"/>
          <w:szCs w:val="20"/>
        </w:rPr>
        <w:t xml:space="preserve">, </w:t>
      </w:r>
      <w:r>
        <w:rPr>
          <w:rFonts w:ascii="Arial" w:eastAsia="Arial" w:hAnsi="Arial" w:cs="Arial"/>
          <w:b/>
          <w:sz w:val="20"/>
          <w:szCs w:val="20"/>
        </w:rPr>
        <w:t xml:space="preserve">Vector </w:t>
      </w:r>
      <w:proofErr w:type="spellStart"/>
      <w:r>
        <w:rPr>
          <w:rFonts w:ascii="Arial" w:eastAsia="Arial" w:hAnsi="Arial" w:cs="Arial"/>
          <w:b/>
          <w:sz w:val="20"/>
          <w:szCs w:val="20"/>
        </w:rPr>
        <w:t>Anggit</w:t>
      </w:r>
      <w:proofErr w:type="spellEnd"/>
      <w:r>
        <w:rPr>
          <w:rFonts w:ascii="Arial" w:eastAsia="Arial" w:hAnsi="Arial" w:cs="Arial"/>
          <w:b/>
          <w:sz w:val="20"/>
          <w:szCs w:val="20"/>
        </w:rPr>
        <w:t xml:space="preserve"> Pratomo</w:t>
      </w:r>
      <w:r>
        <w:rPr>
          <w:rFonts w:ascii="Arial" w:eastAsia="Arial" w:hAnsi="Arial" w:cs="Arial"/>
          <w:b/>
          <w:sz w:val="20"/>
          <w:szCs w:val="20"/>
          <w:vertAlign w:val="superscript"/>
        </w:rPr>
        <w:t>2</w:t>
      </w:r>
      <w:r w:rsidR="00283E10">
        <w:rPr>
          <w:rFonts w:ascii="Arial" w:eastAsia="Arial" w:hAnsi="Arial" w:cs="Arial"/>
          <w:b/>
          <w:sz w:val="20"/>
          <w:szCs w:val="20"/>
        </w:rPr>
        <w:t xml:space="preserve">, </w:t>
      </w:r>
      <w:proofErr w:type="spellStart"/>
      <w:r>
        <w:rPr>
          <w:rFonts w:ascii="Arial" w:eastAsia="Arial" w:hAnsi="Arial" w:cs="Arial"/>
          <w:b/>
          <w:sz w:val="20"/>
          <w:szCs w:val="20"/>
        </w:rPr>
        <w:t>Erlanda</w:t>
      </w:r>
      <w:proofErr w:type="spellEnd"/>
      <w:r>
        <w:rPr>
          <w:rFonts w:ascii="Arial" w:eastAsia="Arial" w:hAnsi="Arial" w:cs="Arial"/>
          <w:b/>
          <w:sz w:val="20"/>
          <w:szCs w:val="20"/>
        </w:rPr>
        <w:t xml:space="preserve"> </w:t>
      </w:r>
      <w:proofErr w:type="spellStart"/>
      <w:r>
        <w:rPr>
          <w:rFonts w:ascii="Arial" w:eastAsia="Arial" w:hAnsi="Arial" w:cs="Arial"/>
          <w:b/>
          <w:sz w:val="20"/>
          <w:szCs w:val="20"/>
        </w:rPr>
        <w:t>Augupta</w:t>
      </w:r>
      <w:proofErr w:type="spellEnd"/>
      <w:r>
        <w:rPr>
          <w:rFonts w:ascii="Arial" w:eastAsia="Arial" w:hAnsi="Arial" w:cs="Arial"/>
          <w:b/>
          <w:sz w:val="20"/>
          <w:szCs w:val="20"/>
        </w:rPr>
        <w:t xml:space="preserve"> Pane</w:t>
      </w:r>
      <w:r>
        <w:rPr>
          <w:rFonts w:ascii="Arial" w:eastAsia="Arial" w:hAnsi="Arial" w:cs="Arial"/>
          <w:b/>
          <w:sz w:val="20"/>
          <w:szCs w:val="20"/>
          <w:vertAlign w:val="superscript"/>
        </w:rPr>
        <w:t>3</w:t>
      </w:r>
      <w:r w:rsidR="00283E10">
        <w:rPr>
          <w:rFonts w:ascii="Arial" w:eastAsia="Arial" w:hAnsi="Arial" w:cs="Arial"/>
          <w:b/>
          <w:sz w:val="20"/>
          <w:szCs w:val="20"/>
        </w:rPr>
        <w:t xml:space="preserve">, </w:t>
      </w:r>
      <w:r>
        <w:rPr>
          <w:rFonts w:ascii="Arial" w:eastAsia="Arial" w:hAnsi="Arial" w:cs="Arial"/>
          <w:b/>
          <w:sz w:val="20"/>
          <w:szCs w:val="20"/>
        </w:rPr>
        <w:t>Nicolaus Noywuli</w:t>
      </w:r>
      <w:r>
        <w:rPr>
          <w:rFonts w:ascii="Arial" w:eastAsia="Arial" w:hAnsi="Arial" w:cs="Arial"/>
          <w:b/>
          <w:sz w:val="20"/>
          <w:szCs w:val="20"/>
          <w:vertAlign w:val="superscript"/>
        </w:rPr>
        <w:t>4</w:t>
      </w:r>
      <w:r w:rsidR="00283E10">
        <w:rPr>
          <w:rFonts w:ascii="Arial" w:eastAsia="Arial" w:hAnsi="Arial" w:cs="Arial"/>
          <w:b/>
          <w:sz w:val="20"/>
          <w:szCs w:val="20"/>
        </w:rPr>
        <w:t xml:space="preserve"> </w:t>
      </w:r>
      <w:r>
        <w:rPr>
          <w:rFonts w:ascii="Arial" w:eastAsia="Arial" w:hAnsi="Arial" w:cs="Arial"/>
          <w:b/>
          <w:sz w:val="20"/>
          <w:szCs w:val="20"/>
        </w:rPr>
        <w:t xml:space="preserve"> </w:t>
      </w:r>
    </w:p>
    <w:p w14:paraId="793C7C17" w14:textId="39605C0B" w:rsidR="003D1DB8" w:rsidRDefault="00283E10" w:rsidP="00953AE5">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sidR="00646F30">
        <w:rPr>
          <w:rFonts w:ascii="Arial" w:eastAsia="Arial" w:hAnsi="Arial" w:cs="Arial"/>
          <w:sz w:val="16"/>
          <w:szCs w:val="16"/>
        </w:rPr>
        <w:t>Industrial Engineering Department, Pancasila University</w:t>
      </w:r>
      <w:r>
        <w:rPr>
          <w:rFonts w:ascii="Arial" w:eastAsia="Arial" w:hAnsi="Arial" w:cs="Arial"/>
          <w:sz w:val="16"/>
          <w:szCs w:val="16"/>
        </w:rPr>
        <w:t>, Indonesia</w:t>
      </w:r>
    </w:p>
    <w:p w14:paraId="207168E8" w14:textId="17062B58" w:rsidR="003D1DB8" w:rsidRDefault="00283E10" w:rsidP="00953AE5">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2</w:t>
      </w:r>
      <w:r w:rsidR="00646F30">
        <w:rPr>
          <w:rFonts w:ascii="Arial" w:eastAsia="Arial" w:hAnsi="Arial" w:cs="Arial"/>
          <w:sz w:val="16"/>
          <w:szCs w:val="16"/>
        </w:rPr>
        <w:t>Electrical Engineering Department</w:t>
      </w:r>
      <w:r>
        <w:rPr>
          <w:rFonts w:ascii="Arial" w:eastAsia="Arial" w:hAnsi="Arial" w:cs="Arial"/>
          <w:sz w:val="16"/>
          <w:szCs w:val="16"/>
        </w:rPr>
        <w:t xml:space="preserve">, </w:t>
      </w:r>
      <w:r w:rsidR="00646F30">
        <w:rPr>
          <w:rFonts w:ascii="Arial" w:eastAsia="Arial" w:hAnsi="Arial" w:cs="Arial"/>
          <w:sz w:val="16"/>
          <w:szCs w:val="16"/>
        </w:rPr>
        <w:t xml:space="preserve">Pancasila </w:t>
      </w:r>
      <w:r>
        <w:rPr>
          <w:rFonts w:ascii="Arial" w:eastAsia="Arial" w:hAnsi="Arial" w:cs="Arial"/>
          <w:sz w:val="16"/>
          <w:szCs w:val="16"/>
        </w:rPr>
        <w:t>Universit</w:t>
      </w:r>
      <w:r w:rsidR="00646F30">
        <w:rPr>
          <w:rFonts w:ascii="Arial" w:eastAsia="Arial" w:hAnsi="Arial" w:cs="Arial"/>
          <w:sz w:val="16"/>
          <w:szCs w:val="16"/>
        </w:rPr>
        <w:t>y,</w:t>
      </w:r>
      <w:r>
        <w:rPr>
          <w:rFonts w:ascii="Arial" w:eastAsia="Arial" w:hAnsi="Arial" w:cs="Arial"/>
          <w:sz w:val="16"/>
          <w:szCs w:val="16"/>
        </w:rPr>
        <w:t xml:space="preserve"> Indonesia</w:t>
      </w:r>
    </w:p>
    <w:p w14:paraId="39D24B26" w14:textId="1995AB6E" w:rsidR="003D1DB8" w:rsidRDefault="00283E10" w:rsidP="00953AE5">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3</w:t>
      </w:r>
      <w:r w:rsidR="00646F30">
        <w:rPr>
          <w:rFonts w:ascii="Arial" w:eastAsia="Arial" w:hAnsi="Arial" w:cs="Arial"/>
          <w:sz w:val="16"/>
          <w:szCs w:val="16"/>
        </w:rPr>
        <w:t xml:space="preserve">Mechanical </w:t>
      </w:r>
      <w:r>
        <w:rPr>
          <w:rFonts w:ascii="Arial" w:eastAsia="Arial" w:hAnsi="Arial" w:cs="Arial"/>
          <w:sz w:val="16"/>
          <w:szCs w:val="16"/>
        </w:rPr>
        <w:t xml:space="preserve">Engineering, </w:t>
      </w:r>
      <w:r w:rsidR="00646F30">
        <w:rPr>
          <w:rFonts w:ascii="Arial" w:eastAsia="Arial" w:hAnsi="Arial" w:cs="Arial"/>
          <w:sz w:val="16"/>
          <w:szCs w:val="16"/>
        </w:rPr>
        <w:t>Department, Pancasila University, Indonesia</w:t>
      </w:r>
    </w:p>
    <w:p w14:paraId="5399B37D" w14:textId="6901C4BB" w:rsidR="003D1DB8" w:rsidRDefault="00283E10" w:rsidP="00953AE5">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4</w:t>
      </w:r>
      <w:r w:rsidR="00646F30">
        <w:rPr>
          <w:rFonts w:ascii="Arial" w:eastAsia="Arial" w:hAnsi="Arial" w:cs="Arial"/>
          <w:sz w:val="16"/>
          <w:szCs w:val="16"/>
        </w:rPr>
        <w:t>Husbandary D</w:t>
      </w:r>
      <w:r>
        <w:rPr>
          <w:rFonts w:ascii="Arial" w:eastAsia="Arial" w:hAnsi="Arial" w:cs="Arial"/>
          <w:sz w:val="16"/>
          <w:szCs w:val="16"/>
        </w:rPr>
        <w:t xml:space="preserve">epartment of </w:t>
      </w:r>
      <w:r w:rsidR="00646F30">
        <w:rPr>
          <w:rFonts w:ascii="Arial" w:eastAsia="Arial" w:hAnsi="Arial" w:cs="Arial"/>
          <w:sz w:val="16"/>
          <w:szCs w:val="16"/>
        </w:rPr>
        <w:t xml:space="preserve">Flores </w:t>
      </w:r>
      <w:proofErr w:type="spellStart"/>
      <w:r w:rsidR="00646F30">
        <w:rPr>
          <w:rFonts w:ascii="Arial" w:eastAsia="Arial" w:hAnsi="Arial" w:cs="Arial"/>
          <w:sz w:val="16"/>
          <w:szCs w:val="16"/>
        </w:rPr>
        <w:t>Bajawa</w:t>
      </w:r>
      <w:proofErr w:type="spellEnd"/>
      <w:r w:rsidR="00646F30">
        <w:rPr>
          <w:rFonts w:ascii="Arial" w:eastAsia="Arial" w:hAnsi="Arial" w:cs="Arial"/>
          <w:sz w:val="16"/>
          <w:szCs w:val="16"/>
        </w:rPr>
        <w:t xml:space="preserve"> Agricultural College</w:t>
      </w:r>
      <w:r>
        <w:rPr>
          <w:rFonts w:ascii="Arial" w:eastAsia="Arial" w:hAnsi="Arial" w:cs="Arial"/>
          <w:sz w:val="16"/>
          <w:szCs w:val="16"/>
        </w:rPr>
        <w:t>, Indonesia</w:t>
      </w:r>
    </w:p>
    <w:p w14:paraId="4A87B593" w14:textId="77777777" w:rsidR="003D1DB8" w:rsidRDefault="003D1DB8" w:rsidP="00953AE5">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3D1DB8" w14:paraId="342350FE" w14:textId="77777777">
        <w:tc>
          <w:tcPr>
            <w:tcW w:w="6236" w:type="dxa"/>
            <w:shd w:val="clear" w:color="auto" w:fill="9CC2E5"/>
          </w:tcPr>
          <w:p w14:paraId="534DA935" w14:textId="77777777" w:rsidR="003D1DB8" w:rsidRDefault="00283E10" w:rsidP="00953AE5">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14:paraId="068E01EF" w14:textId="621FBA3B" w:rsidR="00646F30" w:rsidRPr="00953AE5" w:rsidRDefault="00427763" w:rsidP="00953AE5">
            <w:pPr>
              <w:shd w:val="clear" w:color="auto" w:fill="9CC2E5"/>
              <w:spacing w:after="0" w:line="240" w:lineRule="auto"/>
              <w:ind w:left="0" w:hanging="2"/>
              <w:jc w:val="both"/>
              <w:rPr>
                <w:rFonts w:ascii="Arial" w:eastAsia="Arial" w:hAnsi="Arial" w:cs="Arial"/>
                <w:sz w:val="20"/>
                <w:szCs w:val="20"/>
              </w:rPr>
            </w:pPr>
            <w:r w:rsidRPr="00953AE5">
              <w:rPr>
                <w:rFonts w:ascii="Arial" w:eastAsia="Times New Roman" w:hAnsi="Arial" w:cs="Arial"/>
                <w:i/>
                <w:iCs/>
                <w:sz w:val="20"/>
                <w:szCs w:val="20"/>
                <w:lang w:eastAsia="en-ID"/>
              </w:rPr>
              <w:t>The transition from fossil fuels to alternative energy sources is the world's main choice, and biodiesel is expected to take an important position in the renewable energy transition sector. This transition encourages countries in the world to implement the best strategy to choose and find environmentally friendly renewable energy sources. Therefore, this paper discusses the approach to producing biodiesel from Maggot Black Soldier Fly (BSF) as a sustainable renewable energy source in Indonesia. SWOT and VIKOR techniques determine the most effective strategy to promote renewable energy in Indonesia. This paper involves many respondents to ensure the criteria and assess each option. Environmental awareness is a strong important component in biodiesel development, with a score of 1.52. A significant weakness in biodiesel production is the high investment cost, quantified at 1.48. An important opportunity in biodiesel development is its potential as an environmentally friendly sustainable alternative energy, with a score of 1.32, while a significant threat is inadequate financial assistance, with a score of 1.24. In addition, the application of the VIKOR approach revealed that alternative 6 (Enhancing collaboration among stakeholders) is the most important option, as indicated by the expert evaluation, with a value of 0.048. The results of this study need to be improved as additional research is needed to produce more precise findings that will enhance our understanding of the evolution of renewable energy in Indonesia. Future research should focus on the impact of biodiesel production from BSF maggots, especially in terms of energy security and energy autonomy in Indonesia.</w:t>
            </w:r>
          </w:p>
          <w:p w14:paraId="60672D62" w14:textId="77777777" w:rsidR="003D1DB8" w:rsidRDefault="003D1DB8" w:rsidP="00953AE5">
            <w:pPr>
              <w:spacing w:after="0" w:line="240" w:lineRule="auto"/>
              <w:ind w:left="0" w:hanging="2"/>
              <w:jc w:val="both"/>
              <w:rPr>
                <w:rFonts w:ascii="Arial" w:eastAsia="Arial" w:hAnsi="Arial" w:cs="Arial"/>
                <w:sz w:val="20"/>
                <w:szCs w:val="20"/>
              </w:rPr>
            </w:pPr>
          </w:p>
          <w:p w14:paraId="7144F9AA" w14:textId="77777777" w:rsidR="003D1DB8" w:rsidRDefault="00283E10" w:rsidP="00953AE5">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7E2AF2A1" w14:textId="77777777" w:rsidR="003D1DB8" w:rsidRDefault="00283E10" w:rsidP="00953AE5">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rPr>
              <w:drawing>
                <wp:inline distT="0" distB="0" distL="114300" distR="114300" wp14:anchorId="633EDF43" wp14:editId="7E080239">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50AAFEB4" w14:textId="77777777" w:rsidR="003D1DB8" w:rsidRDefault="00283E10" w:rsidP="00953AE5">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4AFA0EBD" w14:textId="6D245E1A" w:rsidR="003D1DB8" w:rsidRDefault="00646F30" w:rsidP="00953AE5">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Black Soldier Fly (BSF);</w:t>
            </w:r>
            <w:r w:rsidR="00283E10">
              <w:rPr>
                <w:rFonts w:ascii="Arial" w:eastAsia="Arial" w:hAnsi="Arial" w:cs="Arial"/>
                <w:i/>
                <w:sz w:val="18"/>
                <w:szCs w:val="18"/>
              </w:rPr>
              <w:t xml:space="preserve"> </w:t>
            </w:r>
          </w:p>
          <w:p w14:paraId="04560282" w14:textId="393B6788" w:rsidR="003D1DB8" w:rsidRDefault="00646F30" w:rsidP="00953AE5">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Renewable Energy</w:t>
            </w:r>
            <w:r w:rsidR="00283E10">
              <w:rPr>
                <w:rFonts w:ascii="Arial" w:eastAsia="Arial" w:hAnsi="Arial" w:cs="Arial"/>
                <w:i/>
                <w:sz w:val="18"/>
                <w:szCs w:val="18"/>
              </w:rPr>
              <w:t>;</w:t>
            </w:r>
          </w:p>
          <w:p w14:paraId="36FF93AA" w14:textId="2B79B64C" w:rsidR="00646F30" w:rsidRDefault="00646F30" w:rsidP="00953AE5">
            <w:pPr>
              <w:widowControl w:val="0"/>
              <w:spacing w:after="0" w:line="240" w:lineRule="auto"/>
              <w:ind w:left="0" w:hanging="2"/>
              <w:rPr>
                <w:rFonts w:ascii="Arial" w:eastAsia="Arial" w:hAnsi="Arial" w:cs="Arial"/>
                <w:i/>
                <w:iCs/>
                <w:sz w:val="18"/>
                <w:szCs w:val="18"/>
              </w:rPr>
            </w:pPr>
            <w:proofErr w:type="gramStart"/>
            <w:r w:rsidRPr="00646F30">
              <w:rPr>
                <w:rFonts w:ascii="Arial" w:eastAsia="Arial" w:hAnsi="Arial" w:cs="Arial"/>
                <w:i/>
                <w:iCs/>
                <w:sz w:val="18"/>
                <w:szCs w:val="18"/>
              </w:rPr>
              <w:t>Biodiesel</w:t>
            </w:r>
            <w:r>
              <w:rPr>
                <w:rFonts w:ascii="Arial" w:eastAsia="Arial" w:hAnsi="Arial" w:cs="Arial"/>
                <w:i/>
                <w:iCs/>
                <w:sz w:val="18"/>
                <w:szCs w:val="18"/>
              </w:rPr>
              <w:t xml:space="preserve"> ;</w:t>
            </w:r>
            <w:proofErr w:type="gramEnd"/>
          </w:p>
          <w:p w14:paraId="77533C0D" w14:textId="343D56E4" w:rsidR="00646F30" w:rsidRPr="00646F30" w:rsidRDefault="00646F30" w:rsidP="00953AE5">
            <w:pPr>
              <w:widowControl w:val="0"/>
              <w:spacing w:after="0" w:line="240" w:lineRule="auto"/>
              <w:ind w:left="0" w:hanging="2"/>
              <w:rPr>
                <w:rFonts w:ascii="Arial" w:eastAsia="Arial" w:hAnsi="Arial" w:cs="Arial"/>
                <w:i/>
                <w:iCs/>
                <w:sz w:val="18"/>
                <w:szCs w:val="18"/>
              </w:rPr>
            </w:pPr>
            <w:r>
              <w:rPr>
                <w:rFonts w:ascii="Arial" w:eastAsia="Arial" w:hAnsi="Arial" w:cs="Arial"/>
                <w:i/>
                <w:iCs/>
                <w:sz w:val="18"/>
                <w:szCs w:val="18"/>
              </w:rPr>
              <w:t>Strategy</w:t>
            </w:r>
          </w:p>
          <w:p w14:paraId="72AAF570" w14:textId="6C906AC2" w:rsidR="003D1DB8" w:rsidRDefault="00646F30" w:rsidP="00953AE5">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 xml:space="preserve"> </w:t>
            </w:r>
          </w:p>
          <w:p w14:paraId="2396BD14" w14:textId="77777777" w:rsidR="003D1DB8" w:rsidRDefault="003D1DB8" w:rsidP="00953AE5">
            <w:pPr>
              <w:widowControl w:val="0"/>
              <w:tabs>
                <w:tab w:val="left" w:pos="9020"/>
              </w:tabs>
              <w:spacing w:after="0" w:line="240" w:lineRule="auto"/>
              <w:ind w:left="0" w:hanging="2"/>
              <w:rPr>
                <w:rFonts w:ascii="Arial" w:eastAsia="Arial" w:hAnsi="Arial" w:cs="Arial"/>
                <w:sz w:val="18"/>
                <w:szCs w:val="18"/>
              </w:rPr>
            </w:pPr>
          </w:p>
          <w:p w14:paraId="68E0779D" w14:textId="77777777" w:rsidR="003D1DB8" w:rsidRDefault="00283E1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0659A997" w14:textId="77777777" w:rsidR="003D1DB8" w:rsidRDefault="00283E1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Received: May 2, 2019</w:t>
            </w:r>
          </w:p>
          <w:p w14:paraId="38CBBA62" w14:textId="77777777" w:rsidR="003D1DB8" w:rsidRDefault="00283E1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Revised: May 29, 2019</w:t>
            </w:r>
          </w:p>
          <w:p w14:paraId="7ABA01BD" w14:textId="77777777" w:rsidR="003D1DB8" w:rsidRDefault="00283E1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Accepted: June 2, 2019</w:t>
            </w:r>
          </w:p>
          <w:p w14:paraId="4CE19C15" w14:textId="77777777" w:rsidR="003D1DB8" w:rsidRDefault="00283E1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Published: June 2, 2019</w:t>
            </w:r>
          </w:p>
          <w:p w14:paraId="062DA52E" w14:textId="77777777" w:rsidR="003D1DB8" w:rsidRDefault="003D1DB8" w:rsidP="00953AE5">
            <w:pPr>
              <w:widowControl w:val="0"/>
              <w:tabs>
                <w:tab w:val="left" w:pos="9020"/>
              </w:tabs>
              <w:spacing w:after="0" w:line="240" w:lineRule="auto"/>
              <w:ind w:left="0" w:hanging="2"/>
              <w:rPr>
                <w:rFonts w:ascii="Arial" w:eastAsia="Arial" w:hAnsi="Arial" w:cs="Arial"/>
                <w:sz w:val="18"/>
                <w:szCs w:val="18"/>
              </w:rPr>
            </w:pPr>
          </w:p>
          <w:p w14:paraId="20267722" w14:textId="77777777" w:rsidR="003D1DB8" w:rsidRDefault="00283E1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7EB50746" w14:textId="675C5547" w:rsidR="003D1DB8" w:rsidRDefault="00646F30" w:rsidP="00953AE5">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Dino </w:t>
            </w:r>
            <w:proofErr w:type="spellStart"/>
            <w:r>
              <w:rPr>
                <w:rFonts w:ascii="Arial" w:eastAsia="Arial" w:hAnsi="Arial" w:cs="Arial"/>
                <w:i/>
                <w:sz w:val="18"/>
                <w:szCs w:val="18"/>
              </w:rPr>
              <w:t>Rimantho</w:t>
            </w:r>
            <w:proofErr w:type="spellEnd"/>
          </w:p>
          <w:p w14:paraId="01E503EA" w14:textId="3197164A" w:rsidR="003D1DB8" w:rsidRDefault="00646F30" w:rsidP="00953AE5">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Industrial </w:t>
            </w:r>
            <w:r w:rsidR="00283E10">
              <w:rPr>
                <w:rFonts w:ascii="Arial" w:eastAsia="Arial" w:hAnsi="Arial" w:cs="Arial"/>
                <w:i/>
                <w:color w:val="000000"/>
                <w:sz w:val="18"/>
                <w:szCs w:val="18"/>
              </w:rPr>
              <w:t xml:space="preserve">Engineering Department, </w:t>
            </w:r>
            <w:r>
              <w:rPr>
                <w:rFonts w:ascii="Arial" w:eastAsia="Arial" w:hAnsi="Arial" w:cs="Arial"/>
                <w:i/>
                <w:color w:val="000000"/>
                <w:sz w:val="18"/>
                <w:szCs w:val="18"/>
              </w:rPr>
              <w:t xml:space="preserve">Pancasila </w:t>
            </w:r>
            <w:r w:rsidR="00283E10">
              <w:rPr>
                <w:rFonts w:ascii="Arial" w:eastAsia="Arial" w:hAnsi="Arial" w:cs="Arial"/>
                <w:i/>
                <w:color w:val="000000"/>
                <w:sz w:val="18"/>
                <w:szCs w:val="18"/>
              </w:rPr>
              <w:t>Universit</w:t>
            </w:r>
            <w:r>
              <w:rPr>
                <w:rFonts w:ascii="Arial" w:eastAsia="Arial" w:hAnsi="Arial" w:cs="Arial"/>
                <w:i/>
                <w:color w:val="000000"/>
                <w:sz w:val="18"/>
                <w:szCs w:val="18"/>
              </w:rPr>
              <w:t>y</w:t>
            </w:r>
            <w:r w:rsidR="00283E10">
              <w:rPr>
                <w:rFonts w:ascii="Arial" w:eastAsia="Arial" w:hAnsi="Arial" w:cs="Arial"/>
                <w:i/>
                <w:color w:val="000000"/>
                <w:sz w:val="18"/>
                <w:szCs w:val="18"/>
              </w:rPr>
              <w:t>, Indonesia</w:t>
            </w:r>
          </w:p>
          <w:p w14:paraId="49D3E8AC" w14:textId="566A7A43" w:rsidR="003D1DB8" w:rsidRDefault="00283E10" w:rsidP="00953AE5">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Email: </w:t>
            </w:r>
            <w:hyperlink r:id="rId12" w:history="1">
              <w:r w:rsidR="00646F30" w:rsidRPr="008D51F8">
                <w:rPr>
                  <w:rStyle w:val="Hyperlink"/>
                  <w:rFonts w:ascii="Arial" w:eastAsia="Arial" w:hAnsi="Arial" w:cs="Arial"/>
                  <w:i/>
                  <w:sz w:val="18"/>
                  <w:szCs w:val="18"/>
                </w:rPr>
                <w:t>dino.rimantho@univpancasila.ac.id</w:t>
              </w:r>
            </w:hyperlink>
            <w:r>
              <w:rPr>
                <w:rFonts w:ascii="Arial" w:eastAsia="Arial" w:hAnsi="Arial" w:cs="Arial"/>
                <w:i/>
                <w:color w:val="000000"/>
                <w:sz w:val="18"/>
                <w:szCs w:val="18"/>
              </w:rPr>
              <w:t xml:space="preserve"> </w:t>
            </w:r>
          </w:p>
          <w:p w14:paraId="6191DEF5" w14:textId="77777777" w:rsidR="003D1DB8" w:rsidRDefault="003D1DB8" w:rsidP="00953AE5">
            <w:pPr>
              <w:widowControl w:val="0"/>
              <w:tabs>
                <w:tab w:val="left" w:pos="9020"/>
              </w:tabs>
              <w:spacing w:after="0" w:line="240" w:lineRule="auto"/>
              <w:ind w:left="0" w:hanging="2"/>
              <w:rPr>
                <w:rFonts w:ascii="Arial" w:eastAsia="Arial" w:hAnsi="Arial" w:cs="Arial"/>
                <w:sz w:val="18"/>
                <w:szCs w:val="18"/>
              </w:rPr>
            </w:pPr>
          </w:p>
        </w:tc>
      </w:tr>
    </w:tbl>
    <w:p w14:paraId="49E70101" w14:textId="77777777" w:rsidR="003D1DB8" w:rsidRDefault="003D1DB8" w:rsidP="00953AE5">
      <w:pPr>
        <w:widowControl w:val="0"/>
        <w:tabs>
          <w:tab w:val="left" w:pos="9020"/>
        </w:tabs>
        <w:spacing w:after="0" w:line="240" w:lineRule="auto"/>
        <w:ind w:left="0" w:hanging="2"/>
        <w:jc w:val="center"/>
        <w:rPr>
          <w:rFonts w:ascii="Arial" w:eastAsia="Arial" w:hAnsi="Arial" w:cs="Arial"/>
          <w:sz w:val="20"/>
          <w:szCs w:val="20"/>
        </w:rPr>
        <w:sectPr w:rsidR="003D1DB8">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14:paraId="3E1E704F" w14:textId="6F027C05" w:rsidR="003D1DB8" w:rsidRDefault="00283E10" w:rsidP="00953AE5">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 xml:space="preserve">INTRODUCTION </w:t>
      </w:r>
    </w:p>
    <w:p w14:paraId="63916E02" w14:textId="5DE01CDE"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hAnsi="Arial" w:cs="Arial"/>
          <w:sz w:val="20"/>
          <w:szCs w:val="20"/>
        </w:rPr>
        <w:t xml:space="preserve">Climate change is seen as a significant problem for the sustainable evolution of human society, with anthropogenic greenhouse gas (GHG) emissions, primarily from the </w:t>
      </w:r>
      <w:r w:rsidRPr="00953AE5">
        <w:rPr>
          <w:rFonts w:ascii="Arial" w:eastAsia="Times New Roman" w:hAnsi="Arial" w:cs="Arial"/>
          <w:sz w:val="20"/>
          <w:szCs w:val="20"/>
          <w:lang w:eastAsia="en-ID"/>
        </w:rPr>
        <w:t>use of natural gas</w:t>
      </w:r>
      <w:r w:rsidRPr="00953AE5">
        <w:rPr>
          <w:rFonts w:ascii="Arial" w:hAnsi="Arial" w:cs="Arial"/>
          <w:sz w:val="20"/>
          <w:szCs w:val="20"/>
        </w:rPr>
        <w:t xml:space="preserve">, identified as the principal cause of the observed climatic alterations to date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{"citationItems":[{"id":"ITEM-1","itemData":{"DOI":"10.3390/su10082739","author":[{"dropping-particle":"","family":"Wang","given":"Jianliang","non-dropping-particle":"","parse-names":false,"suffix":""}],"container-title":"Sustainability (Switzerland)","id":"ITEM-1","issue":"2739","issued":{"date-parts":[["2018"]]},"page":"1-19","title":"Sustainability Assessment of Bioenergy from a Global Perspective : A Review","type":"article-journal","volume":"10"},"uris":["http://www.mendeley.com/documents/?uuid=ca8de5c7-f14b-45c4-a16a-5b4933a24ac6"]}],"mendeley":{"formattedCitation":"[1]","plainTextFormattedCitation":"[1]","previouslyFormattedCitation":"[1]"},"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[1]</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{"citationItems":[{"id":"ITEM-1","itemData":{"DOI":"https://doi.org/10.3390/pr9020297","author":[{"dropping-particle":"","family":"Raksasat et al.","given":"","non-dropping-particle":"","parse-names":false,"suffix":""}],"container-title":"Processes","id":"ITEM-1","issue":"297","issued":{"date-parts":[["2021"]]},"page":"1-13","title":"Blended Sewage Sludge – Palm Kernel Expeller to Enhance the","type":"article-journal","volume":"9"},"uris":["http://www.mendeley.com/documents/?uuid=5a0cc33c-9b2e-40e8-bf8e-14e21114e2b4"]}],"mendeley":{"formattedCitation":"[2]","plainTextFormattedCitation":"[2]","previouslyFormattedCitation":"[2]"},"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[2]</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{"citationItems":[{"id":"ITEM-1","itemData":{"DOI":"https://doi.org/10.1016/j.renene.2020.08.073","ISSN":"0960-1481","abstract":"Biodiesel is a fuel comprised of mono-alkyl esters of long-chain fatty acids derived from vegetable oils or animal fats. Biodiesel is designated B100 and is regarded as the major substitute for fossil diesel. Crambe abyssinica, a native plant from Ethiopia, has great potential for biodiesel production due to its higher calorific value and oxidative stability as compared to soybean oil biodiesel. Compared to fossil diesel, C. abyssinica oil biodiesel emits significantly less CO2 without efficiency loss. However, its crude oil only provides good results if it undergoes supercritical transesterification. Here, we aimed to produce ethyl and methyl esters from crambe oil under ambient conditions. Initially, we tested two methods to degum crambe oil: aqueous degumming and acid degumming. We subjected the degummed oil to transesterification through the methylic or the ethylic route, catalyzed by KOH. The methyl esters of the biodiesel obtained by esterification of crambe oil submitted to acid degumming had higher oxidative stability as compared to the methyl esters of the biodiesel obtained from crambe oil subjected to aqueous degumming: 15.7 h and 10.7 h, respectively, but the yield was lower: 70% vs. 80%, respectively. The ethyl esters of the biodiesel obtained from crambe oil submitted to aqueous degumming provided the highest yield and oxidative stability: 65% and 8.5 h, respectively. We also evaluated the oxidative stability of blends consisting of crambe oil methylic or ethylic biodiesel and soybean oil biodiesel.","author":[{"dropping-particle":"","family":"Gomes Souza","given":"Mateus Cristian","non-dropping-particle":"","parse-names":false,"suffix":""},{"dropping-particle":"","family":"Firmino de Oliveira","given":"Marcelo","non-dropping-particle":"","parse-names":false,"suffix":""},{"dropping-particle":"","family":"Vieira","given":"Andressa Tironi","non-dropping-particle":"","parse-names":false,"suffix":""},{"dropping-particle":"","family":"Marcio de Faria","given":"Anízio","non-dropping-particle":"","parse-names":false,"suffix":""},{"dropping-particle":"","family":"Ferreira Batista","given":"Antônio Carlos","non-dropping-particle":"","parse-names":false,"suffix":""}],"container-title":"Renewable Energy","id":"ITEM-1","issued":{"date-parts":[["2021"]]},"page":"368-374","title":"Methylic and ethylic biodiesel production from crambe oil (Crambe abyssinica): New aspects for yield and oxidative stability","type":"article-journal","volume":"163"},"uris":["http://www.mendeley.com/documents/?uuid=8f2bca8f-2033-4df1-8515-278b44ef4827"]}],"mendeley":{"formattedCitation":"[3]","plainTextFormattedCitation":"[3]","previouslyFormattedCitation":"[3]"},"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[3]</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eastAsia="Times New Roman" w:hAnsi="Arial" w:cs="Arial"/>
          <w:sz w:val="20"/>
          <w:szCs w:val="20"/>
          <w:lang w:eastAsia="en-ID"/>
        </w:rPr>
        <w:t xml:space="preserve">The process of combustion of natural gas leads to </w:t>
      </w:r>
      <w:r w:rsidRPr="00953AE5">
        <w:rPr>
          <w:rFonts w:ascii="Arial" w:hAnsi="Arial" w:cs="Arial"/>
          <w:sz w:val="20"/>
          <w:szCs w:val="20"/>
        </w:rPr>
        <w:t xml:space="preserve">various </w:t>
      </w:r>
      <w:r w:rsidRPr="00953AE5">
        <w:rPr>
          <w:rFonts w:ascii="Arial" w:eastAsia="Times New Roman" w:hAnsi="Arial" w:cs="Arial"/>
          <w:sz w:val="20"/>
          <w:szCs w:val="20"/>
          <w:lang w:eastAsia="en-ID"/>
        </w:rPr>
        <w:t>anthropogenic activities</w:t>
      </w:r>
      <w:r w:rsidRPr="00953AE5">
        <w:rPr>
          <w:rFonts w:ascii="Arial" w:hAnsi="Arial" w:cs="Arial"/>
          <w:sz w:val="20"/>
          <w:szCs w:val="20"/>
        </w:rPr>
        <w:t xml:space="preserve">, including </w:t>
      </w:r>
      <w:r w:rsidRPr="00953AE5">
        <w:rPr>
          <w:rFonts w:ascii="Arial" w:eastAsia="Times New Roman" w:hAnsi="Arial" w:cs="Arial"/>
          <w:sz w:val="20"/>
          <w:szCs w:val="20"/>
          <w:lang w:eastAsia="en-ID"/>
        </w:rPr>
        <w:t>conveyance</w:t>
      </w:r>
      <w:r w:rsidRPr="00953AE5">
        <w:rPr>
          <w:rFonts w:ascii="Arial" w:hAnsi="Arial" w:cs="Arial"/>
          <w:sz w:val="20"/>
          <w:szCs w:val="20"/>
        </w:rPr>
        <w:t xml:space="preserve">, </w:t>
      </w:r>
      <w:r w:rsidRPr="00953AE5">
        <w:rPr>
          <w:rFonts w:ascii="Arial" w:eastAsia="Times New Roman" w:hAnsi="Arial" w:cs="Arial"/>
          <w:sz w:val="20"/>
          <w:szCs w:val="20"/>
          <w:lang w:eastAsia="en-ID"/>
        </w:rPr>
        <w:t>coal-based production of energy</w:t>
      </w:r>
      <w:r w:rsidRPr="00953AE5">
        <w:rPr>
          <w:rFonts w:ascii="Arial" w:hAnsi="Arial" w:cs="Arial"/>
          <w:sz w:val="20"/>
          <w:szCs w:val="20"/>
        </w:rPr>
        <w:t xml:space="preserve">, and large-scale businesses. It </w:t>
      </w:r>
      <w:r w:rsidRPr="00953AE5">
        <w:rPr>
          <w:rFonts w:ascii="Arial" w:eastAsia="Times New Roman" w:hAnsi="Arial" w:cs="Arial"/>
          <w:sz w:val="20"/>
          <w:szCs w:val="20"/>
          <w:lang w:eastAsia="en-ID"/>
        </w:rPr>
        <w:t>can pollute the climate by emitting greenhouse gases</w:t>
      </w:r>
      <w:r w:rsidRPr="00953AE5">
        <w:rPr>
          <w:rFonts w:ascii="Arial" w:hAnsi="Arial" w:cs="Arial"/>
          <w:sz w:val="20"/>
          <w:szCs w:val="20"/>
        </w:rPr>
        <w:t xml:space="preserve">, notably nitrogen oxides and ammonia. </w:t>
      </w:r>
      <w:r w:rsidRPr="00953AE5">
        <w:rPr>
          <w:rFonts w:ascii="Arial" w:eastAsia="Times New Roman" w:hAnsi="Arial" w:cs="Arial"/>
          <w:sz w:val="20"/>
          <w:szCs w:val="20"/>
          <w:lang w:eastAsia="en-ID"/>
        </w:rPr>
        <w:t>Elevated levels of nitrogen oxides in the atmosphere may result in environmental problems due to acid rain and smog formation</w:t>
      </w:r>
      <w:r w:rsidRPr="00953AE5">
        <w:rPr>
          <w:rFonts w:ascii="Arial" w:hAnsi="Arial" w:cs="Arial"/>
          <w:sz w:val="20"/>
          <w:szCs w:val="20"/>
        </w:rPr>
        <w:t xml:space="preserve">. Consequently, </w:t>
      </w:r>
      <w:r w:rsidRPr="00953AE5">
        <w:rPr>
          <w:rFonts w:ascii="Arial" w:eastAsia="Times New Roman" w:hAnsi="Arial" w:cs="Arial"/>
          <w:sz w:val="20"/>
          <w:szCs w:val="20"/>
          <w:lang w:eastAsia="en-ID"/>
        </w:rPr>
        <w:t xml:space="preserve">using biodiesel as a substitute for </w:t>
      </w:r>
      <w:r w:rsidRPr="00953AE5">
        <w:rPr>
          <w:rFonts w:ascii="Arial" w:eastAsia="Times New Roman" w:hAnsi="Arial" w:cs="Arial"/>
          <w:sz w:val="20"/>
          <w:szCs w:val="20"/>
          <w:lang w:eastAsia="en-ID"/>
        </w:rPr>
        <w:lastRenderedPageBreak/>
        <w:t xml:space="preserve">oil and gas is considered environmentally sustainable because biodiesel can be derived from renewable biomass sources. </w:t>
      </w:r>
    </w:p>
    <w:p w14:paraId="513F4968" w14:textId="4B91DB2E"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hAnsi="Arial" w:cs="Arial"/>
          <w:sz w:val="20"/>
          <w:szCs w:val="20"/>
        </w:rPr>
        <w:t xml:space="preserve">To mitigate the issue, most nations globally are implementing strategies to regulate or diminish their carbon emissions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Leemans","given":"Rik","non-dropping-particle":"","parse-names":false,"suffix":""},{"dropping-particle":"","family":"Vellinga","given":"Pier","non-dropping-particle":"","parse-names":false,"suffix":""},{"dropping-particle":"","family":"Analysis","given":"Environmental Systems","non-dropping-particle":"","parse-names":false,"suffix":""}],"id":"ITEM-1","issue":"December","issued":{"date-parts":[["2015"]]},"title":"The scientific motivation of the internationally agreed “ well below 2 o C ” climate protection target : a historical perspective .","type":"article-journal"},"uris":["http://www.mendeley.com/documents/?uuid=bd46d24c-5d16-40b7-80f6-8a8c6a5de4d5"]}],"mendeley":{"formattedCitation":"[4]","plainTextFormattedCitation":"[4]","previouslyFormattedCitation":"[4]"},"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[4]</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eastAsia="Times New Roman" w:hAnsi="Arial" w:cs="Arial"/>
          <w:sz w:val="20"/>
          <w:szCs w:val="20"/>
          <w:lang w:eastAsia="en-ID"/>
        </w:rPr>
        <w:t>In this environment, the transition of energy from petroleum and coal to alternative energy sources is a primary choice for the world</w:t>
      </w:r>
      <w:r w:rsidRPr="00953AE5">
        <w:rPr>
          <w:rFonts w:ascii="Arial" w:hAnsi="Arial" w:cs="Arial"/>
          <w:sz w:val="20"/>
          <w:szCs w:val="20"/>
        </w:rPr>
        <w:t xml:space="preserve">, with bioenergy anticipated to assume a significant position within the renewables sector. For example, The United States Environmental Protection Agency states that biodiesel can decrease greenhouse gas emissions by 86%. </w:t>
      </w:r>
      <w:r w:rsidRPr="00953AE5">
        <w:rPr>
          <w:rFonts w:ascii="Arial" w:eastAsia="Times New Roman" w:hAnsi="Arial" w:cs="Arial"/>
          <w:sz w:val="20"/>
          <w:szCs w:val="20"/>
          <w:lang w:eastAsia="en-ID"/>
        </w:rPr>
        <w:t>The increasing global consumption of biodiesel, around 429.9 thousand barrels daily, has necessitated the investigation of sustainable feedstocks for biodiesel production</w:t>
      </w:r>
      <w:r w:rsidRPr="00953AE5">
        <w:rPr>
          <w:rFonts w:ascii="Arial" w:hAnsi="Arial" w:cs="Arial"/>
          <w:sz w:val="20"/>
          <w:szCs w:val="20"/>
        </w:rPr>
        <w:t xml:space="preser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{"citationItems":[{"id":"ITEM-1","itemData":{"DOI":"10.3390/su10082739","author":[{"dropping-particle":"","family":"Wang","given":"Jianliang","non-dropping-particle":"","parse-names":false,"suffix":""}],"container-title":"Sustainability (Switzerland)","id":"ITEM-1","issue":"2739","issued":{"date-parts":[["2018"]]},"page":"1-19","title":"Sustainability Assessment of Bioenergy from a Global Perspective : A Review","type":"article-journal","volume":"10"},"uris":["http://www.mendeley.com/documents/?uuid=ca8de5c7-f14b-45c4-a16a-5b4933a24ac6"]}],"mendeley":{"formattedCitation":"[1]","plainTextFormattedCitation":"[1]","previouslyFormattedCitation":"[1]"},"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[1]</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eastAsia="Times New Roman" w:hAnsi="Arial" w:cs="Arial"/>
          <w:sz w:val="20"/>
          <w:szCs w:val="20"/>
          <w:lang w:eastAsia="en-ID"/>
        </w:rPr>
        <w:t>The production of biofuels from agricultural produce, categorized as the initial feedstock, may result in a shortage of food supply</w:t>
      </w:r>
      <w:r w:rsidRPr="00953AE5">
        <w:rPr>
          <w:rFonts w:ascii="Arial" w:hAnsi="Arial" w:cs="Arial"/>
          <w:sz w:val="20"/>
          <w:szCs w:val="20"/>
        </w:rPr>
        <w:t xml:space="preserve">. </w:t>
      </w:r>
      <w:r w:rsidRPr="00953AE5">
        <w:rPr>
          <w:rFonts w:ascii="Arial" w:eastAsia="Times New Roman" w:hAnsi="Arial" w:cs="Arial"/>
          <w:sz w:val="20"/>
          <w:szCs w:val="20"/>
          <w:lang w:eastAsia="en-ID"/>
        </w:rPr>
        <w:t>Lignocellulosic biomass was recently studied to create the subsequent generations of biodiesel.</w:t>
      </w:r>
      <w:r w:rsidRPr="00953AE5">
        <w:rPr>
          <w:rFonts w:ascii="Arial" w:hAnsi="Arial" w:cs="Arial"/>
          <w:sz w:val="20"/>
          <w:szCs w:val="20"/>
        </w:rPr>
        <w:t xml:space="preserve"> Nonetheless, a sophisticated apparatus is required for the operational procedure, resulting in substantial investment expenses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{"citationItems":[{"id":"ITEM-1","itemData":{"DOI":"https://doi.org/10.1016/j.biortech.2015.08.030","ISSN":"0960-8524","abstract":"This article has been retracted: please see Elsevier Policy on Article Withdrawal (https://www.elsevier.com/locate/withdrawalpolicy). This article has been retracted at the request of Elsevier's Research Integrity &amp; Publishing Ethics team and an independent ethics advisor. A journal-wide investigation identified violations of the journal's policies on authorship and conflict of interest related to the submission and review of this paper. Review of the initial submission of this paper was handled by the then journal Editor-in-Chief (Ashok Pandey) and revision required. Upon submission of the revised version, the journal Editor-in-Chief was added as a co-author and the Editor-in-Chief continued to handle the review process, eventually accepting the paper for publication. This compromised the editorial process and breached the journal's policies. This investigation was carried out by Elsevier's Research Integrity &amp; Publishing Ethics team, independent of the journal editorial board. The findings and recommendations have been confirmed by an independent ethics advisor. The authors disagree with the retraction and dispute the grounds for it.","author":[{"dropping-particle":"","family":"Sindhu","given":"Raveendran","non-dropping-particle":"","parse-names":false,"suffix":""},{"dropping-particle":"","family":"Binod","given":"Parameswaran","non-dropping-particle":"","parse-names":false,"suffix":""},{"dropping-particle":"","family":"Pandey","given":"Ashok","non-dropping-particle":"","parse-names":false,"suffix":""}],"container-title":"Bioresource Technology","id":"ITEM-1","issued":{"date-parts":[["2016"]]},"page":"76-82","title":"RETRACTED: Biological pretreatment of lignocellulosic biomass – An overview","type":"article-journal","volume":"199"},"uris":["http://www.mendeley.com/documents/?uuid=ffcab15a-71ea-49ca-a2af-844194c4e9ff"]}],"mendeley":{"formattedCitation":"[5]","plainTextFormattedCitation":"[5]","previouslyFormattedCitation":"[5]"},"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w:t>
      </w:r>
      <w:r w:rsidRPr="00953AE5">
        <w:rPr>
          <w:rFonts w:ascii="Arial" w:hAnsi="Arial" w:cs="Arial"/>
          <w:sz w:val="20"/>
          <w:szCs w:val="20"/>
        </w:rPr>
        <w:fldChar w:fldCharType="end"/>
      </w:r>
      <w:r w:rsidRPr="00953AE5">
        <w:rPr>
          <w:rFonts w:ascii="Arial" w:hAnsi="Arial" w:cs="Arial"/>
          <w:sz w:val="20"/>
          <w:szCs w:val="20"/>
        </w:rPr>
        <w:t xml:space="preserve">. Despite exploring third-generation biofuels as a substitute for lignocellulosic biomass in biodiesel production from microalgae and cyanobacteria, a prohibitively high harvesting cost remains unavoidable. Despite the high lipid content of these microorganisms, exceeding 75% in microalgae, substantial time and considerable energy are required for processing significant quantities of microalgal feedstock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{"citationItems":[{"id":"ITEM-1","itemData":{"DOI":"https://doi.org/10.1016/j.renene.2017.04.067","ISSN":"0960-1481","abstract":"The prime objective of this study was to simultaneously enhance the lipid and protein yields from black soldier fly larvae (BSFL) fed with waste coconut endosperm. The waste coconut endosperm impoverished with nutrient content lost during milk extraction was nutritively fortified via self-fermentation process with time period ranging from 2 to 8 weeks before administering to BSFL. The results showed peak nutrient content was attained from week-4 self-fermented waste coconut endosperm. Using this feed medium, the BSFL prepupae could accumulate 58% of its biomass weight with lipid. The low polyunsaturated fatty acid (6%) and high C18:1 (50%) also guaranteed high biodiesel quality derived from BSFL. Nevertheless, the longer BSFL rearing duration when fed with week-6 self-fermented waste coconut endosperm had triggered a slight increase in protein yield (18%) in comparison with week-4 medium (15%). In considering of organic waste treatment advantage of week-4 self-fermented waste coconut endosperm, a total waste reduction of 0.019 g/d was successfully measured using only 20 BSFL. Therefore, week-4 self-fermented period was concluded as an optimum to produce ideal waste coconut endosperm feed medium for BSFL in enhancing the simultaneous lipid and protein yields.","author":[{"dropping-particle":"","family":"Mohd-Noor","given":"Siti-Nuraini","non-dropping-particle":"","parse-names":false,"suffix":""},{"dropping-particle":"","family":"Wong","given":"Chung-Yiin","non-dropping-particle":"","parse-names":false,"suffix":""},{"dropping-particle":"","family":"Lim","given":"Jun-Wei","non-dropping-particle":"","parse-names":false,"suffix":""},{"dropping-particle":"","family":"Mah-Hussin","given":"Mah-Iazam-Azuri","non-dropping-particle":"","parse-names":false,"suffix":""},{"dropping-particle":"","family":"Uemura","given":"Yoshimitsu","non-dropping-particle":"","parse-names":false,"suffix":""},{"dropping-particle":"","family":"Lam","given":"Man-Kee","non-dropping-particle":"","parse-names":false,"suffix":""},{"dropping-particle":"","family":"Ramli","given":"Anita","non-dropping-particle":"","parse-names":false,"suffix":""},{"dropping-particle":"","family":"Bashir","given":"Mohammed J K","non-dropping-particle":"","parse-names":false,"suffix":""},{"dropping-particle":"","family":"Tham","given":"Leony","non-dropping-particle":"","parse-names":false,"suffix":""}],"container-title":"Renewable Energy","id":"ITEM-1","issued":{"date-parts":[["2017"]]},"page":"646-654","title":"Optimization of self-fermented period of waste coconut endosperm destined to feed black soldier fly larvae in enhancing the lipid and protein yields","type":"article-journal","volume":"111"},"uris":["http://www.mendeley.com/documents/?uuid=76d02c9b-75c7-498c-824b-85df55cbc87f"]}],"mendeley":{"formattedCitation":"[6]","plainTextFormattedCitation":"[6]","previouslyFormattedCitation":"[6]"},"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eastAsia="Times New Roman" w:hAnsi="Arial" w:cs="Arial"/>
          <w:sz w:val="20"/>
          <w:szCs w:val="20"/>
          <w:lang w:eastAsia="en-ID"/>
        </w:rPr>
        <w:t xml:space="preserve">Lipids derived from insect larvae have emerged as a viable source for biodiesel production, addressing existing challenges. These larvae are considered a cost-effective feedstock, easily cultivated, and capable of converting biological recyclables into plant matter through a biological transformation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{"citationItems":[{"id":"ITEM-1","itemData":{"author":[{"dropping-particle":"","family":"Abduh","given":"Muhammad Yusuf","non-dropping-particle":"","parse-names":false,"suffix":""},{"dropping-particle":"","family":"Manurung","given":"Robert","non-dropping-particle":"","parse-names":false,"suffix":""},{"dropping-particle":"","family":"Faustina","given":"Adelia","non-dropping-particle":"","parse-names":false,"suffix":""}],"id":"ITEM-1","issue":"1","issued":{"date-parts":[["2017"]]},"page":"803-809","title":"Bioconversion of Pandanus tectorius using black soldier fly larvae for the production of edible oil and protein-rich biomass","type":"article-journal","volume":"5"},"uris":["http://www.mendeley.com/documents/?uuid=8aa2c992-751d-47d1-9f7a-52d0c1881b86"]}],"mendeley":{"formattedCitation":"[7]","plainTextFormattedCitation":"[7]","previouslyFormattedCitation":"[7]"},"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10.1039/C5EE02940F","ISSN":"1754-5692","author":[{"dropping-particle":"","family":"Xu","given":"Feng","non-dropping-particle":"","parse-names":false,"suffix":""},{"dropping-particle":"","family":"Sun","given":"Jian","non-dropping-particle":"","parse-names":false,"suffix":""},{"dropping-particle":"","family":"Konda","given":"N V S N Murthy","non-dropping-particle":"","parse-names":false,"suffix":""},{"dropping-particle":"","family":"Shi","given":"Jian","non-dropping-particle":"","parse-names":false,"suffix":""},{"dropping-particle":"","family":"Dutta","given":"Tanmoy","non-dropping-particle":"","parse-names":false,"suffix":""},{"dropping-particle":"","family":"Scown","given":"Corinne D","non-dropping-particle":"","parse-names":false,"suffix":""},{"dropping-particle":"","family":"Simmons","given":"A","non-dropping-particle":"","parse-names":false,"suffix":""},{"dropping-particle":"","family":"Singh","given":"Seema","non-dropping-particle":"","parse-names":false,"suffix":""}],"container-title":"Energy &amp; Environmental Science","id":"ITEM-1","issued":{"date-parts":[["2016"]]},"page":"1042-1049","publisher":"Royal Society of Chemistry","title":"Environmental Science liquids : process intensification and the for the production of cellulosic ethanol †","type":"article-journal","volume":"9"},"uris":["http://www.mendeley.com/documents/?uuid=4923eaa6-66bf-418f-8884-bd22923ef207"]}],"mendeley":{"formattedCitation":"[8]","plainTextFormattedCitation":"[8]","previouslyFormattedCitation":"[8]"},"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w:t>
      </w:r>
      <w:r w:rsidRPr="00953AE5">
        <w:rPr>
          <w:rFonts w:ascii="Arial" w:hAnsi="Arial" w:cs="Arial"/>
          <w:sz w:val="20"/>
          <w:szCs w:val="20"/>
        </w:rPr>
        <w:fldChar w:fldCharType="end"/>
      </w:r>
      <w:r w:rsidRPr="00953AE5">
        <w:rPr>
          <w:rFonts w:ascii="Arial" w:hAnsi="Arial" w:cs="Arial"/>
          <w:sz w:val="20"/>
          <w:szCs w:val="20"/>
        </w:rPr>
        <w:t>.</w:t>
      </w:r>
    </w:p>
    <w:p w14:paraId="326A223B" w14:textId="0AE628E5"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eastAsia="Times New Roman" w:hAnsi="Arial" w:cs="Arial"/>
          <w:sz w:val="20"/>
          <w:szCs w:val="20"/>
          <w:lang w:eastAsia="en-ID"/>
        </w:rPr>
        <w:t>Insect larvae can consume organic substances such as food scraps, agricultural waste, animal waste, and sludge, thereby bio-converting these materials into valuable larval plant matter for subsequent applications</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{"citationItems":[{"id":"ITEM-1","itemData":{"DOI":"https://doi.org/10.1016/j.jclepro.2018.10.017","ISSN":"0959-6526","abstract":"Global population growth has led to an urgent need for more efficient food production systems. Moreover, as income levels increase, dietary preferences are shifting to more animal-based products. However, current feed protein sources deplete wild fish populations and contribute to rainforest deforestation. Capturing the resources in organic waste could help alleviate environmental impacts of food production. The larvae of the black soldier fly (Hermetia illucens) are ferocious feeders on decomposing organic material and could be used as protein source in animal feed. This study evaluated development of black soldier fly larvae on eight urban organic waste fractions and two control substrates. Principal component analysis was conducted to identify substrate properties that contributed to treatment efficiency and larval development. The main treatment factors found to be affected by substrate were waste-to-biomass conversion ratio, larval development time and final prepupal weight. The substrate properties with the greatest impact on biomass conversion ratio and larval development time were content of total volatile solids and protein content, while only total volatile solids content affected final prepupal weight. It was concluded that black soldier fly larvae are versatile in their feedstock preferences and can be used to treat a variety of organic waste streams, provided that the total volatile solids and nitrogen content are sufficiently high to support larval development. Abattoir waste, food waste, human faeces and a mixture of abattoir waste – fruits &amp; vegetables are waste streams that are highly suitable for fly larvae treatment.","author":[{"dropping-particle":"","family":"Lalander","given":"C","non-dropping-particle":"","parse-names":false,"suffix":""},{"dropping-particle":"","family":"Diener","given":"S","non-dropping-particle":"","parse-names":false,"suffix":""},{"dropping-particle":"","family":"Zurbrügg","given":"C","non-dropping-particle":"","parse-names":false,"suffix":""},{"dropping-particle":"","family":"Vinnerås","given":"B","non-dropping-particle":"","parse-names":false,"suffix":""}],"container-title":"Journal of Cleaner Production","id":"ITEM-1","issued":{"date-parts":[["2019"]]},"page":"211-219","title":"Effects of feedstock on larval development and process efficiency in waste treatment with black soldier fly (Hermetia illucens)","type":"article-journal","volume":"208"},"uris":["http://www.mendeley.com/documents/?uuid=0a8d07a2-66de-465d-9d89-b70b99e7c8f0"]}],"mendeley":{"formattedCitation":"[9]","plainTextFormattedCitation":"[9]","previouslyFormattedCitation":"[9]"},"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[9]</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{"citationItems":[{"id":"ITEM-1","itemData":{"DOI":"10.1038/s41598-019-46603-z","author":[{"dropping-particle":"","family":"Shumo","given":"Marwa","non-dropping-particle":"","parse-names":false,"suffix":""},{"dropping-particle":"","family":"Osuga","given":"Isaac M","non-dropping-particle":"","parse-names":false,"suffix":""},{"dropping-particle":"","family":"Khamis","given":"Fathiya M","non-dropping-particle":"","parse-names":false,"suffix":""},{"dropping-particle":"","family":"Tanga","given":"Chrysantus M","non-dropping-particle":"","parse-names":false,"suffix":""},{"dropping-particle":"","family":"Fiab","given":"Komi K M","non-dropping-particle":"","parse-names":false,"suffix":""},{"dropping-particle":"","family":"Subramanian","given":"Sevgan","non-dropping-particle":"","parse-names":false,"suffix":""},{"dropping-particle":"","family":"Ekesi","given":"Sunday","non-dropping-particle":"","parse-names":false,"suffix":""},{"dropping-particle":"Van","family":"Huis","given":"Arnold","non-dropping-particle":"","parse-names":false,"suffix":""},{"dropping-particle":"","family":"Borgemeister","given":"Christian","non-dropping-particle":"","parse-names":false,"suffix":""}],"container-title":"Scientific reports","id":"ITEM-1","issue":"July","issued":{"date-parts":[["2019"]]},"page":"1-13","title":"The nutritive value of black soldier fly larvae reared on common organic waste streams in Kenya","type":"article-journal"},"uris":["http://www.mendeley.com/documents/?uuid=2d1af927-debf-41ba-8c7d-861148020b1f"]}],"mendeley":{"formattedCitation":"[10]","plainTextFormattedCitation":"[10]","previouslyFormattedCitation":"[10]"},"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[10]</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Insect-derived lipids, mainly as fat, represent a substantial portion of plant matter explored for sustainable biofuel production</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10.1371/journal.pone.0045940","author":[{"dropping-particle":"","family":"Yang","given":"Sen","non-dropping-particle":"","parse-names":false,"suffix":""},{"dropping-particle":"","family":"Li","given":"Qing","non-dropping-particle":"","parse-names":false,"suffix":""},{"dropping-particle":"","family":"Zeng","given":"Qinglan","non-dropping-particle":"","parse-names":false,"suffix":""},{"dropping-particle":"","family":"Zhang","given":"Jibin","non-dropping-particle":"","parse-names":false,"suffix":""},{"dropping-particle":"","family":"Yu","given":"Ziniu","non-dropping-particle":"","parse-names":false,"suffix":""},{"dropping-particle":"","family":"Liu","given":"Ziduo","non-dropping-particle":"","parse-names":false,"suffix":""}],"id":"ITEM-1","issue":"9","issued":{"date-parts":[["2012"]]},"page":"1-7","title":"Conversion of Solid Organic Wastes into Oil via Boettcherisca peregrine ( Diptera : Sarcophagidae ) Larvae and Optimization of Parameters for Biodiesel Production","type":"article-journal","volume":"7"},"uris":["http://www.mendeley.com/documents/?uuid=318ea26f-f8c2-4911-8d09-d9fb6fb1f120"]}],"mendeley":{"formattedCitation":"[11]","plainTextFormattedCitation":"[11]","previouslyFormattedCitation":"[11]"},"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[11]</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10.1186/s13068-017-0986-7","author":[{"dropping-particle":"","family":"Wang","given":"Hui","non-dropping-particle":"","parse-names":false,"suffix":""},{"dropping-particle":"","family":"Rehman","given":"Kashif","non-dropping-particle":"","parse-names":false,"suffix":""},{"dropping-particle":"","family":"Liu","given":"Xiu","non-dropping-particle":"","parse-names":false,"suffix":""},{"dropping-particle":"","family":"Yang","given":"Qinqin","non-dropping-particle":"","parse-names":false,"suffix":""},{"dropping-particle":"","family":"Zheng","given":"Longyu","non-dropping-particle":"","parse-names":false,"suffix":""},{"dropping-particle":"","family":"Li","given":"Wu","non-dropping-particle":"","parse-names":false,"suffix":""},{"dropping-particle":"","family":"Cai","given":"Minmin","non-dropping-particle":"","parse-names":false,"suffix":""},{"dropping-particle":"","family":"Li","given":"Qing","non-dropping-particle":"","parse-names":false,"suffix":""}],"id":"ITEM-1","issued":{"date-parts":[["2017"]]},"page":"1-13","title":"Biotechnology for Biofuels Insect biorefinery : a green approach for conversion of crop residues into biodiesel and protein","type":"article-journal"},"uris":["http://www.mendeley.com/documents/?uuid=2f273ce8-a452-45aa-96db-bd18b68f97a7"]}],"mendeley":{"formattedCitation":"[12]","plainTextFormattedCitation":"[12]","previouslyFormattedCitation":"[12]"},"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[12]</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{"citationItems":[{"id":"ITEM-1","itemData":{"DOI":"https://doi.org/10.1016/j.ijft.2024.100754","ISSN":"2666-2027","abstract":"This study investigates the potential of biodiesel production from Black Soldier Fly (BSF) larvae using organic waste. The aim of this research is to assess the feasibility of biodiesel production and its economic viability from BSF larvae. Specific objectives include analyzing organic waste quantity, moisture content, dry matter, BOD content, and biodiesel conversion efficiency. Our findings reveal that under various scales, biodiesel production from BSF larvae shows promise. For instance, in a small-scale urban biofuel plant, we estimate the production of approximately 122.73 liters of biodiesel per day from 1 ton of organic waste. Moreover, our calculations demonstrate the potential for medium-scale rural and large-scale industrial biofuel plants to produce 1,678.85 and 22,272.73 liters of biodiesel per day, respectively. These results highlight the significant biodiesel potential of BSF larvae. In conclusion, this study provides valuable insights into the biodiesel production potential of BSF larvae. It underscores the feasibility of utilizing organic waste for biodiesel production, contributing to sustainable biofuel development. Our research contributes to the knowledge base by offering quantitative assessments of biodiesel potential. We have incorporated quantitative data to provide a clearer understanding of the biodiesel potential and its economic implications.","author":[{"dropping-particle":"","family":"Koyunoğlu","given":"Cemil","non-dropping-particle":"","parse-names":false,"suffix":""}],"container-title":"International Journal of Thermofluids","id":"ITEM-1","issued":{"date-parts":[["2024"]]},"page":"100754","title":"Biofuel production utilizing black soldier fly (Hermetia illucens): a sustainable approach for organic waste management","type":"article-journal","volume":"23"},"uris":["http://www.mendeley.com/documents/?uuid=b23a6b84-a6b7-4615-a34b-cb35869385d7"]}],"mendeley":{"formattedCitation":"[13]","plainTextFormattedCitation":"[13]","previouslyFormattedCitation":"[13]"},"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[13]</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w:t>
      </w:r>
    </w:p>
    <w:p w14:paraId="2CAFF8D7" w14:textId="66888E7F"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eastAsia="Times New Roman" w:hAnsi="Arial" w:cs="Arial"/>
          <w:sz w:val="20"/>
          <w:szCs w:val="20"/>
          <w:lang w:eastAsia="en-ID"/>
        </w:rPr>
        <w:t xml:space="preserve">Lipids are retained in the larval body for use throughout the non-feeding stage of their lifespan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10.1371/journal.pone.0045940","author":[{"dropping-particle":"","family":"Yang","given":"Sen","non-dropping-particle":"","parse-names":false,"suffix":""},{"dropping-particle":"","family":"Li","given":"Qing","non-dropping-particle":"","parse-names":false,"suffix":""},{"dropping-particle":"","family":"Zeng","given":"Qinglan","non-dropping-particle":"","parse-names":false,"suffix":""},{"dropping-particle":"","family":"Zhang","given":"Jibin","non-dropping-particle":"","parse-names":false,"suffix":""},{"dropping-particle":"","family":"Yu","given":"Ziniu","non-dropping-particle":"","parse-names":false,"suffix":""},{"dropping-particle":"","family":"Liu","given":"Ziduo","non-dropping-particle":"","parse-names":false,"suffix":""}],"id":"ITEM-1","issue":"9","issued":{"date-parts":[["2012"]]},"page":"1-7","title":"Conversion of Solid Organic Wastes into Oil via Boettcherisca peregrine ( Diptera : Sarcophagidae ) Larvae and Optimization of Parameters for Biodiesel Production","type":"article-journal","volume":"7"},"uris":["http://www.mendeley.com/documents/?uuid=318ea26f-f8c2-4911-8d09-d9fb6fb1f120"]}],"mendeley":{"formattedCitation":"[11]","plainTextFormattedCitation":"[11]","previouslyFormattedCitation":"[11]"},"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[11]</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Among many types of insects, including the flesh fly, </w:t>
      </w:r>
      <w:proofErr w:type="spellStart"/>
      <w:r w:rsidRPr="00953AE5">
        <w:rPr>
          <w:rFonts w:ascii="Arial" w:eastAsia="Times New Roman" w:hAnsi="Arial" w:cs="Arial"/>
          <w:sz w:val="20"/>
          <w:szCs w:val="20"/>
          <w:lang w:eastAsia="en-ID"/>
        </w:rPr>
        <w:t>superworm</w:t>
      </w:r>
      <w:proofErr w:type="spellEnd"/>
      <w:r w:rsidRPr="00953AE5">
        <w:rPr>
          <w:rFonts w:ascii="Arial" w:eastAsia="Times New Roman" w:hAnsi="Arial" w:cs="Arial"/>
          <w:sz w:val="20"/>
          <w:szCs w:val="20"/>
          <w:lang w:eastAsia="en-ID"/>
        </w:rPr>
        <w:t xml:space="preserve">, mealworm beetle, housefly, latrine blowfly, soldier fly, and ants, </w:t>
      </w:r>
      <w:proofErr w:type="spellStart"/>
      <w:r w:rsidRPr="00953AE5">
        <w:rPr>
          <w:rFonts w:ascii="Arial" w:eastAsia="Times New Roman" w:hAnsi="Arial" w:cs="Arial"/>
          <w:sz w:val="20"/>
          <w:szCs w:val="20"/>
          <w:lang w:eastAsia="en-ID"/>
        </w:rPr>
        <w:t>Hermetia</w:t>
      </w:r>
      <w:proofErr w:type="spellEnd"/>
      <w:r w:rsidRPr="00953AE5">
        <w:rPr>
          <w:rFonts w:ascii="Arial" w:eastAsia="Times New Roman" w:hAnsi="Arial" w:cs="Arial"/>
          <w:sz w:val="20"/>
          <w:szCs w:val="20"/>
          <w:lang w:eastAsia="en-ID"/>
        </w:rPr>
        <w:t xml:space="preserve"> </w:t>
      </w:r>
      <w:proofErr w:type="spellStart"/>
      <w:r w:rsidRPr="00953AE5">
        <w:rPr>
          <w:rFonts w:ascii="Arial" w:eastAsia="Times New Roman" w:hAnsi="Arial" w:cs="Arial"/>
          <w:sz w:val="20"/>
          <w:szCs w:val="20"/>
          <w:lang w:eastAsia="en-ID"/>
        </w:rPr>
        <w:t>illucens</w:t>
      </w:r>
      <w:proofErr w:type="spellEnd"/>
      <w:r w:rsidRPr="00953AE5">
        <w:rPr>
          <w:rFonts w:ascii="Arial" w:eastAsia="Times New Roman" w:hAnsi="Arial" w:cs="Arial"/>
          <w:sz w:val="20"/>
          <w:szCs w:val="20"/>
          <w:lang w:eastAsia="en-ID"/>
        </w:rPr>
        <w:t xml:space="preserve"> larvae, commonly known as black soldier fly larvae (BSFL), are often selected for the production of biodiesel. This preference is due to their ability to valorize diverse organic wastes, </w:t>
      </w:r>
      <w:r w:rsidRPr="00953AE5">
        <w:rPr>
          <w:rFonts w:ascii="Arial" w:eastAsia="Times New Roman" w:hAnsi="Arial" w:cs="Arial"/>
          <w:sz w:val="20"/>
          <w:szCs w:val="20"/>
          <w:lang w:eastAsia="en-ID"/>
        </w:rPr>
        <w:t xml:space="preserve">their high lipid content (approximately 50%), the non-pest status of the adults, their adaptability to various environmental conditions, including temperatures and pH levels, and humidity), and the reduced labor requirements for mass rearing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Lee","given":"Kyu-shik","non-dropping-particle":"","parse-names":false,"suffix":""},{"dropping-particle":"","family":"Yun","given":"Eun-young","non-dropping-particle":"","parse-names":false,"suffix":""}],"id":"ITEM-1","issued":{"date-parts":[["2021"]]},"title":"Optimization of Feed Components to Improve Hermetia illucens Growth and Development of Oil Extractor to Produce Biodiesel","type":"article-journal"},"uris":["http://www.mendeley.com/documents/?uuid=3cbdbd05-ec9e-4b6d-9a25-c9240dcbe516"]}],"mendeley":{"formattedCitation":"[14]","plainTextFormattedCitation":"[14]","previouslyFormattedCitation":"[14]"},"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[14]</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Wong","given":"Chung-yiin","non-dropping-particle":"","parse-names":false,"suffix":""},{"dropping-particle":"","family":"Rosli","given":"Siti-suhailah","non-dropping-particle":"","parse-names":false,"suffix":""},{"dropping-particle":"","family":"Uemura","given":"Yoshimitsu","non-dropping-particle":"","parse-names":false,"suffix":""},{"dropping-particle":"","family":"Ho","given":"Yeek Chia","non-dropping-particle":"","parse-names":false,"suffix":""}],"id":"ITEM-1","issued":{"date-parts":[["2019"]]},"title":"Potential Protein and Biodiesel Sources from Black Soldier Fly Larvae : Insights of Larval Harvesting Instar and Fermented Feeding Medium","type":"article-journal"},"uris":["http://www.mendeley.com/documents/?uuid=f2b46a68-466c-4883-8511-43c597c77a74"]}],"mendeley":{"formattedCitation":"[15]","plainTextFormattedCitation":"[15]","previouslyFormattedCitation":"[15]"},"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[15]</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{"citationItems":[{"id":"ITEM-1","itemData":{"author":[{"dropping-particle":"","family":"Elgharbawy","given":"Abdallah S","non-dropping-particle":"","parse-names":false,"suffix":""},{"dropping-particle":"","family":"Sadik","given":"Wagih A","non-dropping-particle":"","parse-names":false,"suffix":""},{"dropping-particle":"","family":"Sadek","given":"Olfat M","non-dropping-particle":"","parse-names":false,"suffix":""},{"dropping-particle":"","family":"Kasaby","given":"Mosaad A","non-dropping-particle":"","parse-names":false,"suffix":""}],"id":"ITEM-1","issued":{"date-parts":[["2021"]]},"title":"A REVIEW ON BIODIESEL FEEDSTOCKS AND PRODUCTION TECHNOLOGIES","type":"article-journal","volume":"1"},"uris":["http://www.mendeley.com/documents/?uuid=0a5e6ea3-39ff-4611-8d6c-caf8ee67201d"]}],"mendeley":{"formattedCitation":"[16]","plainTextFormattedCitation":"[16]","previouslyFormattedCitation":"[16]"},"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[16]</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{"citationItems":[{"id":"ITEM-1","itemData":{"author":[{"dropping-particle":"","family":"Akpan","given":"Ifeke Okon","non-dropping-particle":"","parse-names":false,"suffix":""},{"dropping-particle":"","family":"Edeh","given":"Ifeanyichukwu","non-dropping-particle":"","parse-names":false,"suffix":""},{"dropping-particle":"","family":"Uyigue","given":"Lucky","non-dropping-particle":"","parse-names":false,"suffix":""}],"id":"ITEM-1","issue":"2","issued":{"date-parts":[["2023"]]},"page":"131-141","title":"Petroleum and Chemical Industry International A Review on Biodiesel Production","type":"article-journal","volume":"6"},"uris":["http://www.mendeley.com/documents/?uuid=9fa36cba-f011-4bd4-b6aa-9415235ccb8a"]}],"mendeley":{"formattedCitation":"[17]","plainTextFormattedCitation":"[17]","previouslyFormattedCitation":"[17]"},"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[17]</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The fatty acid profile of BSFL lipid primarily consists of C12:0 (38.43 </w:t>
      </w:r>
      <w:proofErr w:type="spellStart"/>
      <w:r w:rsidRPr="00953AE5">
        <w:rPr>
          <w:rFonts w:ascii="Arial" w:eastAsia="Times New Roman" w:hAnsi="Arial" w:cs="Arial"/>
          <w:sz w:val="20"/>
          <w:szCs w:val="20"/>
          <w:lang w:eastAsia="en-ID"/>
        </w:rPr>
        <w:t>wt</w:t>
      </w:r>
      <w:proofErr w:type="spellEnd"/>
      <w:r w:rsidRPr="00953AE5">
        <w:rPr>
          <w:rFonts w:ascii="Arial" w:eastAsia="Times New Roman" w:hAnsi="Arial" w:cs="Arial"/>
          <w:sz w:val="20"/>
          <w:szCs w:val="20"/>
          <w:lang w:eastAsia="en-ID"/>
        </w:rPr>
        <w:t xml:space="preserve">%), C16:1 (15.71 </w:t>
      </w:r>
      <w:proofErr w:type="spellStart"/>
      <w:r w:rsidRPr="00953AE5">
        <w:rPr>
          <w:rFonts w:ascii="Arial" w:eastAsia="Times New Roman" w:hAnsi="Arial" w:cs="Arial"/>
          <w:sz w:val="20"/>
          <w:szCs w:val="20"/>
          <w:lang w:eastAsia="en-ID"/>
        </w:rPr>
        <w:t>wt</w:t>
      </w:r>
      <w:proofErr w:type="spellEnd"/>
      <w:r w:rsidRPr="00953AE5">
        <w:rPr>
          <w:rFonts w:ascii="Arial" w:eastAsia="Times New Roman" w:hAnsi="Arial" w:cs="Arial"/>
          <w:sz w:val="20"/>
          <w:szCs w:val="20"/>
          <w:lang w:eastAsia="en-ID"/>
        </w:rPr>
        <w:t xml:space="preserve">%), and C14:0 (12.33 </w:t>
      </w:r>
      <w:proofErr w:type="spellStart"/>
      <w:r w:rsidRPr="00953AE5">
        <w:rPr>
          <w:rFonts w:ascii="Arial" w:eastAsia="Times New Roman" w:hAnsi="Arial" w:cs="Arial"/>
          <w:sz w:val="20"/>
          <w:szCs w:val="20"/>
          <w:lang w:eastAsia="en-ID"/>
        </w:rPr>
        <w:t>wt</w:t>
      </w:r>
      <w:proofErr w:type="spellEnd"/>
      <w:r w:rsidRPr="00953AE5">
        <w:rPr>
          <w:rFonts w:ascii="Arial" w:eastAsia="Times New Roman" w:hAnsi="Arial" w:cs="Arial"/>
          <w:sz w:val="20"/>
          <w:szCs w:val="20"/>
          <w:lang w:eastAsia="en-ID"/>
        </w:rPr>
        <w:t xml:space="preserve">%), which are essential components for the production of biodiesel. </w:t>
      </w:r>
    </w:p>
    <w:p w14:paraId="75EA2DEA" w14:textId="6BAFA9C7"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eastAsia="Times New Roman" w:hAnsi="Arial" w:cs="Arial"/>
          <w:sz w:val="20"/>
          <w:szCs w:val="20"/>
          <w:lang w:eastAsia="en-ID"/>
        </w:rPr>
        <w:t xml:space="preserve">Furthermore, the elevated levels of C12:0 in fatty acid methyl esters (FAMEs) of biodiesel may influence the modest density and viscosity kinematic, as well as the high oxidation stability of the resulting biodiesel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{"citationItems":[{"id":"ITEM-1","itemData":{"DOI":"10.1134/S1607672916030145","ISSN":"1608-3091 (Electronic)","PMID":"27417723","abstract":"The lipid fraction of larvae of the black soldier fly Hermetia illucens was shown  to contain lauric acid (38.43 wt %) and its esters, azelaic and sebacic acids, and azelaic acid dibutyl ester. The dominant compound in the group of identified glycerides was lauric acid monoglyceride (0.70 wt %). Glycerides were also represented by triglycerides and diglycerides of lauric acid. Sterols were represented primarily by phytosterols (over 75%), the major of which was alpha-sitosterol (45%). The identified lipid complex composition is apparently determined by the biological characteristics of the fly Hermetia illucens and ensures antibacterial defence of larvae and stability of lipids at changing ambient temperature.","author":[{"dropping-particle":"","family":"Ushakova","given":"N A","non-dropping-particle":"","parse-names":false,"suffix":""},{"dropping-particle":"","family":"Brodskii","given":"E S","non-dropping-particle":"","parse-names":false,"suffix":""},{"dropping-particle":"","family":"Kovalenko","given":"A A","non-dropping-particle":"","parse-names":false,"suffix":""},{"dropping-particle":"","family":"Bastrakov","given":"A I","non-dropping-particle":"","parse-names":false,"suffix":""},{"dropping-particle":"","family":"Kozlova","given":"A A","non-dropping-particle":"","parse-names":false,"suffix":""},{"dropping-particle":"","family":"Pavlov","given":"D S","non-dropping-particle":"","parse-names":false,"suffix":""}],"container-title":"Doklady. Biochemistry and biophysics","id":"ITEM-1","issue":"1","issued":{"date-parts":[["2016","5"]]},"language":"eng","page":"209-212","publisher-place":"United States","title":"Characteristics of lipid fractions of larvae of the black soldier fly Hermetia  illucens.","type":"article-journal","volume":"468"},"uris":["http://www.mendeley.com/documents/?uuid=ee4086c7-de5d-4e02-a190-2ac079c44d18"]}],"mendeley":{"formattedCitation":"[18]","plainTextFormattedCitation":"[18]","previouslyFormattedCitation":"[18]"},"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[18]</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{"citationItems":[{"id":"ITEM-1","itemData":{"DOI":"https://doi.org/10.1016/j.heliyon.2022.e09455","ISSN":"2405-8440","abstract":"There is an increasingly growing demand for the use of natural and sustainable bioactives in the field of the pharmaceutical and cosmetic industries. The biomass from black soldier fly larvae (Hermetia illucens) can be viewed as an innovative source of compounds with high aggregate value and marketing potential due to the sustainable organic matter bioconversion process used as substrate for its development. This insect can be a source of lipid compounds with high added value, mainly due to its high content in fatty acids (FA) with potential applicability in the pharmaceutical and cosmetic industry. In this context, in this work different extraction methods were tested (decoction, microwaves, maceration and ultrasound), using water, acetone, n-hexane as extraction solvents, to evaluate yields of the BSF larvae lipid extracts, as well as their lipid profile, and a preliminary safety screening was conducted. Results show that despite using different extraction techniques and solvents, similar FA composition profiles were obtained. The lauric acid content (C12: 0) is elevated in all the extracts in relation to the other FA, ranging 37%–62%. The contents in palmitic (C16: 0) and oleic (C18: 1n-9) acids, were also high in all applied extraction methods. The omega-6 FA (ω-6 PUFAs), mainly linoleic acid (C18: 2n6c), were also identified in the lipid fraction of BSF larvae biomass, with a content variation between 4.5% and 17.7%, while the omega-3 group, namely α-Linolenic acid (C18: 3n3), presented values between 0.66% and 1.95%. None of the extracts presented toxicity in preliminary tests with the Artemia salina model. Through this study, it was possible to confirm that BSF larvae oil can be obtained by sustainable methods, containing a broad mixture of FA and being highly rich in lauric acid, with a promising skin care applicability.","author":[{"dropping-particle":"","family":"Almeida","given":"Cíntia","non-dropping-particle":"","parse-names":false,"suffix":""},{"dropping-particle":"","family":"Murta","given":"Daniel","non-dropping-particle":"","parse-names":false,"suffix":""},{"dropping-particle":"","family":"Nunes","given":"Rui","non-dropping-particle":"","parse-names":false,"suffix":""},{"dropping-particle":"","family":"Baby","given":"André Rolim","non-dropping-particle":"","parse-names":false,"suffix":""},{"dropping-particle":"","family":"Fernandes","given":"Ângela","non-dropping-particle":"","parse-names":false,"suffix":""},{"dropping-particle":"","family":"Barros","given":"Lillian","non-dropping-particle":"","parse-names":false,"suffix":""},{"dropping-particle":"","family":"Rijo","given":"Patricia","non-dropping-particle":"","parse-names":false,"suffix":""},{"dropping-particle":"","family":"Rosado","given":"Catarina","non-dropping-particle":"","parse-names":false,"suffix":""}],"container-title":"Heliyon","id":"ITEM-1","issue":"5","issued":{"date-parts":[["2022"]]},"page":"e09455","title":"Characterization of lipid extracts from the Hermetia illucens larvae and their bioactivities for potential use as pharmaceutical and cosmetic ingredients","type":"article-journal","volume":"8"},"uris":["http://www.mendeley.com/documents/?uuid=b5bd5dc6-88e2-46e7-95b4-8e831b845586"]}],"mendeley":{"formattedCitation":"[19]","plainTextFormattedCitation":"[19]","previouslyFormattedCitation":"[19]"},"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[19]</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{"citationItems":[{"id":"ITEM-1","itemData":{"DOI":"10.1016/j.wasman.2019.10.014","ISSN":"1879-2456 (Electronic)","PMID":"31655329","abstract":"Black soldier fly larvae (Hermetia illucens; BSFL) can convert organic wastes  into a nutrient-rich biomass suitable in animal feed, which could be a way to achieve more sustainable production of food. However, little is known about how the diet fed to BSFL affects their nutritional value, especially their fatty acid composition. In this study, BSFL were fed 11 diets based on four different organic waste sources (mussels, bread, fish and food waste). Fatty acid and proximate composition (dry matter, crude fat, crude protein and ash) were analysed in the diets, in two-week-old larvae and substrate residues. Larval weight, survival and feed conversion were also recorded. The diet was found to affect all parameters investigated. Irrespective of diet, the larval fat consisted mainly of lauric acid and other saturated fatty acids and these were found to be synthesised by the larvae. However, both the fatty acid composition of the substrate, and the larval weight were found to affect the fatty acid profile of the larvae. In general, larvae with a higher weight contained a higher percentage of saturated fatty acids and a lower percentage of unsaturated fatty acids, such as eicosapentaenoic (EPA) and docosahexaenoic acid (DHA). It was concluded that the possibilities to tailor the fatty acid composition of the BSFL through the diet are limited; thus, the BSFL fat may not be suitable to replace fish oil, but has potential of inclusion in other food, feed and fuel products.","author":[{"dropping-particle":"","family":"Ewald","given":"Nils","non-dropping-particle":"","parse-names":false,"suffix":""},{"dropping-particle":"","family":"Vidakovic","given":"Aleksandar","non-dropping-particle":"","parse-names":false,"suffix":""},{"dropping-particle":"","family":"Langeland","given":"Markus","non-dropping-particle":"","parse-names":false,"suffix":""},{"dropping-particle":"","family":"Kiessling","given":"Anders","non-dropping-particle":"","parse-names":false,"suffix":""},{"dropping-particle":"","family":"Sampels","given":"Sabine","non-dropping-particle":"","parse-names":false,"suffix":""},{"dropping-particle":"","family":"Lalander","given":"Cecilia","non-dropping-particle":"","parse-names":false,"suffix":""}],"container-title":"Waste management (New York, N.Y.)","id":"ITEM-1","issued":{"date-parts":[["2020","2"]]},"language":"eng","page":"40-47","publisher-place":"United States","title":"Fatty acid composition of black soldier fly larvae (Hermetia illucens) -  Possibilities and limitations for modification through diet.","type":"article-journal","volume":"102"},"uris":["http://www.mendeley.com/documents/?uuid=1d187403-baa7-444b-8373-7de7a3a63af4"]}],"mendeley":{"formattedCitation":"[20]","plainTextFormattedCitation":"[20]","previouslyFormattedCitation":"[20]"},"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[20]</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In addition, the fatty acid methyl esters (FAMEs) obtained from the lipid extraction of black soldier fly larvae (BSFL) predominantly consisted of C12:0, with proportions of 76.1%, 58.3%, and 48.1% when fed individually on fruit debris, sewage effluent, and palm decanter, respectively</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{"citationItems":[{"id":"ITEM-1","itemData":{"DOI":"10.1016/j.wasman.2015.03.030","ISSN":"1879-2456 (Electronic)","PMID":"25872864","abstract":"Hermetia illucens larvae by nature are a decomposer which fed on organic wastes.  This study explores the potential of producing biodiesel using lipids from H. illucens larvae. Three types of organic wastes (sewage sludge, fruit waste and palm decanter cake from oil palm mill) were selected based on considerable generation and disposal concern in the area of study as well as lack of investigations as feed for Hermetia illucens larvae in current literatures. Growth rate of the larvae was determined with studying the changes in the biomass per day. H. illucens larvae fed with fruit waste and palm decanter cake have shown growth rates of 0.52±0.02 and 0.23±0.09 g d(-1), respectively. No positive sign of growth were observed in the larvae fed with treated sewage sludge (-0.04±0.01 g d(-1)). Biodiesel as fatty acid methyl ester (FAME) was synthesized by transesterification of the larvae lipid using sulphuric acid as catalyst in methanol. FAME produced was ascertained using ATR-FTIR spectroscopy and GC-MS. The main compositions of fatty acid were found to be C12:0, C16:0 and C18:1n9c. Fatty acid composition of C12:0 fed with fruit waste, sewage sludge and palm decanter was found to be most abundant in the larvae lipid. The amount of C12:0 obtained was 76.13%, 58.31% and 48.06%, respectively. In addition, fatty acid of C16:0 was attained at 16.48% and 25.48% fed with sewage sludge and palm decanter, respectively. Based on the findings, FAME derived from larvae lipids is feasible to be used for biodiesel production.","author":[{"dropping-particle":"","family":"Leong","given":"Siew Yoong","non-dropping-particle":"","parse-names":false,"suffix":""},{"dropping-particle":"","family":"Kutty","given":"Shamsul Rahman Mohamed","non-dropping-particle":"","parse-names":false,"suffix":""},{"dropping-particle":"","family":"Malakahmad","given":"Amirhossein","non-dropping-particle":"","parse-names":false,"suffix":""},{"dropping-particle":"","family":"Tan","given":"Chew Khun","non-dropping-particle":"","parse-names":false,"suffix":""}],"container-title":"Waste management (New York, N.Y.)","id":"ITEM-1","issue":"Pt A","issued":{"date-parts":[["2016","1"]]},"language":"eng","page":"84-90","publisher-place":"United States","title":"Feasibility study of biodiesel production using lipids of Hermetia illucens larva  fed with organic waste.","type":"article-journal","volume":"47"},"uris":["http://www.mendeley.com/documents/?uuid=d258d1a5-a5c1-42a7-98b3-8262972a59f6"]}],"mendeley":{"formattedCitation":"[21]","plainTextFormattedCitation":"[21]","previouslyFormattedCitation":"[21]"},"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[21]</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{"citationItems":[{"id":"ITEM-1","itemData":{"DOI":"10.4186/ej.2021.25.2.223","author":[{"dropping-particle":"","family":"Leong","given":"Siew Yoong","non-dropping-particle":"","parse-names":false,"suffix":""},{"dropping-particle":"","family":"Kutty","given":"S R M","non-dropping-particle":"","parse-names":false,"suffix":""},{"dropping-particle":"","family":"Bashir","given":"Mohammed J K","non-dropping-particle":"","parse-names":false,"suffix":""},{"dropping-particle":"","family":"Li","given":"Qunliang","non-dropping-particle":"","parse-names":false,"suffix":""}],"id":"ITEM-1","issue":"February 2021","issued":{"date-parts":[["0"]]},"page":"223-234","title":"A Circular Economy Framework based on Organic Wastes Upcycling for Biodiesel Production from Hermetia illucens","type":"article-journal"},"uris":["http://www.mendeley.com/documents/?uuid=8e5809f7-19bd-4fdc-bc9a-6aec79641d00"]}],"mendeley":{"formattedCitation":"[22]","plainTextFormattedCitation":"[22]","previouslyFormattedCitation":"[22]"},"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[22]</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w:t>
      </w:r>
    </w:p>
    <w:p w14:paraId="33F053BC" w14:textId="6C6F8DF6"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eastAsia="Times New Roman" w:hAnsi="Arial" w:cs="Arial"/>
          <w:sz w:val="20"/>
          <w:szCs w:val="20"/>
          <w:lang w:eastAsia="en-ID"/>
        </w:rPr>
        <w:t xml:space="preserve">Diverse insect species, such as flesh flies, </w:t>
      </w:r>
      <w:proofErr w:type="spellStart"/>
      <w:r w:rsidRPr="00953AE5">
        <w:rPr>
          <w:rFonts w:ascii="Arial" w:eastAsia="Times New Roman" w:hAnsi="Arial" w:cs="Arial"/>
          <w:sz w:val="20"/>
          <w:szCs w:val="20"/>
          <w:lang w:eastAsia="en-ID"/>
        </w:rPr>
        <w:t>superworms</w:t>
      </w:r>
      <w:proofErr w:type="spellEnd"/>
      <w:r w:rsidRPr="00953AE5">
        <w:rPr>
          <w:rFonts w:ascii="Arial" w:eastAsia="Times New Roman" w:hAnsi="Arial" w:cs="Arial"/>
          <w:sz w:val="20"/>
          <w:szCs w:val="20"/>
          <w:lang w:eastAsia="en-ID"/>
        </w:rPr>
        <w:t xml:space="preserve">, mealworm beetles, houseflies, blowflies, and black soldier flies, have been utilized in biodiesel production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{"citationItems":[{"id":"ITEM-1","itemData":{"DOI":"10.4186/ej.2021.25.2.223","author":[{"dropping-particle":"","family":"Leong","given":"Siew Yoong","non-dropping-particle":"","parse-names":false,"suffix":""},{"dropping-particle":"","family":"Kutty","given":"S R M","non-dropping-particle":"","parse-names":false,"suffix":""},{"dropping-particle":"","family":"Bashir","given":"Mohammed J K","non-dropping-particle":"","parse-names":false,"suffix":""},{"dropping-particle":"","family":"Li","given":"Qunliang","non-dropping-particle":"","parse-names":false,"suffix":""}],"id":"ITEM-1","issue":"February 2021","issued":{"date-parts":[["0"]]},"page":"223-234","title":"A Circular Economy Framework based on Organic Wastes Upcycling for Biodiesel Production from Hermetia illucens","type":"article-journal"},"uris":["http://www.mendeley.com/documents/?uuid=8e5809f7-19bd-4fdc-bc9a-6aec79641d00"]}],"mendeley":{"formattedCitation":"[22]","plainTextFormattedCitation":"[22]","previouslyFormattedCitation":"[22]"},"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[22]</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{"citationItems":[{"id":"ITEM-1","itemData":{"DOI":"https://doi.org/10.1016/j.energy.2021.121700","ISSN":"0360-5442","abstract":"This study offers a promising energy conversion platform to valorize food waste into biodiesel. In an effort to realize this grand challenge, black soldier fly larvae (BSFL), fast food waste consumer, were directly converted into biodiesel through non-catalytic transesterification. Black soldier fly (BSF: Hermetia illucens) is a widely distributed insect, which turns nutrients in food waste into its fat body (lipid) through the simple metabolic mechanisms in the larval stage. Thus, lipid in BSFL grown on food waste was obtained by liquid/liquid extraction, and the extract was converted into biodiesel (93.8 wt% yield) at 65 °C for 8 h by base-catalyzed transesterification. However, non-catalytic transesterification of the extract of BSFL showed 94.1 wt% of biodiesel yield after 1 min of reaction at 390 °C in the presence of a porous material (SiO2). This non-catalytic reaction was also employed for direct conversion of dried BSFL into biodiesel without lipid extraction. In the later part of this study, fuel properties of the BSFL derived biodiesel were measured to evaluate its fuel feasibility. Physical and chemical properties of the biodiesel measured in this study met the Korea and EU biodiesel fuel standards.","author":[{"dropping-particle":"","family":"Jung","given":"Sungyup","non-dropping-particle":"","parse-names":false,"suffix":""},{"dropping-particle":"","family":"Jung","given":"Jong-Min","non-dropping-particle":"","parse-names":false,"suffix":""},{"dropping-particle":"","family":"Tsang","given":"Yiu Fai","non-dropping-particle":"","parse-names":false,"suffix":""},{"dropping-particle":"","family":"Bhatnagar","given":"Amit","non-dropping-particle":"","parse-names":false,"suffix":""},{"dropping-particle":"","family":"Chen","given":"Wei-Hsin","non-dropping-particle":"","parse-names":false,"suffix":""},{"dropping-particle":"","family":"Lin","given":"Kun-Yi Andrew","non-dropping-particle":"","parse-names":false,"suffix":""},{"dropping-particle":"","family":"Kwon","given":"Eilhann E","non-dropping-particle":"","parse-names":false,"suffix":""}],"container-title":"Energy","id":"ITEM-1","issued":{"date-parts":[["2022"]]},"page":"121700","title":"Biodiesel production from black soldier fly larvae derived from food waste by non-catalytic transesterification","type":"article-journal","volume":"238"},"uris":["http://www.mendeley.com/documents/?uuid=d1e680c3-582a-4d70-ab12-c59f9b57167a"]}],"mendeley":{"formattedCitation":"[23]","plainTextFormattedCitation":"[23]","previouslyFormattedCitation":"[23]"},"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[23]</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Black soldier fly larvae are recognized for being able to decompose a range of biological waste products, such as leftovers from meals, industrial by-products, cow dung, and human excrement, while generating high-fat content biomass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10.1016/j.renene.2017.04.063","ISSN":"0960-1481","author":[{"dropping-particle":"","family":"Wang","given":"Cunwen","non-dropping-particle":"","parse-names":false,"suffix":""},{"dropping-particle":"","family":"Qian","given":"Liang","non-dropping-particle":"","parse-names":false,"suffix":""},{"dropping-particle":"","family":"Wang","given":"Weiguo","non-dropping-particle":"","parse-names":false,"suffix":""},{"dropping-particle":"","family":"Wang","given":"Teilin","non-dropping-particle":"","parse-names":false,"suffix":""},{"dropping-particle":"","family":"Deng","given":"Zikui","non-dropping-particle":"","parse-names":false,"suffix":""},{"dropping-particle":"","family":"Yang","given":"Fang","non-dropping-particle":"","parse-names":false,"suffix":""},{"dropping-particle":"","family":"Xiong","given":"Jing","non-dropping-particle":"","parse-names":false,"suffix":""},{"dropping-particle":"","family":"Feng","given":"Weiliang","non-dropping-particle":"","parse-names":false,"suffix":""}],"container-title":"Renewable Energy","id":"ITEM-1","issued":{"date-parts":[["2017"]]},"page":"749-756","publisher":"Elsevier Ltd","title":"Exploring the potential of lipids from black soldier fl y : New paradigm for biodiesel production ( I )","type":"article-journal","volume":"111"},"uris":["http://www.mendeley.com/documents/?uuid=cbd3973a-b99b-4baf-9965-c8c0a9259a88"]}],"mendeley":{"formattedCitation":"[24]","plainTextFormattedCitation":"[24]","previouslyFormattedCitation":"[24]"},"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[24]</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Previous studies revealed that 11–42% of lipids were detected in BSFL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Wong","given":"Chung-yiin","non-dropping-particle":"","parse-names":false,"suffix":""},{"dropping-particle":"","family":"Rosli","given":"Siti-suhailah","non-dropping-particle":"","parse-names":false,"suffix":""},{"dropping-particle":"","family":"Uemura","given":"Yoshimitsu","non-dropping-particle":"","parse-names":false,"suffix":""},{"dropping-particle":"","family":"Ho","given":"Yeek Chia","non-dropping-particle":"","parse-names":false,"suffix":""}],"id":"ITEM-1","issued":{"date-parts":[["2019"]]},"title":"Potential Protein and Biodiesel Sources from Black Soldier Fly Larvae : Insights of Larval Harvesting Instar and Fermented Feeding Medium","type":"article-journal"},"uris":["http://www.mendeley.com/documents/?uuid=f2b46a68-466c-4883-8511-43c597c77a74"]}],"mendeley":{"formattedCitation":"[15]","plainTextFormattedCitation":"[15]","previouslyFormattedCitation":"[15]"},"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[15]</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{"citationItems":[{"id":"ITEM-1","itemData":{"DOI":"10.1016/j.btre.2015.10.008","ISSN":"2215-017X (Print)","PMID":"28352580","abstract":"Sewage sludge was evaluated as high available and low cost microbial oils  feedstock for biodiesel production. Samples from four different wastewater treatment plants from La Araucanía Region in Southern Chile presented total lipids content ranging between 7.7 and 12.6%, being Vilcún sewage sludge that with the highest transesterifiable lipids content of about 50% of the total extracted lipids. The most relevant identified bacteria present in sludge samples were Acinetobacter, Pseudomonas and Bacillus, being Bacillus sp. V10 the strain with the highest transesterfiable lipids content of 7.4%. Bacillus sp. V10 was cultured using urban wastewater supplemented with glucose to achieve nitrogen depleted medium and using milk processing wastewater as a low-cost carbon source. Bacillus sp. V10 lipid profile indicates that low degree unsaturated long chain fatty acids such as C18:1 may account for approximately 50% of the lipids content, indicating its suitability to be used as raw material for biodiesel production.","author":[{"dropping-particle":"","family":"Cea","given":"Mara","non-dropping-particle":"","parse-names":false,"suffix":""},{"dropping-particle":"","family":"Sangaletti-Gerhard","given":"Naiane","non-dropping-particle":"","parse-names":false,"suffix":""},{"dropping-particle":"","family":"Acuña","given":"Pedro","non-dropping-particle":"","parse-names":false,"suffix":""},{"dropping-particle":"","family":"Fuentes","given":"Idi","non-dropping-particle":"","parse-names":false,"suffix":""},{"dropping-particle":"","family":"Jorquera","given":"Milko","non-dropping-particle":"","parse-names":false,"suffix":""},{"dropping-particle":"","family":"Godoy","given":"Karina","non-dropping-particle":"","parse-names":false,"suffix":""},{"dropping-particle":"","family":"Osses","given":"Francisco","non-dropping-particle":"","parse-names":false,"suffix":""},{"dropping-particle":"","family":"Navia","given":"Rodrigo","non-dropping-particle":"","parse-names":false,"suffix":""}],"container-title":"Biotechnology reports (Amsterdam, Netherlands)","id":"ITEM-1","issued":{"date-parts":[["2015","12"]]},"language":"eng","page":"116-123","publisher-place":"Netherlands","title":"Screening transesterifiable lipid accumulating bacteria from sewage sludge for  biodiesel production.","type":"article-journal","volume":"8"},"uris":["http://www.mendeley.com/documents/?uuid=d36bb056-5c91-45ae-a135-b5062512c9f2"]}],"mendeley":{"formattedCitation":"[25]","plainTextFormattedCitation":"[25]","previouslyFormattedCitation":"[25]"},"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[25]</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The development of biodiesel from different kinds of insects has been studied previously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{"citationItems":[{"id":"ITEM-1","itemData":{"DOI":"10.1016/j.wasman.2015.03.030","ISSN":"1879-2456 (Electronic)","PMID":"25872864","abstract":"Hermetia illucens larvae by nature are a decomposer which fed on organic wastes.  This study explores the potential of producing biodiesel using lipids from H. illucens larvae. Three types of organic wastes (sewage sludge, fruit waste and palm decanter cake from oil palm mill) were selected based on considerable generation and disposal concern in the area of study as well as lack of investigations as feed for Hermetia illucens larvae in current literatures. Growth rate of the larvae was determined with studying the changes in the biomass per day. H. illucens larvae fed with fruit waste and palm decanter cake have shown growth rates of 0.52±0.02 and 0.23±0.09 g d(-1), respectively. No positive sign of growth were observed in the larvae fed with treated sewage sludge (-0.04±0.01 g d(-1)). Biodiesel as fatty acid methyl ester (FAME) was synthesized by transesterification of the larvae lipid using sulphuric acid as catalyst in methanol. FAME produced was ascertained using ATR-FTIR spectroscopy and GC-MS. The main compositions of fatty acid were found to be C12:0, C16:0 and C18:1n9c. Fatty acid composition of C12:0 fed with fruit waste, sewage sludge and palm decanter was found to be most abundant in the larvae lipid. The amount of C12:0 obtained was 76.13%, 58.31% and 48.06%, respectively. In addition, fatty acid of C16:0 was attained at 16.48% and 25.48% fed with sewage sludge and palm decanter, respectively. Based on the findings, FAME derived from larvae lipids is feasible to be used for biodiesel production.","author":[{"dropping-particle":"","family":"Leong","given":"Siew Yoong","non-dropping-particle":"","parse-names":false,"suffix":""},{"dropping-particle":"","family":"Kutty","given":"Shamsul Rahman Mohamed","non-dropping-particle":"","parse-names":false,"suffix":""},{"dropping-particle":"","family":"Malakahmad","given":"Amirhossein","non-dropping-particle":"","parse-names":false,"suffix":""},{"dropping-particle":"","family":"Tan","given":"Chew Khun","non-dropping-particle":"","parse-names":false,"suffix":""}],"container-title":"Waste management (New York, N.Y.)","id":"ITEM-1","issue":"Pt A","issued":{"date-parts":[["2016","1"]]},"language":"eng","page":"84-90","publisher-place":"United States","title":"Feasibility study of biodiesel production using lipids of Hermetia illucens larva  fed with organic waste.","type":"article-journal","volume":"47"},"uris":["http://www.mendeley.com/documents/?uuid=d258d1a5-a5c1-42a7-98b3-8262972a59f6"]}],"mendeley":{"formattedCitation":"[21]","plainTextFormattedCitation":"[21]","previouslyFormattedCitation":"[21]"},"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[21]</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{"citationItems":[{"id":"ITEM-1","itemData":{"DOI":"10.3390/su142113993","ISSN":"20711050","abstract":"In this research, an emerging study of the utilization of black soldier fly (BSF, Hermetia illucens) larvae for the preparation of biodiesel (and organic waste treatment) and the generation of alternative feed for improved food production was mapped bibliometrically from the Scopus database. BSF is a promising biological agent for tackling the waste-food-energy (WFE) nexus, which is a problematic vicious cycle that may threaten Earth’s sustainability, hence its emergence. With its short life cycle, ability to consume organic waste equal to its own weight on a daily basis, and ability for conversion to larvae with a high protein and lipid content, BSF larvae is the perfect choice as a one-step solution of the WFE nexus. To further perfect the research of BSF for the WFE nexus, this bibliometric analysis, and the citation evolution profile, were carried out with the objectives of characterizing the progress of publications in the last 10 years (2011–2022) in order to determine future research directions in this field, identify the top publications for wider reach to the public, and identify productive authors and leading countries to visualize opportunities for future collaborations.","author":[{"dropping-particle":"","family":"Mangindaan","given":"Dave","non-dropping-particle":"","parse-names":false,"suffix":""},{"dropping-particle":"","family":"Kaburuan","given":"Emil Robert","non-dropping-particle":"","parse-names":false,"suffix":""},{"dropping-particle":"","family":"Meindrawan","given":"Bayu","non-dropping-particle":"","parse-names":false,"suffix":""}],"container-title":"Sustainability (Switzerland)","id":"ITEM-1","issue":"21","issued":{"date-parts":[["2022"]]},"title":"Black Soldier Fly Larvae (Hermetia illucens) for Biodiesel and/or Animal Feed as a Solution for Waste-Food-Energy Nexus: Bibliometric Analysis","type":"article-journal","volume":"14"},"uris":["http://www.mendeley.com/documents/?uuid=84e8e1af-20b2-43ae-b2de-73a5d2b8e80e"]}],"mendeley":{"formattedCitation":"[26]","plainTextFormattedCitation":"[26]","previouslyFormattedCitation":"[26]"},"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[26]</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{"citationItems":[{"id":"ITEM-1","itemData":{"DOI":"https://doi.org/10.1016/j.renene.2017.11.076","ISSN":"0960-1481","abstract":"This study investigated microwave extraction approach to extract lipids from the black soldier ﬂy larval containing high lipids for biodiesel production. The comparison of the effects of different factors (solvent types, extraction temperature, and solute-solvent ratio) on the kinetics and thermodynamic of lipids extraction from the energy insect was investigated in detail. A mathematical model of lipids extraction from the pretreatment insect powder was proposed. The solid-solvent ratio and temperature can have a pronounced effect on lipids extraction rate k. The final yield of lipids increased by a factor of about 1.0–1.04 for extraction temperature elevated by 10 °C. The diffusion of lipids in the solvent constituted the limitation step in the process of extraction. The magnitudes of the diffusion coefficients range from 6.7 × 10−12–16.1 × 10−12 m2/s for three solvents used. The values of the activation energy Ea were 84.26 kJ mol−1 during the diffusion stage (30 °C–60 °C). At last, the three thermodynamic parameters results (ΔH, ΔS, ΔG) were also obtained from the extraction process.","author":[{"dropping-particle":"","family":"Feng","given":"Weiliang","non-dropping-particle":"","parse-names":false,"suffix":""},{"dropping-particle":"","family":"Qian","given":"Liang","non-dropping-particle":"","parse-names":false,"suffix":""},{"dropping-particle":"","family":"Wang","given":"Weiguo","non-dropping-particle":"","parse-names":false,"suffix":""},{"dropping-particle":"","family":"Wang","given":"Teilin","non-dropping-particle":"","parse-names":false,"suffix":""},{"dropping-particle":"","family":"Deng","given":"Zikui","non-dropping-particle":"","parse-names":false,"suffix":""},{"dropping-particle":"","family":"Yang","given":"Fang","non-dropping-particle":"","parse-names":false,"suffix":""},{"dropping-particle":"","family":"Xiong","given":"Jing","non-dropping-particle":"","parse-names":false,"suffix":""},{"dropping-particle":"","family":"Wang","given":"Cunwen","non-dropping-particle":"","parse-names":false,"suffix":""}],"container-title":"Renewable Energy","id":"ITEM-1","issued":{"date-parts":[["2018"]]},"page":"12-18","title":"Exploring the potential of lipids from black soldier ﬂy: New paradigm for biodiesel production (II)—Extraction kinetics and thermodynamic","type":"article-journal","volume":"119"},"uris":["http://www.mendeley.com/documents/?uuid=bf51112c-06db-4b21-9f98-ea6c5e74f021"]}],"mendeley":{"formattedCitation":"[27]","plainTextFormattedCitation":"[27]","previouslyFormattedCitation":"[27]"},"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[27]</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This situation emphasizes the need for effective strategic planning as a first step in making the right decisions. A relevant tool for strategizing solutions to the challenges of renewable energy based on BSF Maggot is SWOT analysis. SWOT analysis can evaluate biodiesel development that requires an internal examination of the microenvironment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10.1016/j.xinn.2023.100423","ISSN":"2666-6758","author":[{"dropping-particle":"","family":"Wang","given":"Jiaoyue","non-dropping-particle":"","parse-names":false,"suffix":""},{"dropping-particle":"","family":"Fu","given":"Jingying","non-dropping-particle":"","parse-names":false,"suffix":""},{"dropping-particle":"","family":"Zhao","given":"Zhitong","non-dropping-particle":"","parse-names":false,"suffix":""},{"dropping-particle":"","family":"Bing","given":"Longfei","non-dropping-particle":"","parse-names":false,"suffix":""},{"dropping-particle":"","family":"Xi","given":"Fengming","non-dropping-particle":"","parse-names":false,"suffix":""},{"dropping-particle":"","family":"Wang","given":"Feng","non-dropping-particle":"","parse-names":false,"suffix":""},{"dropping-particle":"","family":"Dong","given":"Jiang","non-dropping-particle":"","parse-names":false,"suffix":""},{"dropping-particle":"","family":"Wang","given":"Shiyun","non-dropping-particle":"","parse-names":false,"suffix":""},{"dropping-particle":"","family":"Lin","given":"Gang","non-dropping-particle":"","parse-names":false,"suffix":""},{"dropping-particle":"","family":"Wang","given":"Jiaoyue","non-dropping-particle":"","parse-names":false,"suffix":""},{"dropping-particle":"","family":"Fu","given":"Jingying","non-dropping-particle":"","parse-names":false,"suffix":""},{"dropping-particle":"","family":"Zhao","given":"Zhitong","non-dropping-particle":"","parse-names":false,"suffix":""},{"dropping-particle":"","family":"Bing","given":"Longfei","non-dropping-particle":"","parse-names":false,"suffix":""},{"dropping-particle":"","family":"Xi","given":"Fengming","non-dropping-particle":"","parse-names":false,"suffix":""},{"dropping-particle":"","family":"Wang","given":"Feng","non-dropping-particle":"","parse-names":false,"suffix":""},{"dropping-particle":"","family":"Dong","given":"Jiang","non-dropping-particle":"","parse-names":false,"suffix":""},{"dropping-particle":"","family":"Wang","given":"Shiyun","non-dropping-particle":"","parse-names":false,"suffix":""},{"dropping-particle":"","family":"Lin","given":"Gang","non-dropping-particle":"","parse-names":false,"suffix":""}],"container-title":"The Innovation","id":"ITEM-1","issue":"3","issued":{"date-parts":[["2023"]]},"page":"100423","publisher":"Elsevier Inc.","title":"Benefit analysis of multi-approach biomass energy utilization toward carbon neutrality Bene fi t analysis of multi-approach biomass energy utilization toward carbon neutrality","type":"article-journal","volume":"4"},"uris":["http://www.mendeley.com/documents/?uuid=6e532bd3-62cd-4c64-9b1c-51a7d930d0aa"]}],"mendeley":{"formattedCitation":"[28]","plainTextFormattedCitation":"[28]","previouslyFormattedCitation":"[28]"},"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[28]</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Rimantho","given":"Dino","non-dropping-particle":"","parse-names":false,"suffix":""},{"dropping-particle":"","family":"Ariyanti","given":"Dita","non-dropping-particle":"","parse-names":false,"suffix":""},{"dropping-particle":"","family":"Maryana","given":"Roni","non-dropping-particle":"","parse-names":false,"suffix":""}],"id":"ITEM-1","issue":"2","issued":{"date-parts":[["2024"]]},"page":"294-312","title":"Decision Making : Applications in Management and Engineering Environmentally Friendly Strategies for Recycling Agricultural Waste to Produce Renewable Energy : A Case Study of Durian Fruit","type":"article-journal","volume":"7"},"uris":["http://www.mendeley.com/documents/?uuid=753c701f-b258-4628-97ac-cff769b2e615"]}],"mendeley":{"formattedCitation":"[29]","plainTextFormattedCitation":"[29]","previouslyFormattedCitation":"[29]"},"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[29]</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This analysis focuses on the relevant strengths, weaknesses, opportunities, and threats (SWOT) commonly used by various entities in strategic planning. SWOT analysis provides insight into the strengths and weaknesses of the existing energy system. This analysis provides a comprehensive insight into potential opportunities and obstacles that can be exploited to hinder achieving a goal. SWOT analysis provides actionable answers that can be promoted in the plan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{"citationItems":[{"id":"ITEM-1","itemData":{"author":[{"dropping-particle":"","family":"Zhen Hua; Man Lu","given":"","non-dropping-particle":"","parse-names":false,"suffix":""}],"container-title":"Advances in Economics, Business and Management Research, volume 71 4th International Conference on Economics, Management, Law and Education (EMLE 2018) A","id":"ITEM-1","issue":"Emle","issued":{"date-parts":[["2018"]]},"page":"329-332","title":"A SWOT Analysis of Development of Biomass Energy in Heilongjiang Province in China *","type":"paper-conference","volume":"71"},"uris":["http://www.mendeley.com/documents/?uuid=1b0e3723-81cf-4e32-a2fa-2d50d87201ce"]}],"mendeley":{"formattedCitation":"[30]","plainTextFormattedCitation":"[30]","previouslyFormattedCitation":"[30]"},"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[30]</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10.1080/21655979.2023.2286722","ISSN":"2165-5979","author":[{"dropping-particle":"","family":"Mukamwi","given":"Morgen","non-dropping-particle":"","parse-names":false,"suffix":""},{"dropping-particle":"","family":"Somorin","given":"Tosin","non-dropping-particle":"","parse-names":false,"suffix":""},{"dropping-particle":"","family":"Soloha","given":"Raimonda","non-dropping-particle":"","parse-names":false,"suffix":""},{"dropping-particle":"","family":"Dace","given":"Elina","non-dropping-particle":"","parse-names":false,"suffix":""},{"dropping-particle":"","family":"Mukamwi","given":"Morgen","non-dropping-particle":"","parse-names":false,"suffix":""}],"container-title":"Bioengineered","id":"ITEM-1","issue":"1","issued":{"date-parts":[["2023"]]},"publisher":"Taylor &amp; Francis","title":"Databases for biomass and waste biorefinery – a mini-review and SWOT analysis Databases for biomass and waste biorefinery – a mini-review and SWOT analysis","type":"article-journal","volume":"14"},"uris":["http://www.mendeley.com/documents/?uuid=3ac55f1d-54b3-49d7-9f24-1e5819f3d61e"]}],"mendeley":{"formattedCitation":"[31]","plainTextFormattedCitation":"[31]","previouslyFormattedCitation":"[31]"},"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[31]</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w:t>
      </w:r>
    </w:p>
    <w:p w14:paraId="25C9122A" w14:textId="5A055130" w:rsidR="00646F30" w:rsidRPr="00953AE5" w:rsidRDefault="00646F30" w:rsidP="00953AE5">
      <w:pPr>
        <w:spacing w:after="0" w:line="240" w:lineRule="auto"/>
        <w:ind w:left="0" w:hanging="2"/>
        <w:jc w:val="both"/>
        <w:rPr>
          <w:rFonts w:ascii="Arial" w:eastAsia="Times New Roman" w:hAnsi="Arial" w:cs="Arial"/>
          <w:sz w:val="20"/>
          <w:szCs w:val="20"/>
          <w:lang w:eastAsia="en-ID"/>
        </w:rPr>
      </w:pPr>
      <w:r w:rsidRPr="00953AE5">
        <w:rPr>
          <w:rFonts w:ascii="Arial" w:eastAsia="Times New Roman" w:hAnsi="Arial" w:cs="Arial"/>
          <w:sz w:val="20"/>
          <w:szCs w:val="20"/>
          <w:lang w:eastAsia="en-ID"/>
        </w:rPr>
        <w:t xml:space="preserve">Formulating strategies to utilize renewable energy sources is crucial for environmental sustainability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{"citationItems":[{"id":"ITEM-1","itemData":{"DOI":"10.55670/fpll.fuen.1.1.8","author":[{"dropping-particle":"","family":"Hosseini","given":"Seyed Ehsan","non-dropping-particle":"","parse-names":false,"suffix":""}],"id":"ITEM-1","issue":"May","issued":{"date-parts":[["2022"]]},"page":"1-5","title":"Transition away from fossil fuels toward renewables : lessons from Russia-Ukraine crisis","type":"article-journal"},"uris":["http://www.mendeley.com/documents/?uuid=d8cfc3f2-9508-4f19-bdbf-5a977b0ffefe"]}],"mendeley":{"formattedCitation":"[32]","plainTextFormattedCitation":"[32]","previouslyFormattedCitation":"[32]"},"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[32]</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10.55670/fpll.fuen.2.2.1","author":[{"dropping-particle":"","family":"Razeghi","given":"Marziyeh","non-dropping-particle":"","parse-names":false,"suffix":""},{"dropping-particle":"","family":"Hajinezhad","given":"Ahmad","non-dropping-particle":"","parse-names":false,"suffix":""},{"dropping-particle":"","family":"Naseri","given":"Amir","non-dropping-particle":"","parse-names":false,"suffix":""},{"dropping-particle":"","family":"Noorollahi","given":"Younes","non-dropping-particle":"","parse-names":false,"suffix":""},{"dropping-particle":"","family":"Farhan","given":"Seyed","non-dropping-particle":"","parse-names":false,"suffix":""}],"id":"ITEM-1","issued":{"date-parts":[["2023"]]},"page":"1-11","title":"An overview of renewable energy technologies for the simultaneous production of high-performance power and heat","type":"article-journal"},"uris":["http://www.mendeley.com/documents/?uuid=e0dfb89c-fcea-4d9a-80fc-113e6ef1c8ea"]}],"mendeley":{"formattedCitation":"[33]","plainTextFormattedCitation":"[33]","previouslyFormattedCitation":"[33]"},"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[33]</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To tackle the challenges associated with the energy-economy-environment nexus and fulfill Sustainable Development Goals, various nations </w:t>
      </w:r>
      <w:r w:rsidRPr="00953AE5">
        <w:rPr>
          <w:rFonts w:ascii="Arial" w:eastAsia="Times New Roman" w:hAnsi="Arial" w:cs="Arial"/>
          <w:sz w:val="20"/>
          <w:szCs w:val="20"/>
          <w:lang w:eastAsia="en-ID"/>
        </w:rPr>
        <w:lastRenderedPageBreak/>
        <w:t xml:space="preserve">and institutions have implemented strategic plans to diversify their energy mix and integrate renewable energy sources with other energy types. Most countries globally are actively advancing renewable energy initiatives, supportive policies, and established targets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{"citationItems":[{"id":"ITEM-1","itemData":{"author":[{"dropping-particle":"","family":"IEA","given":"","non-dropping-particle":"","parse-names":false,"suffix":""}],"id":"ITEM-1","issued":{"date-parts":[["2019"]]},"title":"Global Energy Review 2019","type":"report"},"uris":["http://www.mendeley.com/documents/?uuid=a37e3800-3dd8-4b89-ad49-ecbbfe0a4b54"]}],"mendeley":{"formattedCitation":"[34]","plainTextFormattedCitation":"[34]","previouslyFormattedCitation":"[34]"},"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[34]</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Decision-makers face challenges in selecting a specific renewable energy source due to the need to evaluate the advantages and disadvantages of each option. Consequently, choosing renewable energy sources is a nation’s strategic and critical decision-making process, influenced by multiple factors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10.1080/23311916.2023.2204553","author":[{"dropping-particle":"","family":"Akpahou","given":"Romain","non-dropping-particle":"","parse-names":false,"suffix":""},{"dropping-particle":"","family":"Odoi-yorke","given":"Flavio","non-dropping-particle":"","parse-names":false,"suffix":""}],"container-title":"Cogent Engineering","id":"ITEM-1","issue":"1","issued":{"date-parts":[["2023"]]},"publisher":"Cogent","title":"A multicriteria decision-making approach for prioritizing renewable energy resources for sustainable electricity generation in Benin A multicriteria decision-making approach for prioritizing renewable energy resources for sustainable electricity generation in Benin","type":"article-journal","volume":"10"},"uris":["http://www.mendeley.com/documents/?uuid=64f82848-8d30-4282-ac89-5913befb57d1"]}],"mendeley":{"formattedCitation":"[35]","plainTextFormattedCitation":"[35]","previouslyFormattedCitation":"[35]"},"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00253AC2" w:rsidRPr="00953AE5">
        <w:rPr>
          <w:rFonts w:ascii="Arial" w:eastAsia="Times New Roman" w:hAnsi="Arial" w:cs="Arial"/>
          <w:noProof/>
          <w:sz w:val="20"/>
          <w:szCs w:val="20"/>
          <w:lang w:eastAsia="en-ID"/>
        </w:rPr>
        <w:t>[35]</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{"citationItems":[{"id":"ITEM-1","itemData":{"DOI":"https://doi.org/10.1016/j.susoc.2020.12.002","ISSN":"2666-4127","abstract":"To increase efficiency of energy sector, the implementation of renewable energy systems and finding most appropriate renewable energy resource is of high significance for governments. One of the fundamental decision-making problems in energy sector is to design decision making tools to find optimal energy resources. Usually, experts in the energy decision-making sector have a platform containing multiple criteria indicators that are expressed as conflicting objectives. In this paper, we proposed a Multiple Criteria Decision-Making (MCDM) model to handle conflicting objectives while evaluating five renewable resources: solar PV, Solar thermal, wind power, geothermal, and biomass with respect to economic, technical, social, and environmental aspects. Shannon Entropy method is used to determine the importance of criteria. Evaluation based on distance from average solution (EDAS) is used to prioritize the renewable energy technologies. To demonstrate the feasibility of the proposed decision-making model, a real-life case study for Saudi Arabia is investigated. Under defined socio-economic and environment criteria, results indicate that wind energy can be opted the as most suitable source fitted to the objectives and policies of the decision makers. In order to verify the results and to show the impact of parameter changes on final solutions, different sensitivity analysis tests are performed.","author":[{"dropping-particle":"","family":"Yazdani","given":"Morteza","non-dropping-particle":"","parse-names":false,"suffix":""},{"dropping-particle":"","family":"Torkayesh","given":"Ali Ebadi","non-dropping-particle":"","parse-names":false,"suffix":""},{"dropping-particle":"","family":"Santibanez-Gonzalez","given":"Ernesto D R","non-dropping-particle":"","parse-names":false,"suffix":""},{"dropping-particle":"","family":"Otaghsara","given":"Sina Khanmohammadi","non-dropping-particle":"","parse-names":false,"suffix":""}],"container-title":"Sustainable Operations and Computers","id":"ITEM-1","issued":{"date-parts":[["2020"]]},"page":"35-42","title":"Evaluation of renewable energy resources using integrated Shannon Entropy—EDAS model","type":"article-journal","volume":"1"},"uris":["http://www.mendeley.com/documents/?uuid=6e7af91b-16e1-451d-86d6-b673373a35b6"]}],"mendeley":{"formattedCitation":"[36]","plainTextFormattedCitation":"[36]","previouslyFormattedCitation":"[36]"},"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[36]</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xml:space="preserve">. Decision-makers should evaluate qualitative and quantitative factors alongside environmental considerations to ensure renewable energy sources’ safe, sustainable, and efficient use </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{"citationItems":[{"id":"ITEM-1","itemData":{"DOI":"https://doi.org/10.1016/j.energy.2017.01.137","ISSN":"0360-5442","abstract":"The use of Renewable Energy Resources (RER) is growing rapidly for energy generation and several studies indicate that these will have a huge contribution in the future. Selecting RER is a complex problem involving different criteria and alternatives. The first aim of the study is the development of an evaluation model to select the most appropriate RER in Turkey. Evaluation of RER alternatives can be seen as a multi criteria decision making (MCDM) problem that can be solved with flexible tools to handle complex situations and assist decision makers (DMs) in mapping out the situation. In this process, Group Decision Making (GDM) involves multiple DMs who have different goals or ways of thinking and can assess the decision process distinctively different from others. Linguistic interval fuzzy preferences with DEMATEL, ANP, TOPSIS integrated techniques are utilized to eliminate uncertainty and to better represent DMs' preferences. The originality of the paper comes from its ability to propose effective and comprehensive evaluation model for both Turkey and literature and apply to a real industrial problem to improve the RER selection process. Another contribution is to adapt integrated techniques including linguistic interval fuzzy preferences with DEMATEL, ANP, TOPSIS for the first time.","author":[{"dropping-particle":"","family":"Büyüközkan","given":"Gülçin","non-dropping-particle":"","parse-names":false,"suffix":""},{"dropping-particle":"","family":"Güleryüz","given":"Sezin","non-dropping-particle":"","parse-names":false,"suffix":""}],"container-title":"Energy","id":"ITEM-1","issued":{"date-parts":[["2017"]]},"page":"149-163","title":"Evaluation of Renewable Energy Resources in Turkey using an integrated MCDM approach with linguistic interval fuzzy preference relations","type":"article-journal","volume":"123"},"uris":["http://www.mendeley.com/documents/?uuid=9792e69f-f257-4a31-8dab-c49adc1d4fce"]}],"mendeley":{"formattedCitation":"[37]","plainTextFormattedCitation":"[37]","previouslyFormattedCitation":"[37]"},"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[37]</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 Various multi-criteria decision-making (MCDM) methods have been established to address complex decisions when selecting the most appropriate renewable energy sources (RES) for a specific country. MCDM methods are models grounded in operations research that tackle decision-making issues involving multiple competing objectives. Conflicting criteria, incommensurable units, and challenges in the design and selection of alternatives are significant aspects of these methods, which accommodate both quantitative and qualitative criteria</w:t>
      </w:r>
      <w:r w:rsidRPr="00953AE5">
        <w:rPr>
          <w:rFonts w:ascii="Arial" w:eastAsia="Times New Roman" w:hAnsi="Arial" w:cs="Arial"/>
          <w:sz w:val="20"/>
          <w:szCs w:val="20"/>
          <w:lang w:eastAsia="en-ID"/>
        </w:rPr>
        <w:fldChar w:fldCharType="begin" w:fldLock="1"/>
      </w:r>
      <w:r w:rsidR="00253AC2" w:rsidRPr="00953AE5">
        <w:rPr>
          <w:rFonts w:ascii="Arial" w:eastAsia="Times New Roman" w:hAnsi="Arial" w:cs="Arial"/>
          <w:sz w:val="20"/>
          <w:szCs w:val="20"/>
          <w:lang w:eastAsia="en-ID"/>
        </w:rPr>
        <w:instrText>ADDIN CSL_CITATION {"citationItems":[{"id":"ITEM-1","itemData":{"DOI":"10.1080/23311916.2023.2204553","author":[{"dropping-particle":"","family":"Akpahou","given":"Romain","non-dropping-particle":"","parse-names":false,"suffix":""},{"dropping-particle":"","family":"Odoi-yorke","given":"Flavio","non-dropping-particle":"","parse-names":false,"suffix":""}],"container-title":"Cogent Engineering","id":"ITEM-1","issue":"1","issued":{"date-parts":[["2023"]]},"publisher":"Cogent","title":"A multicriteria decision-making approach for prioritizing renewable energy resources for sustainable electricity generation in Benin A multicriteria decision-making approach for prioritizing renewable energy resources for sustainable electricity generation in Benin","type":"article-journal","volume":"10"},"uris":["http://www.mendeley.com/documents/?uuid=64f82848-8d30-4282-ac89-5913befb57d1"]}],"mendeley":{"formattedCitation":"[35]","plainTextFormattedCitation":"[35]","previouslyFormattedCitation":"[35]"},"properties":{"noteIndex":0},"schema":"https://github.com/citation-style-language/schema/raw/master/csl-citation.json"}</w:instrText>
      </w:r>
      <w:r w:rsidRPr="00953AE5">
        <w:rPr>
          <w:rFonts w:ascii="Arial" w:eastAsia="Times New Roman" w:hAnsi="Arial" w:cs="Arial"/>
          <w:sz w:val="20"/>
          <w:szCs w:val="20"/>
          <w:lang w:eastAsia="en-ID"/>
        </w:rPr>
        <w:fldChar w:fldCharType="separate"/>
      </w:r>
      <w:r w:rsidRPr="00953AE5">
        <w:rPr>
          <w:rFonts w:ascii="Arial" w:eastAsia="Times New Roman" w:hAnsi="Arial" w:cs="Arial"/>
          <w:noProof/>
          <w:sz w:val="20"/>
          <w:szCs w:val="20"/>
          <w:lang w:eastAsia="en-ID"/>
        </w:rPr>
        <w:t>[35]</w:t>
      </w:r>
      <w:r w:rsidRPr="00953AE5">
        <w:rPr>
          <w:rFonts w:ascii="Arial" w:eastAsia="Times New Roman" w:hAnsi="Arial" w:cs="Arial"/>
          <w:sz w:val="20"/>
          <w:szCs w:val="20"/>
          <w:lang w:eastAsia="en-ID"/>
        </w:rPr>
        <w:fldChar w:fldCharType="end"/>
      </w:r>
      <w:r w:rsidRPr="00953AE5">
        <w:rPr>
          <w:rFonts w:ascii="Arial" w:eastAsia="Times New Roman" w:hAnsi="Arial" w:cs="Arial"/>
          <w:sz w:val="20"/>
          <w:szCs w:val="20"/>
          <w:lang w:eastAsia="en-ID"/>
        </w:rPr>
        <w:t>.</w:t>
      </w:r>
    </w:p>
    <w:p w14:paraId="5033EBB7" w14:textId="6EC13F47" w:rsidR="00646F30" w:rsidRPr="00953AE5" w:rsidRDefault="001E0F4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Studies on the use of biodiesel have been widely conducted in previous studies, however, strategies to formulate sustainable biodiesel development using </w:t>
      </w:r>
      <w:proofErr w:type="spellStart"/>
      <w:r w:rsidRPr="00953AE5">
        <w:rPr>
          <w:rFonts w:ascii="Arial" w:hAnsi="Arial" w:cs="Arial"/>
          <w:sz w:val="20"/>
          <w:szCs w:val="20"/>
        </w:rPr>
        <w:t>Hermentia</w:t>
      </w:r>
      <w:proofErr w:type="spellEnd"/>
      <w:r w:rsidRPr="00953AE5">
        <w:rPr>
          <w:rFonts w:ascii="Arial" w:hAnsi="Arial" w:cs="Arial"/>
          <w:sz w:val="20"/>
          <w:szCs w:val="20"/>
        </w:rPr>
        <w:t xml:space="preserve"> </w:t>
      </w:r>
      <w:proofErr w:type="spellStart"/>
      <w:r w:rsidRPr="00953AE5">
        <w:rPr>
          <w:rFonts w:ascii="Arial" w:hAnsi="Arial" w:cs="Arial"/>
          <w:sz w:val="20"/>
          <w:szCs w:val="20"/>
        </w:rPr>
        <w:t>illucens</w:t>
      </w:r>
      <w:proofErr w:type="spellEnd"/>
      <w:r w:rsidRPr="00953AE5">
        <w:rPr>
          <w:rFonts w:ascii="Arial" w:hAnsi="Arial" w:cs="Arial"/>
          <w:sz w:val="20"/>
          <w:szCs w:val="20"/>
        </w:rPr>
        <w:t xml:space="preserve"> (BSF Maggot) have not yet been implemented. Therefore, this article aims to develop a strategy for developing biodiesel based on BSF Maggot oil as one of the sustainable alternative renewable energy </w:t>
      </w:r>
      <w:proofErr w:type="gramStart"/>
      <w:r w:rsidRPr="00953AE5">
        <w:rPr>
          <w:rFonts w:ascii="Arial" w:hAnsi="Arial" w:cs="Arial"/>
          <w:sz w:val="20"/>
          <w:szCs w:val="20"/>
        </w:rPr>
        <w:t>sources.</w:t>
      </w:r>
      <w:r w:rsidR="00646F30" w:rsidRPr="00953AE5">
        <w:rPr>
          <w:rFonts w:ascii="Arial" w:hAnsi="Arial" w:cs="Arial"/>
          <w:sz w:val="20"/>
          <w:szCs w:val="20"/>
        </w:rPr>
        <w:t>.</w:t>
      </w:r>
      <w:proofErr w:type="gramEnd"/>
    </w:p>
    <w:p w14:paraId="4C7A339A" w14:textId="77777777" w:rsidR="003D1DB8" w:rsidRDefault="003D1DB8" w:rsidP="00953AE5">
      <w:pPr>
        <w:spacing w:after="0" w:line="240" w:lineRule="auto"/>
        <w:ind w:left="0" w:hanging="2"/>
        <w:jc w:val="both"/>
        <w:rPr>
          <w:rFonts w:ascii="Arial" w:eastAsia="Arial" w:hAnsi="Arial" w:cs="Arial"/>
          <w:sz w:val="20"/>
          <w:szCs w:val="20"/>
        </w:rPr>
      </w:pPr>
    </w:p>
    <w:p w14:paraId="071A6E45" w14:textId="77777777" w:rsidR="003D1DB8" w:rsidRDefault="00283E10" w:rsidP="00953AE5">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14:paraId="62E3DE94" w14:textId="160EDE05" w:rsidR="00646F30" w:rsidRPr="00892158" w:rsidRDefault="00646F30"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This study attempts to identify the optimal way to develop BSF Maggots into renewable biodiesel energy by utilizing SWOT and VIKOR methodologies. SWOT analysis identifies and evaluates strategies to develop BSF Maggots as a sustainable biodiesel energy source. The VIKOR approach </w:t>
      </w:r>
      <w:r>
        <w:rPr>
          <w:rFonts w:ascii="Arial" w:hAnsi="Arial" w:cs="Arial"/>
          <w:sz w:val="20"/>
          <w:szCs w:val="20"/>
        </w:rPr>
        <w:t>determines</w:t>
      </w:r>
      <w:r w:rsidRPr="00892158">
        <w:rPr>
          <w:rFonts w:ascii="Arial" w:hAnsi="Arial" w:cs="Arial"/>
          <w:sz w:val="20"/>
          <w:szCs w:val="20"/>
        </w:rPr>
        <w:t xml:space="preserve"> the optimal options based on the results. Data were collected through a review of related literature, interviews with various individuals, field observations, and expert surveys. Data on internal and external aspects for the SWOT analysis were collected through an open-ended questionnaire distributed to academics, non-governmental groups, biodiesel renewable energy analysts, and legislators and then compiled in a tabular format. Simultaneously, the VIKOR approach was applied to identify </w:t>
      </w:r>
      <w:r w:rsidRPr="00892158">
        <w:rPr>
          <w:rFonts w:ascii="Arial" w:hAnsi="Arial" w:cs="Arial"/>
          <w:sz w:val="20"/>
          <w:szCs w:val="20"/>
        </w:rPr>
        <w:t>strategies for biodiesel renewable energy through a paired comparison questionnaire. The questionnaire was distributed to experts, considering their experience, availability, and expertise in renewable energy.</w:t>
      </w:r>
    </w:p>
    <w:p w14:paraId="5ADEBC5D" w14:textId="6F5BD4D6" w:rsidR="00646F30" w:rsidRPr="00892158" w:rsidRDefault="00646F30"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SWOT analysis is a strategic technique designed to evaluate an organization's strengths and weaknesses, as well as external opportunities and threats. It was embraced by public administration in the 1980s for regional development and municipal planning </w:t>
      </w:r>
      <w:r w:rsidRPr="00892158">
        <w:rPr>
          <w:rFonts w:ascii="Arial" w:hAnsi="Arial" w:cs="Arial"/>
          <w:sz w:val="20"/>
          <w:szCs w:val="20"/>
        </w:rPr>
        <w:fldChar w:fldCharType="begin" w:fldLock="1"/>
      </w:r>
      <w:r w:rsidR="00253AC2">
        <w:rPr>
          <w:rFonts w:ascii="Arial" w:hAnsi="Arial" w:cs="Arial"/>
          <w:sz w:val="20"/>
          <w:szCs w:val="20"/>
        </w:rPr>
        <w:instrText>ADDIN CSL_CITATION {"citationItems":[{"id":"ITEM-1","itemData":{"DOI":"10.1016/j.egypro.2011.03.409","author":[{"dropping-particle":"","family":"Liu","given":"T T","non-dropping-particle":"","parse-names":false,"suffix":""},{"dropping-particle":"","family":"Mcconkey","given":"B G","non-dropping-particle":"","parse-names":false,"suffix":""},{"dropping-particle":"","family":"Ma","given":"Z Y","non-dropping-particle":"","parse-names":false,"suffix":""},{"dropping-particle":"","family":"Liu","given":"Z G","non-dropping-particle":"","parse-names":false,"suffix":""},{"dropping-particle":"","family":"Li","given":"X","non-dropping-particle":"","parse-names":false,"suffix":""},{"dropping-particle":"","family":"Cheng","given":"L L","non-dropping-particle":"","parse-names":false,"suffix":""}],"id":"ITEM-1","issued":{"date-parts":[["2011"]]},"page":"2378-2386","title":"Strengths , Weaknessness , Opportunities and Threats Analysis of Bioenergy Production on Marginal Land","type":"article-journal","volume":"5"},"uris":["http://www.mendeley.com/documents/?uuid=921dae5b-e8f5-43f7-8dd9-220f48bde764"]}],"mendeley":{"formattedCitation":"[38]","plainTextFormattedCitation":"[38]","previouslyFormattedCitation":"[38]"},"properties":{"noteIndex":0},"schema":"https://github.com/citation-style-language/schema/raw/master/csl-citation.json"}</w:instrText>
      </w:r>
      <w:r w:rsidRPr="00892158">
        <w:rPr>
          <w:rFonts w:ascii="Arial" w:hAnsi="Arial" w:cs="Arial"/>
          <w:sz w:val="20"/>
          <w:szCs w:val="20"/>
        </w:rPr>
        <w:fldChar w:fldCharType="separate"/>
      </w:r>
      <w:r w:rsidRPr="00892158">
        <w:rPr>
          <w:rFonts w:ascii="Arial" w:hAnsi="Arial" w:cs="Arial"/>
          <w:noProof/>
          <w:sz w:val="20"/>
          <w:szCs w:val="20"/>
        </w:rPr>
        <w:t>[38]</w:t>
      </w:r>
      <w:r w:rsidRPr="00892158">
        <w:rPr>
          <w:rFonts w:ascii="Arial" w:hAnsi="Arial" w:cs="Arial"/>
          <w:sz w:val="20"/>
          <w:szCs w:val="20"/>
        </w:rPr>
        <w:fldChar w:fldCharType="end"/>
      </w:r>
      <w:r w:rsidRPr="00892158">
        <w:rPr>
          <w:rFonts w:ascii="Arial" w:hAnsi="Arial" w:cs="Arial"/>
          <w:sz w:val="20"/>
          <w:szCs w:val="20"/>
        </w:rPr>
        <w:fldChar w:fldCharType="begin" w:fldLock="1"/>
      </w:r>
      <w:r w:rsidR="00253AC2">
        <w:rPr>
          <w:rFonts w:ascii="Arial" w:hAnsi="Arial" w:cs="Arial"/>
          <w:sz w:val="20"/>
          <w:szCs w:val="20"/>
        </w:rPr>
        <w:instrText>ADDIN CSL_CITATION {"citationItems":[{"id":"ITEM-1","itemData":{"author":[{"dropping-particle":"","family":"Rimantho","given":"Dino","non-dropping-particle":"","parse-names":false,"suffix":""},{"dropping-particle":"","family":"Ariyanti","given":"Dita","non-dropping-particle":"","parse-names":false,"suffix":""},{"dropping-particle":"","family":"Maryana","given":"Roni","non-dropping-particle":"","parse-names":false,"suffix":""}],"id":"ITEM-1","issue":"2","issued":{"date-parts":[["2024"]]},"page":"294-312","title":"Decision Making : Applications in Management and Engineering Environmentally Friendly Strategies for Recycling Agricultural Waste to Produce Renewable Energy : A Case Study of Durian Fruit","type":"article-journal","volume":"7"},"uris":["http://www.mendeley.com/documents/?uuid=753c701f-b258-4628-97ac-cff769b2e615"]}],"mendeley":{"formattedCitation":"[29]","plainTextFormattedCitation":"[29]","previouslyFormattedCitation":"[29]"},"properties":{"noteIndex":0},"schema":"https://github.com/citation-style-language/schema/raw/master/csl-citation.json"}</w:instrText>
      </w:r>
      <w:r w:rsidRPr="00892158">
        <w:rPr>
          <w:rFonts w:ascii="Arial" w:hAnsi="Arial" w:cs="Arial"/>
          <w:sz w:val="20"/>
          <w:szCs w:val="20"/>
        </w:rPr>
        <w:fldChar w:fldCharType="separate"/>
      </w:r>
      <w:r w:rsidRPr="00892158">
        <w:rPr>
          <w:rFonts w:ascii="Arial" w:hAnsi="Arial" w:cs="Arial"/>
          <w:noProof/>
          <w:sz w:val="20"/>
          <w:szCs w:val="20"/>
        </w:rPr>
        <w:t>[29]</w:t>
      </w:r>
      <w:r w:rsidRPr="00892158">
        <w:rPr>
          <w:rFonts w:ascii="Arial" w:hAnsi="Arial" w:cs="Arial"/>
          <w:sz w:val="20"/>
          <w:szCs w:val="20"/>
        </w:rPr>
        <w:fldChar w:fldCharType="end"/>
      </w:r>
      <w:r w:rsidRPr="00892158">
        <w:rPr>
          <w:rFonts w:ascii="Arial" w:hAnsi="Arial" w:cs="Arial"/>
          <w:sz w:val="20"/>
          <w:szCs w:val="20"/>
        </w:rPr>
        <w:t>. When confronted with a circumstance and making a decision, we should evaluate the positive and negative aspects</w:t>
      </w:r>
      <w:r>
        <w:rPr>
          <w:rFonts w:ascii="Arial" w:hAnsi="Arial" w:cs="Arial"/>
          <w:sz w:val="20"/>
          <w:szCs w:val="20"/>
        </w:rPr>
        <w:t xml:space="preserve"> and</w:t>
      </w:r>
      <w:r w:rsidRPr="00892158">
        <w:rPr>
          <w:rFonts w:ascii="Arial" w:hAnsi="Arial" w:cs="Arial"/>
          <w:sz w:val="20"/>
          <w:szCs w:val="20"/>
        </w:rPr>
        <w:t xml:space="preserve"> the advantages and disadvantages of the alternative. A SWOT analysis can assist in identifying the existing situation and facilitate a more comprehensive evaluation </w:t>
      </w:r>
      <w:r>
        <w:rPr>
          <w:rFonts w:ascii="Arial" w:hAnsi="Arial" w:cs="Arial"/>
          <w:sz w:val="20"/>
          <w:szCs w:val="20"/>
        </w:rPr>
        <w:t>before</w:t>
      </w:r>
      <w:r w:rsidRPr="00892158">
        <w:rPr>
          <w:rFonts w:ascii="Arial" w:hAnsi="Arial" w:cs="Arial"/>
          <w:sz w:val="20"/>
          <w:szCs w:val="20"/>
        </w:rPr>
        <w:t xml:space="preserve"> making a decision. </w:t>
      </w:r>
      <w:r>
        <w:rPr>
          <w:rFonts w:ascii="Arial" w:hAnsi="Arial" w:cs="Arial"/>
          <w:sz w:val="20"/>
          <w:szCs w:val="20"/>
        </w:rPr>
        <w:t>Bioenergy production</w:t>
      </w:r>
      <w:r w:rsidRPr="00892158">
        <w:rPr>
          <w:rFonts w:ascii="Arial" w:hAnsi="Arial" w:cs="Arial"/>
          <w:sz w:val="20"/>
          <w:szCs w:val="20"/>
        </w:rPr>
        <w:t xml:space="preserve"> on marginal land might be seen as an initiative or project, subject to SWOT analysis. Numerous instances of effective use of SWOT analysis exist in bioenergy sustainable development and industrial planning strategy (Table 1). </w:t>
      </w:r>
    </w:p>
    <w:p w14:paraId="2DED2B81" w14:textId="77777777" w:rsidR="00646F30" w:rsidRPr="00892158" w:rsidRDefault="00646F30" w:rsidP="00953AE5">
      <w:pPr>
        <w:spacing w:after="0" w:line="240" w:lineRule="auto"/>
        <w:ind w:left="0" w:hanging="2"/>
        <w:jc w:val="both"/>
        <w:rPr>
          <w:rFonts w:ascii="Arial" w:hAnsi="Arial" w:cs="Arial"/>
          <w:sz w:val="20"/>
          <w:szCs w:val="20"/>
        </w:rPr>
      </w:pPr>
      <w:r w:rsidRPr="00892158">
        <w:rPr>
          <w:rFonts w:ascii="Arial" w:hAnsi="Arial" w:cs="Arial"/>
          <w:sz w:val="20"/>
          <w:szCs w:val="20"/>
        </w:rPr>
        <w:t>Table 1 The application of the SWOT method in bioenergy</w:t>
      </w:r>
    </w:p>
    <w:p w14:paraId="591DAF88" w14:textId="0A9CF7D2" w:rsidR="00646F30" w:rsidRDefault="00646F30" w:rsidP="00953AE5">
      <w:pPr>
        <w:spacing w:after="0" w:line="240" w:lineRule="auto"/>
        <w:ind w:left="0" w:hanging="2"/>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466"/>
        <w:gridCol w:w="1186"/>
      </w:tblGrid>
      <w:tr w:rsidR="00646F30" w:rsidRPr="00892158" w14:paraId="1BF672BC" w14:textId="77777777" w:rsidTr="00C258C2">
        <w:tc>
          <w:tcPr>
            <w:tcW w:w="540" w:type="dxa"/>
            <w:tcBorders>
              <w:top w:val="single" w:sz="4" w:space="0" w:color="auto"/>
              <w:bottom w:val="single" w:sz="4" w:space="0" w:color="auto"/>
            </w:tcBorders>
          </w:tcPr>
          <w:p w14:paraId="7214BD25" w14:textId="77777777" w:rsidR="00646F30" w:rsidRPr="00892158" w:rsidRDefault="00646F30" w:rsidP="00953AE5">
            <w:pPr>
              <w:ind w:left="0" w:hanging="2"/>
              <w:jc w:val="both"/>
              <w:rPr>
                <w:rFonts w:ascii="Arial" w:hAnsi="Arial" w:cs="Arial"/>
                <w:b/>
                <w:bCs/>
                <w:sz w:val="18"/>
                <w:szCs w:val="18"/>
              </w:rPr>
            </w:pPr>
            <w:r w:rsidRPr="00892158">
              <w:rPr>
                <w:rFonts w:ascii="Arial" w:hAnsi="Arial" w:cs="Arial"/>
                <w:b/>
                <w:bCs/>
                <w:sz w:val="18"/>
                <w:szCs w:val="18"/>
              </w:rPr>
              <w:t>No.</w:t>
            </w:r>
          </w:p>
        </w:tc>
        <w:tc>
          <w:tcPr>
            <w:tcW w:w="3288" w:type="dxa"/>
            <w:tcBorders>
              <w:top w:val="single" w:sz="4" w:space="0" w:color="auto"/>
              <w:bottom w:val="single" w:sz="4" w:space="0" w:color="auto"/>
            </w:tcBorders>
          </w:tcPr>
          <w:p w14:paraId="20A92F8D" w14:textId="77777777" w:rsidR="00646F30" w:rsidRPr="00892158" w:rsidRDefault="00646F30" w:rsidP="00953AE5">
            <w:pPr>
              <w:ind w:left="0" w:hanging="2"/>
              <w:jc w:val="both"/>
              <w:rPr>
                <w:rFonts w:ascii="Arial" w:hAnsi="Arial" w:cs="Arial"/>
                <w:b/>
                <w:bCs/>
                <w:sz w:val="18"/>
                <w:szCs w:val="18"/>
              </w:rPr>
            </w:pPr>
            <w:r w:rsidRPr="00892158">
              <w:rPr>
                <w:rFonts w:ascii="Arial" w:hAnsi="Arial" w:cs="Arial"/>
                <w:b/>
                <w:bCs/>
                <w:sz w:val="18"/>
                <w:szCs w:val="18"/>
              </w:rPr>
              <w:t>SWOT Application</w:t>
            </w:r>
          </w:p>
        </w:tc>
        <w:tc>
          <w:tcPr>
            <w:tcW w:w="1187" w:type="dxa"/>
            <w:tcBorders>
              <w:top w:val="single" w:sz="4" w:space="0" w:color="auto"/>
              <w:bottom w:val="single" w:sz="4" w:space="0" w:color="auto"/>
            </w:tcBorders>
          </w:tcPr>
          <w:p w14:paraId="1591F87C" w14:textId="77777777" w:rsidR="00646F30" w:rsidRPr="00892158" w:rsidRDefault="00646F30" w:rsidP="00953AE5">
            <w:pPr>
              <w:ind w:left="0" w:hanging="2"/>
              <w:jc w:val="both"/>
              <w:rPr>
                <w:rFonts w:ascii="Arial" w:hAnsi="Arial" w:cs="Arial"/>
                <w:b/>
                <w:bCs/>
                <w:sz w:val="18"/>
                <w:szCs w:val="18"/>
              </w:rPr>
            </w:pPr>
            <w:r w:rsidRPr="00892158">
              <w:rPr>
                <w:rFonts w:ascii="Arial" w:hAnsi="Arial" w:cs="Arial"/>
                <w:b/>
                <w:bCs/>
                <w:sz w:val="18"/>
                <w:szCs w:val="18"/>
              </w:rPr>
              <w:t>References</w:t>
            </w:r>
          </w:p>
        </w:tc>
      </w:tr>
      <w:tr w:rsidR="00646F30" w:rsidRPr="00892158" w14:paraId="43BB74D6" w14:textId="77777777" w:rsidTr="00C258C2">
        <w:tc>
          <w:tcPr>
            <w:tcW w:w="540" w:type="dxa"/>
            <w:tcBorders>
              <w:top w:val="single" w:sz="4" w:space="0" w:color="auto"/>
            </w:tcBorders>
          </w:tcPr>
          <w:p w14:paraId="589C46ED"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1</w:t>
            </w:r>
          </w:p>
        </w:tc>
        <w:tc>
          <w:tcPr>
            <w:tcW w:w="3288" w:type="dxa"/>
            <w:tcBorders>
              <w:top w:val="single" w:sz="4" w:space="0" w:color="auto"/>
            </w:tcBorders>
          </w:tcPr>
          <w:p w14:paraId="7E59C783" w14:textId="4D489A19" w:rsidR="00646F30" w:rsidRPr="00892158" w:rsidRDefault="00646F30" w:rsidP="00953AE5">
            <w:pPr>
              <w:ind w:left="0" w:hanging="2"/>
              <w:rPr>
                <w:rFonts w:ascii="Arial" w:hAnsi="Arial" w:cs="Arial"/>
                <w:sz w:val="18"/>
                <w:szCs w:val="18"/>
              </w:rPr>
            </w:pPr>
            <w:r w:rsidRPr="00646F30">
              <w:rPr>
                <w:rFonts w:ascii="Arial" w:eastAsia="Times New Roman" w:hAnsi="Arial" w:cs="Arial"/>
                <w:sz w:val="18"/>
                <w:szCs w:val="18"/>
                <w:lang w:eastAsia="en-ID"/>
              </w:rPr>
              <w:t>Analyze the renewable energy industry and identify the factors that influence FDI to attract new investments,</w:t>
            </w:r>
          </w:p>
        </w:tc>
        <w:tc>
          <w:tcPr>
            <w:tcW w:w="1187" w:type="dxa"/>
            <w:tcBorders>
              <w:top w:val="single" w:sz="4" w:space="0" w:color="auto"/>
            </w:tcBorders>
          </w:tcPr>
          <w:p w14:paraId="5547EF7D" w14:textId="25D83741"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{"citationItems":[{"id":"ITEM-1","itemData":{"DOI":"10.3390/su13126620","author":[{"dropping-particle":"","family":"Ardila-Rey","given":"Ridoan Karim; Firdaus Muhammad-Sukki; Mina Hemmati; Md Shah Newaz; Haroon Farooq; Mohd Nabil Muhtazaruddin; Muhammad Zulkipli; and Jorge Alfredo","non-dropping-particle":"","parse-names":false,"suffix":""}],"container-title":"Sustainability","id":"ITEM-1","issue":"June","issued":{"date-parts":[["2021"]]},"page":"1-31","title":"RETRACTED: Paving towards Strategic Investment Decision: A SWOT Analysis of Renewable Energy in Bangladesh","type":"article-journal","volume":"13"},"uris":["http://www.mendeley.com/documents/?uuid=49313403-b506-47a3-bb81-db53835d90cf"]}],"mendeley":{"formattedCitation":"[39]","plainTextFormattedCitation":"[39]","previouslyFormattedCitation":"[39]"},"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[39]</w:t>
            </w:r>
            <w:r w:rsidRPr="00892158">
              <w:rPr>
                <w:rFonts w:ascii="Arial" w:hAnsi="Arial" w:cs="Arial"/>
                <w:sz w:val="18"/>
                <w:szCs w:val="18"/>
              </w:rPr>
              <w:fldChar w:fldCharType="end"/>
            </w:r>
          </w:p>
        </w:tc>
      </w:tr>
      <w:tr w:rsidR="00646F30" w:rsidRPr="00892158" w14:paraId="54D380F0" w14:textId="77777777" w:rsidTr="00C258C2">
        <w:tc>
          <w:tcPr>
            <w:tcW w:w="540" w:type="dxa"/>
          </w:tcPr>
          <w:p w14:paraId="097E1B33"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2</w:t>
            </w:r>
          </w:p>
        </w:tc>
        <w:tc>
          <w:tcPr>
            <w:tcW w:w="3288" w:type="dxa"/>
          </w:tcPr>
          <w:p w14:paraId="45E624C1"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Assessing the potential of potato-based bioethanol in India</w:t>
            </w:r>
          </w:p>
        </w:tc>
        <w:tc>
          <w:tcPr>
            <w:tcW w:w="1187" w:type="dxa"/>
          </w:tcPr>
          <w:p w14:paraId="291CE6EB" w14:textId="7DDC0F61"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DOI":"10.1016/j.heliyon.2024.e40677","ISSN":"2405-8440","author":[{"dropping-particle":"","family":"Kumar","given":"Dharmendra","non-dropping-particle":"","parse-names":false,"suffix":""},{"dropping-particle":"","family":"Dutt","given":"Som","non-dropping-particle":"","parse-names":false,"suffix":""},{"dropping-particle":"","family":"Kumar","given":"Arvind","non-dropping-particle":"","parse-names":false,"suffix":""},{"dropping-particle":"","family":"Kaundal","given":"Bandana","non-dropping-particle":"","parse-names":false,"suffix":""}],"container-title":"Heliyon","id":"ITEM-1","issue":"23","issued":{"date-parts":[["2024"]]},"page":"e40677","publisher":"Elsevier Ltd","title":"Heliyon Bioethanol production from potatoes in India : A SWOT analysis","type":"article-journal","volume":"10"},"uris":["http://www.mendeley.com/documents/?uuid=148f7404-853a-4584-8b5b-20c8c123e80b"]}],"mendeley":{"formattedCitation":"[40]","plainTextFormattedCitation":"[40]","previouslyFormattedCitation":"[40]"},"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[40]</w:t>
            </w:r>
            <w:r w:rsidRPr="00892158">
              <w:rPr>
                <w:rFonts w:ascii="Arial" w:hAnsi="Arial" w:cs="Arial"/>
                <w:sz w:val="18"/>
                <w:szCs w:val="18"/>
              </w:rPr>
              <w:fldChar w:fldCharType="end"/>
            </w:r>
          </w:p>
        </w:tc>
      </w:tr>
      <w:tr w:rsidR="00646F30" w:rsidRPr="00892158" w14:paraId="221422B6" w14:textId="77777777" w:rsidTr="00C258C2">
        <w:tc>
          <w:tcPr>
            <w:tcW w:w="540" w:type="dxa"/>
          </w:tcPr>
          <w:p w14:paraId="51066089"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3</w:t>
            </w:r>
          </w:p>
        </w:tc>
        <w:tc>
          <w:tcPr>
            <w:tcW w:w="3288" w:type="dxa"/>
          </w:tcPr>
          <w:p w14:paraId="7CB25071"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Renewable energy transition assessment</w:t>
            </w:r>
          </w:p>
        </w:tc>
        <w:tc>
          <w:tcPr>
            <w:tcW w:w="1187" w:type="dxa"/>
          </w:tcPr>
          <w:p w14:paraId="5FC4F5BC" w14:textId="0ACAE950"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author":[{"dropping-particle":"","family":"Hernandez-escalante","given":"Mariana","non-dropping-particle":"","parse-names":false,"suffix":""},{"dropping-particle":"","family":"Martin-del-campo","given":"Cecilia","non-dropping-particle":"","parse-names":false,"suffix":""}],"id":"ITEM-1","issued":{"date-parts":[["2024"]]},"page":"5-26","title":"A biomass waste evaluation for power energy generation in Mexico based on a SWOT &amp; Fuzzy-logic analysis","type":"article-journal","volume":"35"},"uris":["http://www.mendeley.com/documents/?uuid=1e8544a4-30b4-4ff5-8d39-8116fdce71f1"]}],"mendeley":{"formattedCitation":"[41]","plainTextFormattedCitation":"[41]","previouslyFormattedCitation":"[41]"},"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[41]</w:t>
            </w:r>
            <w:r w:rsidRPr="00892158">
              <w:rPr>
                <w:rFonts w:ascii="Arial" w:hAnsi="Arial" w:cs="Arial"/>
                <w:sz w:val="18"/>
                <w:szCs w:val="18"/>
              </w:rPr>
              <w:fldChar w:fldCharType="end"/>
            </w:r>
          </w:p>
        </w:tc>
      </w:tr>
      <w:tr w:rsidR="00646F30" w:rsidRPr="00892158" w14:paraId="46A5AEEF" w14:textId="77777777" w:rsidTr="00C258C2">
        <w:tc>
          <w:tcPr>
            <w:tcW w:w="540" w:type="dxa"/>
          </w:tcPr>
          <w:p w14:paraId="79846BCB"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4</w:t>
            </w:r>
          </w:p>
        </w:tc>
        <w:tc>
          <w:tcPr>
            <w:tcW w:w="3288" w:type="dxa"/>
          </w:tcPr>
          <w:p w14:paraId="6828361E"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 xml:space="preserve">Literature review and anonymous survey on renewable energy in </w:t>
            </w:r>
            <w:proofErr w:type="spellStart"/>
            <w:r w:rsidRPr="00892158">
              <w:rPr>
                <w:rFonts w:ascii="Arial" w:hAnsi="Arial" w:cs="Arial"/>
                <w:sz w:val="18"/>
                <w:szCs w:val="18"/>
              </w:rPr>
              <w:t>Mazowieckie</w:t>
            </w:r>
            <w:proofErr w:type="spellEnd"/>
            <w:r w:rsidRPr="00892158">
              <w:rPr>
                <w:rFonts w:ascii="Arial" w:hAnsi="Arial" w:cs="Arial"/>
                <w:sz w:val="18"/>
                <w:szCs w:val="18"/>
              </w:rPr>
              <w:t xml:space="preserve"> Voivodeship (Poland)</w:t>
            </w:r>
          </w:p>
        </w:tc>
        <w:tc>
          <w:tcPr>
            <w:tcW w:w="1187" w:type="dxa"/>
          </w:tcPr>
          <w:p w14:paraId="69B101F9" w14:textId="214A1873"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{"citationItems":[{"id":"ITEM-1","itemData":{"DOI":"10.1007/s10668-021-01490-1","ISBN":"0123456789","ISSN":"1573-2975","author":[{"dropping-particle":"","family":"Skrzatek","given":"B Igliński M","non-dropping-particle":"","parse-names":false,"suffix":""},{"dropping-particle":"","family":"Cichosz","given":"W Kujawski M","non-dropping-particle":"","parse-names":false,"suffix":""}],"container-title":"Environment, Development and Sustainability","id":"ITEM-1","issue":"1","issued":{"date-parts":[["2022"]]},"number-of-pages":"77-111","publisher":"Springer Netherlands","title":"SWOT analysis of renewable energy sector in Mazowieckie Voivodeship ( Poland ): current progress , prospects and policy implications","type":"book","volume":"24"},"uris":["http://www.mendeley.com/documents/?uuid=5c83ca77-5dd5-4c50-9e17-99d783aa80ac"]}],"mendeley":{"formattedCitation":"[42]","plainTextFormattedCitation":"[42]","previouslyFormattedCitation":"[42]"},"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[42]</w:t>
            </w:r>
            <w:r w:rsidRPr="00892158">
              <w:rPr>
                <w:rFonts w:ascii="Arial" w:hAnsi="Arial" w:cs="Arial"/>
                <w:sz w:val="18"/>
                <w:szCs w:val="18"/>
              </w:rPr>
              <w:fldChar w:fldCharType="end"/>
            </w:r>
          </w:p>
        </w:tc>
      </w:tr>
      <w:tr w:rsidR="00646F30" w:rsidRPr="00892158" w14:paraId="48C461F1" w14:textId="77777777" w:rsidTr="00C258C2">
        <w:tc>
          <w:tcPr>
            <w:tcW w:w="540" w:type="dxa"/>
          </w:tcPr>
          <w:p w14:paraId="5D34DBDE"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5</w:t>
            </w:r>
          </w:p>
        </w:tc>
        <w:tc>
          <w:tcPr>
            <w:tcW w:w="3288" w:type="dxa"/>
          </w:tcPr>
          <w:p w14:paraId="4FE3B3B5"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Identify the barriers and drivers for developing a local supply chain for forest residues in an Italian alpine valley by gathering and analyzing the perspectives of all regional actors involved.</w:t>
            </w:r>
          </w:p>
        </w:tc>
        <w:tc>
          <w:tcPr>
            <w:tcW w:w="1187" w:type="dxa"/>
          </w:tcPr>
          <w:p w14:paraId="6D71FB58" w14:textId="7E775ED6"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{"citationItems":[{"id":"ITEM-1","itemData":{"DOI":"10.1016/j.heliyon.2024.e38170","ISSN":"2405-8440 (Print)","PMID":"39386843","abstract":"The role of woody biomass in the clean energy transition is substantial in the  EU. Forest residues are one of the main biomass sources that can be used for energy production, but their use to support the energy transition is still limited for several reasons. Research has shown that the use of forest residues in energy production can be effectively stimulated through collective actions that aim to develop short and local supply chains. This study aims to identify the barriers and drivers for the development of a local supply chain for forest residues in an Italian alpine valley, gathering and analysing the perspectives of all involved local actors, that is, (i) suppliers - the communities that own the forest resources, (ii) intermediaries - the forest professionals providing extension and advice services to owners and the harvesting companies; and (iii) the final consumers, in this case the local municipalities and hospitality enterprises. Data are analysed using a SWOT analysis. The results show that the suppliers identified opportunities especially, while the final consumers focused more on strengths, weaknesses, and threats. The SWOT categories in terms of the number of different factors were weaknesses (37 %), strengths (27 %), threats (18 %), and opportunities (17 %). Opportunities and strengths were considered as drivers, while threats and weaknesses were barriers. Several drivers emerged, such as a general predisposition toward the development of a local supply chain for forest residues, social homogeneity in terms of knowledge and management of the land, and common challenges. Barriers also emerged in the form of limited know-how on the supply chain potential, but also in limited availability to concede control between different forest owners over their property. The SWOT results are useful to design strategies to support the development of the supply chain: four possible strategies, amongst which flexible cooperation processes between different categories of stakeholders, and the organisation of a buying group of the hospitality enterprises, were suggested.","author":[{"dropping-particle":"","family":"Pagot","given":"Giacomo","non-dropping-particle":"","parse-names":false,"suffix":""},{"dropping-particle":"","family":"Andrighetto","given":"Nicola","non-dropping-particle":"","parse-names":false,"suffix":""}],"container-title":"Heliyon","id":"ITEM-1","issue":"19","issued":{"date-parts":[["2024","10"]]},"language":"eng","page":"e38170","publisher-place":"England","title":"Fuel for collective action: A SWOT analysis to identify social barriers and  drivers for a local woody biomass supply chain in an Italian alpine valley.","type":"article-journal","volume":"10"},"uris":["http://www.mendeley.com/documents/?uuid=be1ecb15-2a8e-484a-991f-c1a329ebbcef"]}],"mendeley":{"formattedCitation":"[43]","plainTextFormattedCitation":"[43]","previouslyFormattedCitation":"[43]"},"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[43]</w:t>
            </w:r>
            <w:r w:rsidRPr="00892158">
              <w:rPr>
                <w:rFonts w:ascii="Arial" w:hAnsi="Arial" w:cs="Arial"/>
                <w:sz w:val="18"/>
                <w:szCs w:val="18"/>
              </w:rPr>
              <w:fldChar w:fldCharType="end"/>
            </w:r>
          </w:p>
        </w:tc>
      </w:tr>
      <w:tr w:rsidR="00646F30" w:rsidRPr="00892158" w14:paraId="1BAFD646" w14:textId="77777777" w:rsidTr="00C258C2">
        <w:tc>
          <w:tcPr>
            <w:tcW w:w="540" w:type="dxa"/>
          </w:tcPr>
          <w:p w14:paraId="30EE47DF"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6</w:t>
            </w:r>
          </w:p>
        </w:tc>
        <w:tc>
          <w:tcPr>
            <w:tcW w:w="3288" w:type="dxa"/>
          </w:tcPr>
          <w:p w14:paraId="40481060"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Bioenergy Development from Biomass in Ukraine.</w:t>
            </w:r>
          </w:p>
        </w:tc>
        <w:tc>
          <w:tcPr>
            <w:tcW w:w="1187" w:type="dxa"/>
          </w:tcPr>
          <w:p w14:paraId="27A90EF7" w14:textId="40BA77C1"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author":[{"dropping-particle":"","family":"Galchynska","given":"Julia","non-dropping-particle":"","parse-names":false,"suffix":""},{"dropping-particle":"","family":"Trade","given":"International","non-dropping-particle":"","parse-names":false,"suffix":""},{"dropping-particle":"","family":"Orlikowskyi","given":"Mykola","non-dropping-particle":"","parse-names":false,"suffix":""},{"dropping-particle":"","family":"Maciejczak","given":"Mariusz","non-dropping-particle":"","parse-names":false,"suffix":""}],"id":"ITEM-1","issue":"4","issued":{"date-parts":[["2015"]]},"page":"56-61","title":"Development of Bioenergy from Biomass in Ukraine","type":"article-journal","volume":"15"},"uris":["http://www.mendeley.com/documents/?uuid=c0c2c328-7e56-48c7-b392-7f968a44fbc4"]}],"mendeley":{"formattedCitation":"[44]","plainTextFormattedCitation":"[44]","previouslyFormattedCitation":"[44]"},"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[44]</w:t>
            </w:r>
            <w:r w:rsidRPr="00892158">
              <w:rPr>
                <w:rFonts w:ascii="Arial" w:hAnsi="Arial" w:cs="Arial"/>
                <w:sz w:val="18"/>
                <w:szCs w:val="18"/>
              </w:rPr>
              <w:fldChar w:fldCharType="end"/>
            </w:r>
          </w:p>
        </w:tc>
      </w:tr>
      <w:tr w:rsidR="00646F30" w:rsidRPr="00892158" w14:paraId="5190F59D" w14:textId="77777777" w:rsidTr="00C258C2">
        <w:tc>
          <w:tcPr>
            <w:tcW w:w="540" w:type="dxa"/>
          </w:tcPr>
          <w:p w14:paraId="43BC0C47"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7</w:t>
            </w:r>
          </w:p>
        </w:tc>
        <w:tc>
          <w:tcPr>
            <w:tcW w:w="3288" w:type="dxa"/>
          </w:tcPr>
          <w:p w14:paraId="202FD942"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Addressing the challenge: transforming intermediate bioenergy carriers into a catalyst for a climate-neutral Europe</w:t>
            </w:r>
          </w:p>
        </w:tc>
        <w:tc>
          <w:tcPr>
            <w:tcW w:w="1187" w:type="dxa"/>
          </w:tcPr>
          <w:p w14:paraId="66AE8E2B" w14:textId="511D341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 xml:space="preserve">ADDIN CSL_CITATION {"citationItems":[{"id":"ITEM-1","itemData":{"DOI":"10.1186/s13705-023-00416-1","ISSN":"2192-0567","author":[{"dropping-particle":"","family":"Siegfried","given":"Konrad","non-dropping-particle":"","parse-names":false,"suffix":""},{"dropping-particle":"","family":"Blümel","given":"Linda","non-dropping-particle":"","parse-names":false,"suffix":""},{"dropping-particle":"","family":"Riedel","given":"Fabian","non-dropping-particle":"","parse-names":false,"suffix":""},{"dropping-particle":"","family":"Moosmann","given":"David","non-dropping-particle":"","parse-names":false,"suffix":""},{"dropping-particle":"","family":"Cyffka","given":"Karl Friedrich","non-dropping-particle":"","parse-names":false,"suffix":""},{"dropping-particle":"","family":"Richters","given":"Mark","non-dropping-particle":"","parse-names":false,"suffix":""},{"dropping-particle":"","family":"Reumerman","given":"Patrick","non-dropping-particle":"","parse-names":false,"suffix":""},{"dropping-particle":"","family":"Vos","given":"John","non-dropping-particle":"","parse-names":false,"suffix":""},{"dropping-particle":"","family":"Matisons","given":"Magnus","non-dropping-particle":"","parse-names":false,"suffix":""},{"dropping-particle":"","family":"Thrän","given":"Daniela","non-dropping-particle":"","parse-names":false,"suffix":""}],"container-title":"Energy, Sustainability and Society","id":"ITEM-1","issued":{"date-parts":[["2023"]]},"page":"1-16","publisher":"Springer Berlin Heidelberg","title":"Plating the hot potato : how to make intermediate bioenergy carriers an accelerator to a climate </w:instrText>
            </w:r>
            <w:r w:rsidR="00253AC2">
              <w:rPr>
                <w:rFonts w:ascii="Cambria Math" w:hAnsi="Cambria Math" w:cs="Cambria Math"/>
                <w:sz w:val="18"/>
                <w:szCs w:val="18"/>
              </w:rPr>
              <w:instrText>‑</w:instrText>
            </w:r>
            <w:r w:rsidR="00253AC2">
              <w:rPr>
                <w:rFonts w:ascii="Arial" w:hAnsi="Arial" w:cs="Arial"/>
                <w:sz w:val="18"/>
                <w:szCs w:val="18"/>
              </w:rPr>
              <w:instrText xml:space="preserve"> neutral Europe","type":"article-journal"},"uris":["http://www.mendeley.com/documents/?uuid=113eb988-45e1-4240-9eec-d9728e600774"]}],"mendeley":{"formattedCitation":"[45]","plainTextFormattedCitation":"[45]","previouslyFormattedCitation":"[45]"},"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[45]</w:t>
            </w:r>
            <w:r w:rsidRPr="00892158">
              <w:rPr>
                <w:rFonts w:ascii="Arial" w:hAnsi="Arial" w:cs="Arial"/>
                <w:sz w:val="18"/>
                <w:szCs w:val="18"/>
              </w:rPr>
              <w:fldChar w:fldCharType="end"/>
            </w:r>
          </w:p>
        </w:tc>
      </w:tr>
      <w:tr w:rsidR="00646F30" w:rsidRPr="00892158" w14:paraId="7315284A" w14:textId="77777777" w:rsidTr="00C258C2">
        <w:tc>
          <w:tcPr>
            <w:tcW w:w="540" w:type="dxa"/>
          </w:tcPr>
          <w:p w14:paraId="412B7AC0"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8</w:t>
            </w:r>
          </w:p>
        </w:tc>
        <w:tc>
          <w:tcPr>
            <w:tcW w:w="3288" w:type="dxa"/>
          </w:tcPr>
          <w:p w14:paraId="3C10F51C"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 xml:space="preserve">A preliminary evaluation of large-scale solar technology in Malaysia through an integrated SWOT (Strengths, </w:t>
            </w:r>
            <w:r w:rsidRPr="00892158">
              <w:rPr>
                <w:rFonts w:ascii="Arial" w:hAnsi="Arial" w:cs="Arial"/>
                <w:sz w:val="18"/>
                <w:szCs w:val="18"/>
              </w:rPr>
              <w:lastRenderedPageBreak/>
              <w:t>Weaknesses, Opportunities, and Threats) and PESTLE (Political, Economic, Social, Technical, Legal, and Environmental) analysis, combined with the analytic hierarchy process (AHP) methodology.</w:t>
            </w:r>
          </w:p>
        </w:tc>
        <w:tc>
          <w:tcPr>
            <w:tcW w:w="1187" w:type="dxa"/>
          </w:tcPr>
          <w:p w14:paraId="71981972" w14:textId="49DE1C75"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lastRenderedPageBreak/>
              <w:fldChar w:fldCharType="begin" w:fldLock="1"/>
            </w:r>
            <w:r w:rsidR="00253AC2">
              <w:rPr>
                <w:rFonts w:ascii="Arial" w:hAnsi="Arial" w:cs="Arial"/>
                <w:sz w:val="18"/>
                <w:szCs w:val="18"/>
              </w:rPr>
              <w:instrText>ADDIN CSL_CITATION {"citationItems":[{"id":"ITEM-1","itemData":{"DOI":"10.3303/CET23106086","ISBN":"9791281206052","author":[{"dropping-particle":"","family":"Aina","given":"Wan","non-dropping-particle":"","parse-names":false,"suffix":""},{"dropping-particle":"","family":"Wan","given":"Syahirah","non-dropping-particle":"","parse-names":false,"suffix":""},{"dropping-particle":"","family":"Wahab","given":"Mardhiah","non-dropping-particle":"","parse-names":false,"suffix":""},{"dropping-particle":"","family":"Zeyu","given":"Yang","non-dropping-particle":"","parse-names":false,"suffix":""}],"id":"ITEM-1","issue":"August 2023","issued":{"date-parts":[["2025"]]},"page":"511-516","title":"A Reality Check on the Large Scale of Solar Energy Technology via Integrated SWOT-PESTLE-AHP Analysis","type":"article-journal","volume":"106"},"uris":["http://www.mendeley.com/documents/?uuid=651dbace-8ea0-4d90-8d47-35e089fecb7d"]}],"mendeley":{"formattedCitation":"[46]","plainTextFormattedCitation":"[46]","previouslyFormattedCitation":"[46]"},"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[46]</w:t>
            </w:r>
            <w:r w:rsidRPr="00892158">
              <w:rPr>
                <w:rFonts w:ascii="Arial" w:hAnsi="Arial" w:cs="Arial"/>
                <w:sz w:val="18"/>
                <w:szCs w:val="18"/>
              </w:rPr>
              <w:fldChar w:fldCharType="end"/>
            </w:r>
          </w:p>
        </w:tc>
      </w:tr>
      <w:tr w:rsidR="00646F30" w:rsidRPr="00892158" w14:paraId="2C4E0125" w14:textId="77777777" w:rsidTr="00C258C2">
        <w:tc>
          <w:tcPr>
            <w:tcW w:w="540" w:type="dxa"/>
          </w:tcPr>
          <w:p w14:paraId="0DB7A515"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9</w:t>
            </w:r>
          </w:p>
        </w:tc>
        <w:tc>
          <w:tcPr>
            <w:tcW w:w="3288" w:type="dxa"/>
          </w:tcPr>
          <w:p w14:paraId="5944D664"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 xml:space="preserve">Assessment of renewable energy's current status and future strategies for enhanced utilization.  </w:t>
            </w:r>
          </w:p>
        </w:tc>
        <w:tc>
          <w:tcPr>
            <w:tcW w:w="1187" w:type="dxa"/>
          </w:tcPr>
          <w:p w14:paraId="40E1AA45" w14:textId="6A05E008"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{"citationItems":[{"id":"ITEM-1","itemData":{"DOI":"10.1155/2022/1743570","author":[{"dropping-particle":"","family":"Shaikh","given":"Asadullah","non-dropping-particle":"","parse-names":false,"suffix":""},{"dropping-particle":"","family":"Shaikh","given":"Pervez Hameed","non-dropping-particle":"","parse-names":false,"suffix":""},{"dropping-particle":"","family":"Kumar","given":"Laveet","non-dropping-particle":"","parse-names":false,"suffix":""},{"dropping-particle":"","family":"Mirjat","given":"Nayyar Husain","non-dropping-particle":"","parse-names":false,"suffix":""},{"dropping-particle":"","family":"Memon","given":"Zubair Ahmed","non-dropping-particle":"","parse-names":false,"suffix":""},{"dropping-particle":"","family":"El","given":"Mamdouh","non-dropping-particle":"","parse-names":false,"suffix":""},{"dropping-particle":"","family":"Assad","given":"Haj","non-dropping-particle":"","parse-names":false,"suffix":""},{"dropping-particle":"","family":"Alayi","given":"Reza","non-dropping-particle":"","parse-names":false,"suffix":""},{"dropping-particle":"","family":"Eskandarpoor","given":"Behrouz","non-dropping-particle":"","parse-names":false,"suffix":""}],"id":"ITEM-1","issued":{"date-parts":[["2022"]]},"title":"A SWOT Analysis for a Roadmap towards Sustainable Electric Power Generation","type":"article-journal","volume":"2022"},"uris":["http://www.mendeley.com/documents/?uuid=66356947-25ce-4db8-b1eb-f0f9832a1746"]}],"mendeley":{"formattedCitation":"[47]","plainTextFormattedCitation":"[47]","previouslyFormattedCitation":"[47]"},"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[47]</w:t>
            </w:r>
            <w:r w:rsidRPr="00892158">
              <w:rPr>
                <w:rFonts w:ascii="Arial" w:hAnsi="Arial" w:cs="Arial"/>
                <w:sz w:val="18"/>
                <w:szCs w:val="18"/>
              </w:rPr>
              <w:fldChar w:fldCharType="end"/>
            </w:r>
          </w:p>
        </w:tc>
      </w:tr>
      <w:tr w:rsidR="00646F30" w:rsidRPr="00892158" w14:paraId="2512CE37" w14:textId="77777777" w:rsidTr="00C258C2">
        <w:tc>
          <w:tcPr>
            <w:tcW w:w="540" w:type="dxa"/>
            <w:tcBorders>
              <w:bottom w:val="single" w:sz="4" w:space="0" w:color="auto"/>
            </w:tcBorders>
          </w:tcPr>
          <w:p w14:paraId="478EA762"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10</w:t>
            </w:r>
          </w:p>
        </w:tc>
        <w:tc>
          <w:tcPr>
            <w:tcW w:w="3288" w:type="dxa"/>
            <w:tcBorders>
              <w:bottom w:val="single" w:sz="4" w:space="0" w:color="auto"/>
            </w:tcBorders>
          </w:tcPr>
          <w:p w14:paraId="46B82442" w14:textId="77777777"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t>Elucidate the advancements in renewable energy over the previous decade and the obstacles confronting the Togolese government.</w:t>
            </w:r>
          </w:p>
        </w:tc>
        <w:tc>
          <w:tcPr>
            <w:tcW w:w="1187" w:type="dxa"/>
            <w:tcBorders>
              <w:bottom w:val="single" w:sz="4" w:space="0" w:color="auto"/>
            </w:tcBorders>
          </w:tcPr>
          <w:p w14:paraId="2153C0A9" w14:textId="23F9A041" w:rsidR="00646F30" w:rsidRPr="00892158" w:rsidRDefault="00646F30" w:rsidP="00953AE5">
            <w:pPr>
              <w:ind w:left="0" w:hanging="2"/>
              <w:jc w:val="both"/>
              <w:rPr>
                <w:rFonts w:ascii="Arial" w:hAnsi="Arial" w:cs="Arial"/>
                <w:sz w:val="18"/>
                <w:szCs w:val="18"/>
              </w:rPr>
            </w:pPr>
            <w:r w:rsidRPr="00892158">
              <w:rPr>
                <w:rFonts w:ascii="Arial" w:hAnsi="Arial" w:cs="Arial"/>
                <w:sz w:val="18"/>
                <w:szCs w:val="18"/>
              </w:rPr>
              <w:fldChar w:fldCharType="begin" w:fldLock="1"/>
            </w:r>
            <w:r w:rsidR="00253AC2">
              <w:rPr>
                <w:rFonts w:ascii="Arial" w:hAnsi="Arial" w:cs="Arial"/>
                <w:sz w:val="18"/>
                <w:szCs w:val="18"/>
              </w:rPr>
              <w:instrText>ADDIN CSL_CITATION {"citationItems":[{"id":"ITEM-1","itemData":{"author":[{"dropping-particle":"","family":"Kansongue","given":"Nanimpo","non-dropping-particle":"","parse-names":false,"suffix":""},{"dropping-particle":"","family":"Njuguna","given":"James","non-dropping-particle":"","parse-names":false,"suffix":""},{"dropping-particle":"","family":"Vertigans","given":"Stephen","non-dropping-particle":"","parse-names":false,"suffix":""}],"id":"ITEM-1","issued":{"date-parts":[["0"]]},"title":"A PESTEL and SWOT impact analysis on renewable energy development in Togo","type":"article-journal"},"uris":["http://www.mendeley.com/documents/?uuid=1b80d799-997e-4b29-8d39-b6dc7dd378eb"]}],"mendeley":{"formattedCitation":"[48]","plainTextFormattedCitation":"[48]","previouslyFormattedCitation":"[48]"},"properties":{"noteIndex":0},"schema":"https://github.com/citation-style-language/schema/raw/master/csl-citation.json"}</w:instrText>
            </w:r>
            <w:r w:rsidRPr="00892158">
              <w:rPr>
                <w:rFonts w:ascii="Arial" w:hAnsi="Arial" w:cs="Arial"/>
                <w:sz w:val="18"/>
                <w:szCs w:val="18"/>
              </w:rPr>
              <w:fldChar w:fldCharType="separate"/>
            </w:r>
            <w:r w:rsidRPr="00892158">
              <w:rPr>
                <w:rFonts w:ascii="Arial" w:hAnsi="Arial" w:cs="Arial"/>
                <w:noProof/>
                <w:sz w:val="18"/>
                <w:szCs w:val="18"/>
              </w:rPr>
              <w:t>[48]</w:t>
            </w:r>
            <w:r w:rsidRPr="00892158">
              <w:rPr>
                <w:rFonts w:ascii="Arial" w:hAnsi="Arial" w:cs="Arial"/>
                <w:sz w:val="18"/>
                <w:szCs w:val="18"/>
              </w:rPr>
              <w:fldChar w:fldCharType="end"/>
            </w:r>
          </w:p>
        </w:tc>
      </w:tr>
    </w:tbl>
    <w:p w14:paraId="42DBD6CE" w14:textId="21C86C45" w:rsidR="00646F30" w:rsidRDefault="00646F30" w:rsidP="00953AE5">
      <w:pPr>
        <w:spacing w:after="0" w:line="240" w:lineRule="auto"/>
        <w:ind w:left="0" w:hanging="2"/>
        <w:jc w:val="both"/>
        <w:rPr>
          <w:rFonts w:ascii="Arial" w:eastAsia="Arial" w:hAnsi="Arial" w:cs="Arial"/>
          <w:sz w:val="20"/>
          <w:szCs w:val="20"/>
        </w:rPr>
      </w:pPr>
    </w:p>
    <w:p w14:paraId="20EE53E2" w14:textId="77777777" w:rsidR="00646F30" w:rsidRDefault="00646F30" w:rsidP="00953AE5">
      <w:pPr>
        <w:spacing w:after="0" w:line="240" w:lineRule="auto"/>
        <w:ind w:left="0" w:hanging="2"/>
        <w:jc w:val="both"/>
        <w:rPr>
          <w:rFonts w:ascii="Arial" w:eastAsia="Arial" w:hAnsi="Arial" w:cs="Arial"/>
          <w:sz w:val="20"/>
          <w:szCs w:val="20"/>
        </w:rPr>
      </w:pPr>
    </w:p>
    <w:p w14:paraId="588B996D" w14:textId="5B5035C5" w:rsidR="00646F30" w:rsidRPr="00892158" w:rsidRDefault="00646F30" w:rsidP="00953AE5">
      <w:pPr>
        <w:spacing w:after="0" w:line="240" w:lineRule="auto"/>
        <w:ind w:left="0" w:hanging="2"/>
        <w:jc w:val="both"/>
        <w:rPr>
          <w:rFonts w:ascii="Arial" w:hAnsi="Arial" w:cs="Arial"/>
          <w:sz w:val="20"/>
          <w:szCs w:val="20"/>
        </w:rPr>
      </w:pPr>
      <w:r w:rsidRPr="00892158">
        <w:rPr>
          <w:rFonts w:ascii="Arial" w:hAnsi="Arial" w:cs="Arial"/>
          <w:sz w:val="20"/>
          <w:szCs w:val="20"/>
        </w:rPr>
        <w:t>However, biodiesel production has different characteristics when fac</w:t>
      </w:r>
      <w:r>
        <w:rPr>
          <w:rFonts w:ascii="Arial" w:hAnsi="Arial" w:cs="Arial"/>
          <w:sz w:val="20"/>
          <w:szCs w:val="20"/>
        </w:rPr>
        <w:t>ing various internal and external condition</w:t>
      </w:r>
      <w:r w:rsidRPr="00892158">
        <w:rPr>
          <w:rFonts w:ascii="Arial" w:hAnsi="Arial" w:cs="Arial"/>
          <w:sz w:val="20"/>
          <w:szCs w:val="20"/>
        </w:rPr>
        <w:t xml:space="preserve">s. A SWOT analysis is conducted to evaluate the possibilities and risks in the global external environment, as well as the strengths and weaknesses of the project. The next steps of the analysis are as follows </w:t>
      </w:r>
      <w:r w:rsidRPr="00892158">
        <w:rPr>
          <w:rFonts w:ascii="Arial" w:hAnsi="Arial" w:cs="Arial"/>
          <w:sz w:val="20"/>
          <w:szCs w:val="20"/>
        </w:rPr>
        <w:fldChar w:fldCharType="begin" w:fldLock="1"/>
      </w:r>
      <w:r w:rsidR="00253AC2">
        <w:rPr>
          <w:rFonts w:ascii="Arial" w:hAnsi="Arial" w:cs="Arial"/>
          <w:sz w:val="20"/>
          <w:szCs w:val="20"/>
        </w:rPr>
        <w:instrText>ADDIN CSL_CITATION {"citationItems":[{"id":"ITEM-1","itemData":{"author":[{"dropping-particle":"","family":"Rimantho","given":"Dino","non-dropping-particle":"","parse-names":false,"suffix":""},{"dropping-particle":"","family":"Ariyanti","given":"Dita","non-dropping-particle":"","parse-names":false,"suffix":""},{"dropping-particle":"","family":"Maryana","given":"Roni","non-dropping-particle":"","parse-names":false,"suffix":""}],"id":"ITEM-1","issue":"2","issued":{"date-parts":[["2024"]]},"page":"294-312","title":"Decision Making : Applications in Management and Engineering Environmentally Friendly Strategies for Recycling Agricultural Waste to Produce Renewable Energy : A Case Study of Durian Fruit","type":"article-journal","volume":"7"},"uris":["http://www.mendeley.com/documents/?uuid=753c701f-b258-4628-97ac-cff769b2e615"]}],"mendeley":{"formattedCitation":"[29]","plainTextFormattedCitation":"[29]","previouslyFormattedCitation":"[29]"},"properties":{"noteIndex":0},"schema":"https://github.com/citation-style-language/schema/raw/master/csl-citation.json"}</w:instrText>
      </w:r>
      <w:r w:rsidRPr="00892158">
        <w:rPr>
          <w:rFonts w:ascii="Arial" w:hAnsi="Arial" w:cs="Arial"/>
          <w:sz w:val="20"/>
          <w:szCs w:val="20"/>
        </w:rPr>
        <w:fldChar w:fldCharType="separate"/>
      </w:r>
      <w:r w:rsidRPr="00892158">
        <w:rPr>
          <w:rFonts w:ascii="Arial" w:hAnsi="Arial" w:cs="Arial"/>
          <w:noProof/>
          <w:sz w:val="20"/>
          <w:szCs w:val="20"/>
        </w:rPr>
        <w:t>[29]</w:t>
      </w:r>
      <w:r w:rsidRPr="00892158">
        <w:rPr>
          <w:rFonts w:ascii="Arial" w:hAnsi="Arial" w:cs="Arial"/>
          <w:sz w:val="20"/>
          <w:szCs w:val="20"/>
        </w:rPr>
        <w:fldChar w:fldCharType="end"/>
      </w:r>
      <w:r w:rsidRPr="00892158">
        <w:rPr>
          <w:rFonts w:ascii="Arial" w:hAnsi="Arial" w:cs="Arial"/>
          <w:sz w:val="20"/>
          <w:szCs w:val="20"/>
        </w:rPr>
        <w:t>:</w:t>
      </w:r>
    </w:p>
    <w:p w14:paraId="7AA57523" w14:textId="62008575" w:rsidR="00646F30" w:rsidRDefault="00646F30" w:rsidP="00953AE5">
      <w:pPr>
        <w:pStyle w:val="ListParagraph"/>
        <w:numPr>
          <w:ilvl w:val="0"/>
          <w:numId w:val="3"/>
        </w:numPr>
        <w:suppressAutoHyphens w:val="0"/>
        <w:spacing w:after="0" w:line="240" w:lineRule="auto"/>
        <w:ind w:leftChars="0" w:firstLineChars="0"/>
        <w:textDirection w:val="lrTb"/>
        <w:textAlignment w:val="auto"/>
        <w:outlineLvl w:val="9"/>
        <w:rPr>
          <w:rFonts w:ascii="Arial" w:eastAsia="Times New Roman" w:hAnsi="Arial" w:cs="Arial"/>
          <w:sz w:val="20"/>
          <w:szCs w:val="20"/>
          <w:lang w:eastAsia="en-ID"/>
        </w:rPr>
      </w:pPr>
      <w:r w:rsidRPr="00892158">
        <w:rPr>
          <w:rFonts w:ascii="Arial" w:eastAsia="Times New Roman" w:hAnsi="Arial" w:cs="Arial"/>
          <w:sz w:val="20"/>
          <w:szCs w:val="20"/>
          <w:lang w:eastAsia="en-ID"/>
        </w:rPr>
        <w:t>Determining the internal production parameters for bioenergy in compliance with the predetermined development goals. This encompasses advantageous or disadvantageous factors such as land accessibility, technological appropriateness, and economic viability.</w:t>
      </w:r>
    </w:p>
    <w:p w14:paraId="2F4A6173" w14:textId="77777777" w:rsidR="00646F30" w:rsidRDefault="00646F30" w:rsidP="00953AE5">
      <w:pPr>
        <w:pStyle w:val="ListParagraph"/>
        <w:numPr>
          <w:ilvl w:val="0"/>
          <w:numId w:val="3"/>
        </w:numPr>
        <w:suppressAutoHyphens w:val="0"/>
        <w:spacing w:after="0" w:line="240" w:lineRule="auto"/>
        <w:ind w:leftChars="0" w:firstLineChars="0"/>
        <w:textDirection w:val="lrTb"/>
        <w:textAlignment w:val="auto"/>
        <w:outlineLvl w:val="9"/>
        <w:rPr>
          <w:rFonts w:ascii="Arial" w:eastAsia="Times New Roman" w:hAnsi="Arial" w:cs="Arial"/>
          <w:sz w:val="20"/>
          <w:szCs w:val="20"/>
          <w:lang w:eastAsia="en-ID"/>
        </w:rPr>
      </w:pPr>
      <w:r w:rsidRPr="00646F30">
        <w:rPr>
          <w:rFonts w:ascii="Arial" w:eastAsia="Times New Roman" w:hAnsi="Arial" w:cs="Arial"/>
          <w:sz w:val="20"/>
          <w:szCs w:val="20"/>
          <w:lang w:eastAsia="en-ID"/>
        </w:rPr>
        <w:t>Identification of external elements that may affect the outcome of BSF Maggot-based bioenergy.</w:t>
      </w:r>
    </w:p>
    <w:p w14:paraId="22FAFD31" w14:textId="097574D6" w:rsidR="00646F30" w:rsidRDefault="00646F30" w:rsidP="00953AE5">
      <w:pPr>
        <w:pStyle w:val="ListParagraph"/>
        <w:numPr>
          <w:ilvl w:val="0"/>
          <w:numId w:val="3"/>
        </w:numPr>
        <w:suppressAutoHyphens w:val="0"/>
        <w:spacing w:after="0" w:line="240" w:lineRule="auto"/>
        <w:ind w:leftChars="0" w:firstLineChars="0"/>
        <w:textDirection w:val="lrTb"/>
        <w:textAlignment w:val="auto"/>
        <w:outlineLvl w:val="9"/>
        <w:rPr>
          <w:rFonts w:ascii="Arial" w:eastAsia="Times New Roman" w:hAnsi="Arial" w:cs="Arial"/>
          <w:sz w:val="20"/>
          <w:szCs w:val="20"/>
          <w:lang w:eastAsia="en-ID"/>
        </w:rPr>
      </w:pPr>
      <w:r w:rsidRPr="00646F30">
        <w:rPr>
          <w:rFonts w:ascii="Arial" w:eastAsia="Times New Roman" w:hAnsi="Arial" w:cs="Arial"/>
          <w:sz w:val="20"/>
          <w:szCs w:val="20"/>
          <w:lang w:eastAsia="en-ID"/>
        </w:rPr>
        <w:t xml:space="preserve">Detailing the intrinsic factors that have been identified. Evaluating aspects may increase or decrease the </w:t>
      </w:r>
      <w:r>
        <w:rPr>
          <w:rFonts w:ascii="Arial" w:eastAsia="Times New Roman" w:hAnsi="Arial" w:cs="Arial"/>
          <w:sz w:val="20"/>
          <w:szCs w:val="20"/>
          <w:lang w:eastAsia="en-ID"/>
        </w:rPr>
        <w:t>project's competitiveness</w:t>
      </w:r>
      <w:r w:rsidRPr="00646F30">
        <w:rPr>
          <w:rFonts w:ascii="Arial" w:eastAsia="Times New Roman" w:hAnsi="Arial" w:cs="Arial"/>
          <w:sz w:val="20"/>
          <w:szCs w:val="20"/>
          <w:lang w:eastAsia="en-ID"/>
        </w:rPr>
        <w:t xml:space="preserve"> relative to competing options. Characterization of the external elements indicated—evaluation of issues that may pose dangers or opportunities for the pro</w:t>
      </w:r>
      <w:r>
        <w:rPr>
          <w:rFonts w:ascii="Arial" w:eastAsia="Times New Roman" w:hAnsi="Arial" w:cs="Arial"/>
          <w:sz w:val="20"/>
          <w:szCs w:val="20"/>
          <w:lang w:eastAsia="en-ID"/>
        </w:rPr>
        <w:t>ject's progress</w:t>
      </w:r>
      <w:r w:rsidRPr="00646F30">
        <w:rPr>
          <w:rFonts w:ascii="Arial" w:eastAsia="Times New Roman" w:hAnsi="Arial" w:cs="Arial"/>
          <w:sz w:val="20"/>
          <w:szCs w:val="20"/>
          <w:lang w:eastAsia="en-ID"/>
        </w:rPr>
        <w:t>.</w:t>
      </w:r>
    </w:p>
    <w:p w14:paraId="3928196E" w14:textId="2289DEA0" w:rsidR="00646F30" w:rsidRDefault="00646F30" w:rsidP="00953AE5">
      <w:pPr>
        <w:pStyle w:val="ListParagraph"/>
        <w:numPr>
          <w:ilvl w:val="0"/>
          <w:numId w:val="3"/>
        </w:numPr>
        <w:suppressAutoHyphens w:val="0"/>
        <w:spacing w:after="0" w:line="240" w:lineRule="auto"/>
        <w:ind w:leftChars="0" w:firstLineChars="0"/>
        <w:textDirection w:val="lrTb"/>
        <w:textAlignment w:val="auto"/>
        <w:outlineLvl w:val="9"/>
        <w:rPr>
          <w:rFonts w:ascii="Arial" w:eastAsia="Times New Roman" w:hAnsi="Arial" w:cs="Arial"/>
          <w:sz w:val="20"/>
          <w:szCs w:val="20"/>
          <w:lang w:eastAsia="en-ID"/>
        </w:rPr>
      </w:pPr>
      <w:r w:rsidRPr="00646F30">
        <w:rPr>
          <w:rFonts w:ascii="Arial" w:eastAsia="Times New Roman" w:hAnsi="Arial" w:cs="Arial"/>
          <w:sz w:val="20"/>
          <w:szCs w:val="20"/>
          <w:lang w:eastAsia="en-ID"/>
        </w:rPr>
        <w:t xml:space="preserve">Improvement of internal elements, such as </w:t>
      </w:r>
      <w:r>
        <w:rPr>
          <w:rFonts w:ascii="Arial" w:eastAsia="Times New Roman" w:hAnsi="Arial" w:cs="Arial"/>
          <w:sz w:val="20"/>
          <w:szCs w:val="20"/>
          <w:lang w:eastAsia="en-ID"/>
        </w:rPr>
        <w:t>selecting</w:t>
      </w:r>
      <w:r w:rsidRPr="00646F30">
        <w:rPr>
          <w:rFonts w:ascii="Arial" w:eastAsia="Times New Roman" w:hAnsi="Arial" w:cs="Arial"/>
          <w:sz w:val="20"/>
          <w:szCs w:val="20"/>
          <w:lang w:eastAsia="en-ID"/>
        </w:rPr>
        <w:t xml:space="preserve"> suitable Maggot BSF for cultivation, strengthens the project, in addition to external factors that may provide opportunities for it—proposed measures to highlight the </w:t>
      </w:r>
      <w:r>
        <w:rPr>
          <w:rFonts w:ascii="Arial" w:eastAsia="Times New Roman" w:hAnsi="Arial" w:cs="Arial"/>
          <w:sz w:val="20"/>
          <w:szCs w:val="20"/>
          <w:lang w:eastAsia="en-ID"/>
        </w:rPr>
        <w:t>project's strengths</w:t>
      </w:r>
      <w:r w:rsidRPr="00646F30">
        <w:rPr>
          <w:rFonts w:ascii="Arial" w:eastAsia="Times New Roman" w:hAnsi="Arial" w:cs="Arial"/>
          <w:sz w:val="20"/>
          <w:szCs w:val="20"/>
          <w:lang w:eastAsia="en-ID"/>
        </w:rPr>
        <w:t xml:space="preserve"> and effectively exploit the identified prospects.</w:t>
      </w:r>
    </w:p>
    <w:p w14:paraId="10D051A6" w14:textId="5996B5C8" w:rsidR="00646F30" w:rsidRPr="00646F30" w:rsidRDefault="00646F30" w:rsidP="00953AE5">
      <w:pPr>
        <w:pStyle w:val="ListParagraph"/>
        <w:numPr>
          <w:ilvl w:val="0"/>
          <w:numId w:val="3"/>
        </w:numPr>
        <w:suppressAutoHyphens w:val="0"/>
        <w:spacing w:after="0" w:line="240" w:lineRule="auto"/>
        <w:ind w:leftChars="0" w:firstLineChars="0"/>
        <w:textDirection w:val="lrTb"/>
        <w:textAlignment w:val="auto"/>
        <w:outlineLvl w:val="9"/>
        <w:rPr>
          <w:rFonts w:ascii="Arial" w:eastAsia="Times New Roman" w:hAnsi="Arial" w:cs="Arial"/>
          <w:sz w:val="20"/>
          <w:szCs w:val="20"/>
          <w:lang w:eastAsia="en-ID"/>
        </w:rPr>
      </w:pPr>
      <w:r w:rsidRPr="00646F30">
        <w:rPr>
          <w:rFonts w:ascii="Arial" w:eastAsia="Times New Roman" w:hAnsi="Arial" w:cs="Arial"/>
          <w:sz w:val="20"/>
          <w:szCs w:val="20"/>
          <w:lang w:eastAsia="en-ID"/>
        </w:rPr>
        <w:t xml:space="preserve">Analysis of internal variables that weaken the project and external factors that may </w:t>
      </w:r>
      <w:r>
        <w:rPr>
          <w:rFonts w:ascii="Arial" w:eastAsia="Times New Roman" w:hAnsi="Arial" w:cs="Arial"/>
          <w:sz w:val="20"/>
          <w:szCs w:val="20"/>
          <w:lang w:eastAsia="en-ID"/>
        </w:rPr>
        <w:t>harm</w:t>
      </w:r>
      <w:r w:rsidRPr="00646F30">
        <w:rPr>
          <w:rFonts w:ascii="Arial" w:eastAsia="Times New Roman" w:hAnsi="Arial" w:cs="Arial"/>
          <w:sz w:val="20"/>
          <w:szCs w:val="20"/>
          <w:lang w:eastAsia="en-ID"/>
        </w:rPr>
        <w:t xml:space="preserve"> its progress. Proposed actions to address project deficiencies and mitigate identified hazards.</w:t>
      </w:r>
    </w:p>
    <w:p w14:paraId="22D8FA6A" w14:textId="4E8017DD" w:rsidR="00646F30" w:rsidRPr="00892158" w:rsidRDefault="00646F30"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The factors to be analyzed in the SWOT method are shown in Table 2. These factors are input from </w:t>
      </w:r>
      <w:r w:rsidRPr="00892158">
        <w:rPr>
          <w:rFonts w:ascii="Arial" w:hAnsi="Arial" w:cs="Arial"/>
          <w:sz w:val="20"/>
          <w:szCs w:val="20"/>
        </w:rPr>
        <w:t>expert respondents w</w:t>
      </w:r>
      <w:r>
        <w:rPr>
          <w:rFonts w:ascii="Arial" w:hAnsi="Arial" w:cs="Arial"/>
          <w:sz w:val="20"/>
          <w:szCs w:val="20"/>
        </w:rPr>
        <w:t>ith biodiesel renewable energy capabilities</w:t>
      </w:r>
      <w:r w:rsidRPr="00892158">
        <w:rPr>
          <w:rFonts w:ascii="Arial" w:hAnsi="Arial" w:cs="Arial"/>
          <w:sz w:val="20"/>
          <w:szCs w:val="20"/>
        </w:rPr>
        <w:t xml:space="preserve">. The expert respondents </w:t>
      </w:r>
      <w:r>
        <w:rPr>
          <w:rFonts w:ascii="Arial" w:hAnsi="Arial" w:cs="Arial"/>
          <w:sz w:val="20"/>
          <w:szCs w:val="20"/>
        </w:rPr>
        <w:t>include academics, energy resour</w:t>
      </w:r>
      <w:r w:rsidRPr="00892158">
        <w:rPr>
          <w:rFonts w:ascii="Arial" w:hAnsi="Arial" w:cs="Arial"/>
          <w:sz w:val="20"/>
          <w:szCs w:val="20"/>
        </w:rPr>
        <w:t>ces, environmental services, and BSF Maggot cultivators.</w:t>
      </w:r>
    </w:p>
    <w:p w14:paraId="7FFED44E" w14:textId="77777777" w:rsidR="00646F30" w:rsidRPr="00892158" w:rsidRDefault="00646F30" w:rsidP="00953AE5">
      <w:pPr>
        <w:spacing w:line="240" w:lineRule="auto"/>
        <w:ind w:left="0" w:hanging="2"/>
        <w:jc w:val="both"/>
        <w:rPr>
          <w:rFonts w:ascii="Arial" w:hAnsi="Arial" w:cs="Arial"/>
          <w:sz w:val="20"/>
          <w:szCs w:val="20"/>
        </w:rPr>
      </w:pPr>
      <w:r w:rsidRPr="00892158">
        <w:rPr>
          <w:rFonts w:ascii="Arial" w:hAnsi="Arial" w:cs="Arial"/>
          <w:sz w:val="20"/>
          <w:szCs w:val="20"/>
        </w:rPr>
        <w:t>Table 2. Internal and external factors for the development of BSF Maggots as biodiesel</w:t>
      </w:r>
    </w:p>
    <w:tbl>
      <w:tblPr>
        <w:tblStyle w:val="TableGrid"/>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tblGrid>
      <w:tr w:rsidR="00646F30" w:rsidRPr="00646F30" w14:paraId="5A2B85E2" w14:textId="77777777" w:rsidTr="00646F30">
        <w:trPr>
          <w:trHeight w:val="288"/>
        </w:trPr>
        <w:tc>
          <w:tcPr>
            <w:tcW w:w="2127" w:type="dxa"/>
            <w:tcBorders>
              <w:top w:val="single" w:sz="4" w:space="0" w:color="auto"/>
              <w:bottom w:val="single" w:sz="4" w:space="0" w:color="auto"/>
            </w:tcBorders>
            <w:noWrap/>
            <w:hideMark/>
          </w:tcPr>
          <w:p w14:paraId="6E23AD31" w14:textId="77777777" w:rsidR="00646F30" w:rsidRPr="00646F30" w:rsidRDefault="00646F30" w:rsidP="00953AE5">
            <w:pPr>
              <w:ind w:left="0" w:hanging="2"/>
              <w:rPr>
                <w:rFonts w:ascii="Arial" w:eastAsia="Times New Roman" w:hAnsi="Arial" w:cs="Arial"/>
                <w:b/>
                <w:bCs/>
                <w:color w:val="000000"/>
                <w:sz w:val="16"/>
                <w:szCs w:val="16"/>
              </w:rPr>
            </w:pPr>
            <w:r w:rsidRPr="00646F30">
              <w:rPr>
                <w:rFonts w:ascii="Arial" w:eastAsia="Times New Roman" w:hAnsi="Arial" w:cs="Arial"/>
                <w:b/>
                <w:sz w:val="16"/>
                <w:szCs w:val="16"/>
              </w:rPr>
              <w:t xml:space="preserve"> </w:t>
            </w:r>
            <w:r w:rsidRPr="00646F30">
              <w:rPr>
                <w:rFonts w:ascii="Arial" w:eastAsia="Times New Roman" w:hAnsi="Arial" w:cs="Arial"/>
                <w:b/>
                <w:bCs/>
                <w:color w:val="000000"/>
                <w:sz w:val="16"/>
                <w:szCs w:val="16"/>
              </w:rPr>
              <w:t>Internal Factor</w:t>
            </w:r>
          </w:p>
        </w:tc>
        <w:tc>
          <w:tcPr>
            <w:tcW w:w="2268" w:type="dxa"/>
            <w:tcBorders>
              <w:top w:val="single" w:sz="4" w:space="0" w:color="auto"/>
              <w:bottom w:val="single" w:sz="4" w:space="0" w:color="auto"/>
            </w:tcBorders>
          </w:tcPr>
          <w:p w14:paraId="69B8308D" w14:textId="77777777" w:rsidR="00646F30" w:rsidRPr="00646F30" w:rsidRDefault="00646F30" w:rsidP="00953AE5">
            <w:pPr>
              <w:ind w:left="0" w:hanging="2"/>
              <w:rPr>
                <w:rFonts w:ascii="Arial" w:eastAsia="Times New Roman" w:hAnsi="Arial" w:cs="Arial"/>
                <w:b/>
                <w:sz w:val="16"/>
                <w:szCs w:val="16"/>
              </w:rPr>
            </w:pPr>
            <w:r w:rsidRPr="00646F30">
              <w:rPr>
                <w:rFonts w:ascii="Arial" w:eastAsia="Times New Roman" w:hAnsi="Arial" w:cs="Arial"/>
                <w:b/>
                <w:bCs/>
                <w:color w:val="000000"/>
                <w:sz w:val="16"/>
                <w:szCs w:val="16"/>
              </w:rPr>
              <w:t>External Factors</w:t>
            </w:r>
          </w:p>
        </w:tc>
      </w:tr>
      <w:tr w:rsidR="00646F30" w:rsidRPr="00646F30" w14:paraId="1F92FB81" w14:textId="77777777" w:rsidTr="00646F30">
        <w:trPr>
          <w:trHeight w:val="288"/>
        </w:trPr>
        <w:tc>
          <w:tcPr>
            <w:tcW w:w="2127" w:type="dxa"/>
            <w:tcBorders>
              <w:top w:val="single" w:sz="4" w:space="0" w:color="auto"/>
            </w:tcBorders>
            <w:noWrap/>
            <w:hideMark/>
          </w:tcPr>
          <w:p w14:paraId="52BC282F" w14:textId="77777777" w:rsidR="00646F30" w:rsidRPr="00646F30" w:rsidRDefault="00646F30" w:rsidP="00953AE5">
            <w:pPr>
              <w:ind w:left="0" w:hanging="2"/>
              <w:rPr>
                <w:rFonts w:ascii="Arial" w:eastAsia="Times New Roman" w:hAnsi="Arial" w:cs="Arial"/>
                <w:b/>
                <w:bCs/>
                <w:color w:val="000000"/>
                <w:sz w:val="16"/>
                <w:szCs w:val="16"/>
              </w:rPr>
            </w:pPr>
            <w:r w:rsidRPr="00646F30">
              <w:rPr>
                <w:rFonts w:ascii="Arial" w:eastAsia="Times New Roman" w:hAnsi="Arial" w:cs="Arial"/>
                <w:b/>
                <w:bCs/>
                <w:color w:val="000000"/>
                <w:sz w:val="16"/>
                <w:szCs w:val="16"/>
              </w:rPr>
              <w:t>Strength Factor</w:t>
            </w:r>
          </w:p>
        </w:tc>
        <w:tc>
          <w:tcPr>
            <w:tcW w:w="2268" w:type="dxa"/>
            <w:tcBorders>
              <w:top w:val="single" w:sz="4" w:space="0" w:color="auto"/>
            </w:tcBorders>
          </w:tcPr>
          <w:p w14:paraId="175E814C" w14:textId="77777777" w:rsidR="00646F30" w:rsidRPr="00646F30" w:rsidRDefault="00646F30" w:rsidP="00953AE5">
            <w:pPr>
              <w:ind w:left="0" w:hanging="2"/>
              <w:rPr>
                <w:rFonts w:ascii="Arial" w:eastAsia="Times New Roman" w:hAnsi="Arial" w:cs="Arial"/>
                <w:b/>
                <w:bCs/>
                <w:color w:val="000000"/>
                <w:sz w:val="16"/>
                <w:szCs w:val="16"/>
              </w:rPr>
            </w:pPr>
            <w:r w:rsidRPr="00646F30">
              <w:rPr>
                <w:rFonts w:ascii="Arial" w:eastAsia="Times New Roman" w:hAnsi="Arial" w:cs="Arial"/>
                <w:b/>
                <w:bCs/>
                <w:color w:val="000000"/>
                <w:sz w:val="16"/>
                <w:szCs w:val="16"/>
              </w:rPr>
              <w:t>Opportunity Factors</w:t>
            </w:r>
          </w:p>
        </w:tc>
      </w:tr>
      <w:tr w:rsidR="00646F30" w:rsidRPr="00646F30" w14:paraId="3F62341B" w14:textId="77777777" w:rsidTr="00646F30">
        <w:trPr>
          <w:trHeight w:val="288"/>
        </w:trPr>
        <w:tc>
          <w:tcPr>
            <w:tcW w:w="2127" w:type="dxa"/>
            <w:noWrap/>
            <w:hideMark/>
          </w:tcPr>
          <w:p w14:paraId="64C754DC"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The production process is simple and easy</w:t>
            </w:r>
          </w:p>
        </w:tc>
        <w:tc>
          <w:tcPr>
            <w:tcW w:w="2268" w:type="dxa"/>
          </w:tcPr>
          <w:p w14:paraId="4E0F6353"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Wide open market demand for biodiesel use</w:t>
            </w:r>
          </w:p>
        </w:tc>
      </w:tr>
      <w:tr w:rsidR="00646F30" w:rsidRPr="00646F30" w14:paraId="17F30DB0" w14:textId="77777777" w:rsidTr="00646F30">
        <w:trPr>
          <w:trHeight w:val="288"/>
        </w:trPr>
        <w:tc>
          <w:tcPr>
            <w:tcW w:w="2127" w:type="dxa"/>
            <w:noWrap/>
            <w:hideMark/>
          </w:tcPr>
          <w:p w14:paraId="3575B831"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Strategic production location</w:t>
            </w:r>
          </w:p>
        </w:tc>
        <w:tc>
          <w:tcPr>
            <w:tcW w:w="2268" w:type="dxa"/>
          </w:tcPr>
          <w:p w14:paraId="0027F51D"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BSF maggots are easy to cultivate</w:t>
            </w:r>
          </w:p>
        </w:tc>
      </w:tr>
      <w:tr w:rsidR="00646F30" w:rsidRPr="00646F30" w14:paraId="2D65D5B5" w14:textId="77777777" w:rsidTr="00646F30">
        <w:trPr>
          <w:trHeight w:val="288"/>
        </w:trPr>
        <w:tc>
          <w:tcPr>
            <w:tcW w:w="2127" w:type="dxa"/>
            <w:noWrap/>
            <w:hideMark/>
          </w:tcPr>
          <w:p w14:paraId="6260DC99"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Good product quality because it complies with SNI standards</w:t>
            </w:r>
          </w:p>
        </w:tc>
        <w:tc>
          <w:tcPr>
            <w:tcW w:w="2268" w:type="dxa"/>
          </w:tcPr>
          <w:p w14:paraId="38FBC29D"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Becoming an environmentally friendly energy solution</w:t>
            </w:r>
          </w:p>
        </w:tc>
      </w:tr>
      <w:tr w:rsidR="00646F30" w:rsidRPr="00646F30" w14:paraId="4F37E3FC" w14:textId="77777777" w:rsidTr="00646F30">
        <w:trPr>
          <w:trHeight w:val="288"/>
        </w:trPr>
        <w:tc>
          <w:tcPr>
            <w:tcW w:w="2127" w:type="dxa"/>
            <w:noWrap/>
            <w:hideMark/>
          </w:tcPr>
          <w:p w14:paraId="36C43DF9"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Available Workforce</w:t>
            </w:r>
          </w:p>
        </w:tc>
        <w:tc>
          <w:tcPr>
            <w:tcW w:w="2268" w:type="dxa"/>
          </w:tcPr>
          <w:p w14:paraId="218A3C4C"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Increasing added value</w:t>
            </w:r>
          </w:p>
        </w:tc>
      </w:tr>
      <w:tr w:rsidR="00646F30" w:rsidRPr="00646F30" w14:paraId="66639D76" w14:textId="77777777" w:rsidTr="00646F30">
        <w:trPr>
          <w:trHeight w:val="288"/>
        </w:trPr>
        <w:tc>
          <w:tcPr>
            <w:tcW w:w="2127" w:type="dxa"/>
            <w:noWrap/>
            <w:hideMark/>
          </w:tcPr>
          <w:p w14:paraId="2E32131D"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Environmentally conscious</w:t>
            </w:r>
          </w:p>
        </w:tc>
        <w:tc>
          <w:tcPr>
            <w:tcW w:w="2268" w:type="dxa"/>
          </w:tcPr>
          <w:p w14:paraId="52140DD6"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Creating multiplier effects</w:t>
            </w:r>
          </w:p>
        </w:tc>
      </w:tr>
      <w:tr w:rsidR="00646F30" w:rsidRPr="00646F30" w14:paraId="18311740" w14:textId="77777777" w:rsidTr="00646F30">
        <w:trPr>
          <w:trHeight w:val="288"/>
        </w:trPr>
        <w:tc>
          <w:tcPr>
            <w:tcW w:w="2127" w:type="dxa"/>
            <w:noWrap/>
            <w:hideMark/>
          </w:tcPr>
          <w:p w14:paraId="169CA617"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Easy to apply technology.</w:t>
            </w:r>
          </w:p>
        </w:tc>
        <w:tc>
          <w:tcPr>
            <w:tcW w:w="2268" w:type="dxa"/>
          </w:tcPr>
          <w:p w14:paraId="129C7B41"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Alternative energy transition</w:t>
            </w:r>
          </w:p>
        </w:tc>
      </w:tr>
      <w:tr w:rsidR="00646F30" w:rsidRPr="00646F30" w14:paraId="31FCDC20" w14:textId="77777777" w:rsidTr="00646F30">
        <w:trPr>
          <w:trHeight w:val="288"/>
        </w:trPr>
        <w:tc>
          <w:tcPr>
            <w:tcW w:w="2127" w:type="dxa"/>
            <w:noWrap/>
            <w:hideMark/>
          </w:tcPr>
          <w:p w14:paraId="2E55B34A" w14:textId="77777777" w:rsidR="00646F30" w:rsidRPr="00646F30" w:rsidRDefault="00646F30" w:rsidP="00953AE5">
            <w:pPr>
              <w:ind w:left="0" w:hanging="2"/>
              <w:rPr>
                <w:rFonts w:ascii="Arial" w:eastAsia="Times New Roman" w:hAnsi="Arial" w:cs="Arial"/>
                <w:b/>
                <w:bCs/>
                <w:color w:val="000000"/>
                <w:sz w:val="16"/>
                <w:szCs w:val="16"/>
              </w:rPr>
            </w:pPr>
            <w:r w:rsidRPr="00646F30">
              <w:rPr>
                <w:rFonts w:ascii="Arial" w:eastAsia="Times New Roman" w:hAnsi="Arial" w:cs="Arial"/>
                <w:b/>
                <w:bCs/>
                <w:color w:val="000000"/>
                <w:sz w:val="16"/>
                <w:szCs w:val="16"/>
              </w:rPr>
              <w:t>Weakness Factors</w:t>
            </w:r>
          </w:p>
        </w:tc>
        <w:tc>
          <w:tcPr>
            <w:tcW w:w="2268" w:type="dxa"/>
          </w:tcPr>
          <w:p w14:paraId="28CBEAD6" w14:textId="77777777" w:rsidR="00646F30" w:rsidRPr="00646F30" w:rsidRDefault="00646F30" w:rsidP="00953AE5">
            <w:pPr>
              <w:ind w:left="0" w:hanging="2"/>
              <w:rPr>
                <w:rFonts w:ascii="Arial" w:eastAsia="Times New Roman" w:hAnsi="Arial" w:cs="Arial"/>
                <w:b/>
                <w:bCs/>
                <w:color w:val="000000"/>
                <w:sz w:val="16"/>
                <w:szCs w:val="16"/>
              </w:rPr>
            </w:pPr>
            <w:r w:rsidRPr="00646F30">
              <w:rPr>
                <w:rFonts w:ascii="Arial" w:eastAsia="Times New Roman" w:hAnsi="Arial" w:cs="Arial"/>
                <w:b/>
                <w:bCs/>
                <w:color w:val="000000"/>
                <w:sz w:val="16"/>
                <w:szCs w:val="16"/>
              </w:rPr>
              <w:t>Threat Factors</w:t>
            </w:r>
          </w:p>
        </w:tc>
      </w:tr>
      <w:tr w:rsidR="00646F30" w:rsidRPr="00646F30" w14:paraId="37144844" w14:textId="77777777" w:rsidTr="00646F30">
        <w:trPr>
          <w:trHeight w:val="288"/>
        </w:trPr>
        <w:tc>
          <w:tcPr>
            <w:tcW w:w="2127" w:type="dxa"/>
            <w:noWrap/>
            <w:hideMark/>
          </w:tcPr>
          <w:p w14:paraId="4C957CEF"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Production technology is not yet available for mass production</w:t>
            </w:r>
          </w:p>
        </w:tc>
        <w:tc>
          <w:tcPr>
            <w:tcW w:w="2268" w:type="dxa"/>
          </w:tcPr>
          <w:p w14:paraId="1DE6B757"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Changes in strategy and policy</w:t>
            </w:r>
          </w:p>
        </w:tc>
      </w:tr>
      <w:tr w:rsidR="00646F30" w:rsidRPr="00646F30" w14:paraId="331567CF" w14:textId="77777777" w:rsidTr="00646F30">
        <w:trPr>
          <w:trHeight w:val="288"/>
        </w:trPr>
        <w:tc>
          <w:tcPr>
            <w:tcW w:w="2127" w:type="dxa"/>
            <w:noWrap/>
            <w:hideMark/>
          </w:tcPr>
          <w:p w14:paraId="2025335E"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People still rely on fossil fuels.</w:t>
            </w:r>
          </w:p>
        </w:tc>
        <w:tc>
          <w:tcPr>
            <w:tcW w:w="2268" w:type="dxa"/>
          </w:tcPr>
          <w:p w14:paraId="4E306EBF"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High potential for conflict of interest</w:t>
            </w:r>
          </w:p>
        </w:tc>
      </w:tr>
      <w:tr w:rsidR="00646F30" w:rsidRPr="00646F30" w14:paraId="32C8B3A9" w14:textId="77777777" w:rsidTr="00646F30">
        <w:trPr>
          <w:trHeight w:val="288"/>
        </w:trPr>
        <w:tc>
          <w:tcPr>
            <w:tcW w:w="2127" w:type="dxa"/>
            <w:noWrap/>
            <w:hideMark/>
          </w:tcPr>
          <w:p w14:paraId="573C428B"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High investment costs</w:t>
            </w:r>
          </w:p>
        </w:tc>
        <w:tc>
          <w:tcPr>
            <w:tcW w:w="2268" w:type="dxa"/>
          </w:tcPr>
          <w:p w14:paraId="3DD1C03D"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Weak coordination between stakeholders</w:t>
            </w:r>
          </w:p>
        </w:tc>
      </w:tr>
      <w:tr w:rsidR="00646F30" w:rsidRPr="00646F30" w14:paraId="7B65B59D" w14:textId="77777777" w:rsidTr="00646F30">
        <w:trPr>
          <w:trHeight w:val="288"/>
        </w:trPr>
        <w:tc>
          <w:tcPr>
            <w:tcW w:w="2127" w:type="dxa"/>
            <w:tcBorders>
              <w:bottom w:val="single" w:sz="4" w:space="0" w:color="auto"/>
            </w:tcBorders>
            <w:noWrap/>
            <w:hideMark/>
          </w:tcPr>
          <w:p w14:paraId="58A12985"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Lack of pro-renewable energy policies</w:t>
            </w:r>
          </w:p>
        </w:tc>
        <w:tc>
          <w:tcPr>
            <w:tcW w:w="2268" w:type="dxa"/>
            <w:tcBorders>
              <w:bottom w:val="single" w:sz="4" w:space="0" w:color="auto"/>
            </w:tcBorders>
          </w:tcPr>
          <w:p w14:paraId="39C2A5F7" w14:textId="77777777" w:rsidR="00646F30" w:rsidRPr="00646F30" w:rsidRDefault="00646F30" w:rsidP="00953AE5">
            <w:pPr>
              <w:ind w:left="0" w:hanging="2"/>
              <w:rPr>
                <w:rFonts w:ascii="Arial" w:eastAsia="Times New Roman" w:hAnsi="Arial" w:cs="Arial"/>
                <w:color w:val="000000"/>
                <w:sz w:val="16"/>
                <w:szCs w:val="16"/>
              </w:rPr>
            </w:pPr>
            <w:r w:rsidRPr="00646F30">
              <w:rPr>
                <w:rFonts w:ascii="Arial" w:eastAsia="Times New Roman" w:hAnsi="Arial" w:cs="Arial"/>
                <w:color w:val="000000"/>
                <w:sz w:val="16"/>
                <w:szCs w:val="16"/>
              </w:rPr>
              <w:t>Weak financial support</w:t>
            </w:r>
          </w:p>
        </w:tc>
      </w:tr>
    </w:tbl>
    <w:p w14:paraId="07F553C8" w14:textId="77777777" w:rsidR="00646F30" w:rsidRPr="00892158" w:rsidRDefault="00646F30" w:rsidP="00953AE5">
      <w:pPr>
        <w:spacing w:line="240" w:lineRule="auto"/>
        <w:ind w:left="0" w:hanging="2"/>
        <w:jc w:val="both"/>
        <w:rPr>
          <w:rFonts w:ascii="Arial" w:hAnsi="Arial" w:cs="Arial"/>
          <w:sz w:val="20"/>
          <w:szCs w:val="20"/>
        </w:rPr>
      </w:pPr>
    </w:p>
    <w:p w14:paraId="05FCC95E" w14:textId="77777777" w:rsidR="00646F30" w:rsidRPr="00892158" w:rsidRDefault="00646F30"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The VIKOR approach, established by </w:t>
      </w:r>
      <w:proofErr w:type="spellStart"/>
      <w:r w:rsidRPr="00892158">
        <w:rPr>
          <w:rFonts w:ascii="Arial" w:hAnsi="Arial" w:cs="Arial"/>
          <w:sz w:val="20"/>
          <w:szCs w:val="20"/>
        </w:rPr>
        <w:t>Opricovic</w:t>
      </w:r>
      <w:proofErr w:type="spellEnd"/>
      <w:r w:rsidRPr="00892158">
        <w:rPr>
          <w:rFonts w:ascii="Arial" w:hAnsi="Arial" w:cs="Arial"/>
          <w:sz w:val="20"/>
          <w:szCs w:val="20"/>
        </w:rPr>
        <w:t xml:space="preserve"> in 1990, was used to rank the development of Maggot BSF-based biodiesel. Different fuel cell technologies have specific performance values, as shown by a review study by Akinyele et al. (2020). The performance values ​​</w:t>
      </w:r>
      <w:proofErr w:type="spellStart"/>
      <w:r w:rsidRPr="00892158">
        <w:rPr>
          <w:rFonts w:ascii="Arial" w:hAnsi="Arial" w:cs="Arial"/>
          <w:i/>
          <w:iCs/>
          <w:sz w:val="20"/>
          <w:szCs w:val="20"/>
        </w:rPr>
        <w:t>R</w:t>
      </w:r>
      <w:r w:rsidRPr="00892158">
        <w:rPr>
          <w:rFonts w:ascii="Arial" w:hAnsi="Arial" w:cs="Arial"/>
          <w:i/>
          <w:iCs/>
          <w:sz w:val="20"/>
          <w:szCs w:val="20"/>
          <w:vertAlign w:val="subscript"/>
        </w:rPr>
        <w:t>ij</w:t>
      </w:r>
      <w:proofErr w:type="spellEnd"/>
      <w:r w:rsidRPr="00892158">
        <w:rPr>
          <w:rFonts w:ascii="Arial" w:hAnsi="Arial" w:cs="Arial"/>
          <w:i/>
          <w:iCs/>
          <w:sz w:val="20"/>
          <w:szCs w:val="20"/>
        </w:rPr>
        <w:t xml:space="preserve"> </w:t>
      </w:r>
      <w:r w:rsidRPr="00892158">
        <w:rPr>
          <w:rFonts w:ascii="Arial" w:hAnsi="Arial" w:cs="Arial"/>
          <w:sz w:val="20"/>
          <w:szCs w:val="20"/>
        </w:rPr>
        <w:t>of the options related to specific criteria were analyzed to determine the minimum (</w:t>
      </w:r>
      <w:proofErr w:type="spellStart"/>
      <w:r w:rsidRPr="00892158">
        <w:rPr>
          <w:rFonts w:ascii="Arial" w:hAnsi="Arial" w:cs="Arial"/>
          <w:sz w:val="20"/>
          <w:szCs w:val="20"/>
        </w:rPr>
        <w:t>R</w:t>
      </w:r>
      <w:r w:rsidRPr="00892158">
        <w:rPr>
          <w:rFonts w:ascii="Arial" w:hAnsi="Arial" w:cs="Arial"/>
          <w:sz w:val="20"/>
          <w:szCs w:val="20"/>
          <w:vertAlign w:val="subscript"/>
        </w:rPr>
        <w:t>ij</w:t>
      </w:r>
      <w:proofErr w:type="spellEnd"/>
      <w:r w:rsidRPr="00892158">
        <w:rPr>
          <w:rFonts w:ascii="Arial" w:hAnsi="Arial" w:cs="Arial"/>
          <w:sz w:val="20"/>
          <w:szCs w:val="20"/>
        </w:rPr>
        <w:t>)min and maximum (</w:t>
      </w:r>
      <w:proofErr w:type="spellStart"/>
      <w:r w:rsidRPr="00892158">
        <w:rPr>
          <w:rFonts w:ascii="Arial" w:hAnsi="Arial" w:cs="Arial"/>
          <w:sz w:val="20"/>
          <w:szCs w:val="20"/>
        </w:rPr>
        <w:t>R</w:t>
      </w:r>
      <w:r w:rsidRPr="00892158">
        <w:rPr>
          <w:rFonts w:ascii="Arial" w:hAnsi="Arial" w:cs="Arial"/>
          <w:sz w:val="20"/>
          <w:szCs w:val="20"/>
          <w:vertAlign w:val="subscript"/>
        </w:rPr>
        <w:t>ij</w:t>
      </w:r>
      <w:proofErr w:type="spellEnd"/>
      <w:r w:rsidRPr="00892158">
        <w:rPr>
          <w:rFonts w:ascii="Arial" w:hAnsi="Arial" w:cs="Arial"/>
          <w:sz w:val="20"/>
          <w:szCs w:val="20"/>
        </w:rPr>
        <w:t xml:space="preserve">)max values ​​in the decision matrix. </w:t>
      </w:r>
    </w:p>
    <w:p w14:paraId="4DC5BDB1" w14:textId="54103D2A" w:rsidR="00646F30" w:rsidRDefault="00646F30" w:rsidP="00953AE5">
      <w:pPr>
        <w:pStyle w:val="ListParagraph"/>
        <w:numPr>
          <w:ilvl w:val="0"/>
          <w:numId w:val="5"/>
        </w:numPr>
        <w:suppressAutoHyphens w:val="0"/>
        <w:spacing w:after="0" w:line="240" w:lineRule="auto"/>
        <w:ind w:leftChars="0" w:firstLineChars="0"/>
        <w:jc w:val="both"/>
        <w:textDirection w:val="lrTb"/>
        <w:textAlignment w:val="auto"/>
        <w:outlineLvl w:val="9"/>
        <w:rPr>
          <w:rFonts w:ascii="Arial" w:hAnsi="Arial" w:cs="Arial"/>
          <w:sz w:val="20"/>
          <w:szCs w:val="20"/>
        </w:rPr>
      </w:pPr>
      <w:r w:rsidRPr="00892158">
        <w:rPr>
          <w:rFonts w:ascii="Arial" w:hAnsi="Arial" w:cs="Arial"/>
          <w:sz w:val="20"/>
          <w:szCs w:val="20"/>
        </w:rPr>
        <w:t>Pairwise comparisons of each criterion</w:t>
      </w:r>
    </w:p>
    <w:p w14:paraId="0E0758BD" w14:textId="77777777" w:rsidR="00646F30" w:rsidRPr="00892158" w:rsidRDefault="00646F30" w:rsidP="00953AE5">
      <w:pPr>
        <w:pStyle w:val="ListParagraph"/>
        <w:suppressAutoHyphens w:val="0"/>
        <w:spacing w:after="0" w:line="240" w:lineRule="auto"/>
        <w:ind w:leftChars="0" w:firstLineChars="0" w:firstLine="0"/>
        <w:jc w:val="both"/>
        <w:textDirection w:val="lrTb"/>
        <w:textAlignment w:val="auto"/>
        <w:outlineLvl w:val="9"/>
        <w:rPr>
          <w:rFonts w:ascii="Arial" w:hAnsi="Arial" w:cs="Arial"/>
          <w:sz w:val="20"/>
          <w:szCs w:val="20"/>
        </w:rPr>
      </w:pPr>
    </w:p>
    <w:p w14:paraId="360AFF07" w14:textId="77777777" w:rsidR="00646F30" w:rsidRPr="00892158" w:rsidRDefault="00000000" w:rsidP="00953AE5">
      <w:pPr>
        <w:pStyle w:val="ListParagraph"/>
        <w:spacing w:after="0" w:line="240" w:lineRule="auto"/>
        <w:ind w:leftChars="385" w:left="849" w:hanging="2"/>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r>
          <w:rPr>
            <w:rFonts w:ascii="Cambria Math" w:hAnsi="Cambria Math" w:cs="Arial"/>
            <w:sz w:val="20"/>
            <w:szCs w:val="20"/>
          </w:rPr>
          <m:t xml:space="preserve"> </m:t>
        </m:r>
        <m:nary>
          <m:naryPr>
            <m:chr m:val="∑"/>
            <m:limLoc m:val="undOvr"/>
            <m:supHide m:val="1"/>
            <m:ctrlPr>
              <w:rPr>
                <w:rFonts w:ascii="Cambria Math" w:hAnsi="Cambria Math" w:cs="Arial"/>
                <w:i/>
                <w:sz w:val="20"/>
                <w:szCs w:val="20"/>
              </w:rPr>
            </m:ctrlPr>
          </m:naryPr>
          <m:sub>
            <m:r>
              <w:rPr>
                <w:rFonts w:ascii="Cambria Math" w:hAnsi="Cambria Math" w:cs="Arial"/>
                <w:sz w:val="20"/>
                <w:szCs w:val="20"/>
              </w:rPr>
              <m:t>j</m:t>
            </m:r>
          </m:sub>
          <m:sup/>
          <m:e>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ij</m:t>
                </m:r>
              </m:sub>
            </m:sSub>
          </m:e>
        </m:nary>
      </m:oMath>
      <w:r w:rsidR="00646F30" w:rsidRPr="00892158">
        <w:rPr>
          <w:rFonts w:ascii="Arial" w:eastAsiaTheme="minorEastAsia" w:hAnsi="Arial" w:cs="Arial"/>
          <w:sz w:val="20"/>
          <w:szCs w:val="20"/>
        </w:rPr>
        <w:t xml:space="preserve">                     (1)</w:t>
      </w:r>
    </w:p>
    <w:p w14:paraId="5EE66D35" w14:textId="77777777" w:rsidR="00646F30" w:rsidRPr="00892158" w:rsidRDefault="00646F30" w:rsidP="00953AE5">
      <w:pPr>
        <w:pStyle w:val="ListParagraph"/>
        <w:spacing w:after="0" w:line="240" w:lineRule="auto"/>
        <w:ind w:left="0" w:hanging="2"/>
        <w:jc w:val="both"/>
        <w:rPr>
          <w:rFonts w:ascii="Arial" w:hAnsi="Arial" w:cs="Arial"/>
          <w:sz w:val="20"/>
          <w:szCs w:val="20"/>
        </w:rPr>
      </w:pPr>
    </w:p>
    <w:p w14:paraId="48F876E6" w14:textId="598E9681" w:rsidR="00646F30" w:rsidRPr="00892158" w:rsidRDefault="00646F30" w:rsidP="00953AE5">
      <w:pPr>
        <w:pStyle w:val="ListParagraph"/>
        <w:numPr>
          <w:ilvl w:val="0"/>
          <w:numId w:val="5"/>
        </w:numPr>
        <w:suppressAutoHyphens w:val="0"/>
        <w:spacing w:after="0" w:line="240" w:lineRule="auto"/>
        <w:ind w:leftChars="0" w:firstLineChars="0"/>
        <w:jc w:val="both"/>
        <w:textDirection w:val="lrTb"/>
        <w:textAlignment w:val="auto"/>
        <w:outlineLvl w:val="9"/>
        <w:rPr>
          <w:rFonts w:ascii="Arial" w:hAnsi="Arial" w:cs="Arial"/>
          <w:sz w:val="20"/>
          <w:szCs w:val="20"/>
        </w:rPr>
      </w:pPr>
      <w:r w:rsidRPr="00892158">
        <w:rPr>
          <w:rFonts w:ascii="Arial" w:hAnsi="Arial" w:cs="Arial"/>
          <w:sz w:val="20"/>
          <w:szCs w:val="20"/>
        </w:rPr>
        <w:t>The maximum and minimum values ​​were used in normalizing and linearizing the score set for each Maggot BSF-based biodiesel development factor according to the equation:</w:t>
      </w:r>
    </w:p>
    <w:p w14:paraId="7EF63DED" w14:textId="0DEA6E89" w:rsidR="00646F30" w:rsidRPr="00892158" w:rsidRDefault="00000000" w:rsidP="00953AE5">
      <w:pPr>
        <w:spacing w:after="0" w:line="240" w:lineRule="auto"/>
        <w:ind w:leftChars="385" w:left="849" w:hanging="2"/>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ij</m:t>
            </m:r>
          </m:sub>
        </m:sSub>
        <m:r>
          <w:rPr>
            <w:rFonts w:ascii="Cambria Math" w:hAnsi="Cambria Math" w:cs="Arial"/>
            <w:sz w:val="20"/>
            <w:szCs w:val="20"/>
          </w:rPr>
          <m:t xml:space="preserve">= </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ij</m:t>
                    </m:r>
                  </m:sub>
                </m:sSub>
              </m:num>
              <m:den>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den>
            </m:f>
          </m:e>
        </m:d>
      </m:oMath>
      <w:r w:rsidR="00646F30" w:rsidRPr="00892158">
        <w:rPr>
          <w:rFonts w:ascii="Arial" w:eastAsiaTheme="minorEastAsia" w:hAnsi="Arial" w:cs="Arial"/>
          <w:sz w:val="20"/>
          <w:szCs w:val="20"/>
        </w:rPr>
        <w:t xml:space="preserve">                    (2)</w:t>
      </w:r>
    </w:p>
    <w:p w14:paraId="47B2AE46" w14:textId="77777777" w:rsidR="00646F30" w:rsidRPr="00892158" w:rsidRDefault="00646F30" w:rsidP="00953AE5">
      <w:pPr>
        <w:spacing w:after="0" w:line="240" w:lineRule="auto"/>
        <w:ind w:left="0" w:hanging="2"/>
        <w:jc w:val="both"/>
        <w:rPr>
          <w:rFonts w:ascii="Arial" w:eastAsiaTheme="minorEastAsia" w:hAnsi="Arial" w:cs="Arial"/>
          <w:sz w:val="20"/>
          <w:szCs w:val="20"/>
        </w:rPr>
      </w:pPr>
    </w:p>
    <w:p w14:paraId="2CD492F7" w14:textId="76ABA6C3" w:rsidR="00646F30"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 xml:space="preserve">Where </w:t>
      </w:r>
      <w:proofErr w:type="spellStart"/>
      <w:r w:rsidRPr="00892158">
        <w:rPr>
          <w:rFonts w:ascii="Arial" w:eastAsiaTheme="minorEastAsia" w:hAnsi="Arial" w:cs="Arial"/>
          <w:i/>
          <w:iCs/>
          <w:sz w:val="20"/>
          <w:szCs w:val="20"/>
        </w:rPr>
        <w:t>R</w:t>
      </w:r>
      <w:r w:rsidRPr="00892158">
        <w:rPr>
          <w:rFonts w:ascii="Arial" w:eastAsiaTheme="minorEastAsia" w:hAnsi="Arial" w:cs="Arial"/>
          <w:i/>
          <w:iCs/>
          <w:sz w:val="20"/>
          <w:szCs w:val="20"/>
          <w:vertAlign w:val="subscript"/>
        </w:rPr>
        <w:t>ij</w:t>
      </w:r>
      <w:proofErr w:type="spellEnd"/>
      <w:r w:rsidRPr="00892158">
        <w:rPr>
          <w:rFonts w:ascii="Arial" w:eastAsiaTheme="minorEastAsia" w:hAnsi="Arial" w:cs="Arial"/>
          <w:i/>
          <w:iCs/>
          <w:sz w:val="20"/>
          <w:szCs w:val="20"/>
        </w:rPr>
        <w:t xml:space="preserve"> </w:t>
      </w:r>
      <w:r w:rsidRPr="00892158">
        <w:rPr>
          <w:rFonts w:ascii="Arial" w:eastAsiaTheme="minorEastAsia" w:hAnsi="Arial" w:cs="Arial"/>
          <w:sz w:val="20"/>
          <w:szCs w:val="20"/>
        </w:rPr>
        <w:t xml:space="preserve">and </w:t>
      </w:r>
      <w:proofErr w:type="spellStart"/>
      <w:r w:rsidRPr="00892158">
        <w:rPr>
          <w:rFonts w:ascii="Arial" w:eastAsiaTheme="minorEastAsia" w:hAnsi="Arial" w:cs="Arial"/>
          <w:i/>
          <w:iCs/>
          <w:sz w:val="20"/>
          <w:szCs w:val="20"/>
        </w:rPr>
        <w:t>X</w:t>
      </w:r>
      <w:r w:rsidRPr="00892158">
        <w:rPr>
          <w:rFonts w:ascii="Arial" w:eastAsiaTheme="minorEastAsia" w:hAnsi="Arial" w:cs="Arial"/>
          <w:i/>
          <w:iCs/>
          <w:sz w:val="20"/>
          <w:szCs w:val="20"/>
          <w:vertAlign w:val="subscript"/>
        </w:rPr>
        <w:t>ij</w:t>
      </w:r>
      <w:proofErr w:type="spellEnd"/>
      <w:r w:rsidRPr="00892158">
        <w:rPr>
          <w:rFonts w:ascii="Arial" w:eastAsiaTheme="minorEastAsia" w:hAnsi="Arial" w:cs="Arial"/>
          <w:i/>
          <w:iCs/>
          <w:sz w:val="20"/>
          <w:szCs w:val="20"/>
        </w:rPr>
        <w:t xml:space="preserve"> </w:t>
      </w:r>
      <w:r w:rsidRPr="00892158">
        <w:rPr>
          <w:rFonts w:ascii="Arial" w:eastAsiaTheme="minorEastAsia" w:hAnsi="Arial" w:cs="Arial"/>
          <w:sz w:val="20"/>
          <w:szCs w:val="20"/>
        </w:rPr>
        <w:t>(</w:t>
      </w:r>
      <w:proofErr w:type="spellStart"/>
      <w:r w:rsidRPr="00892158">
        <w:rPr>
          <w:rFonts w:ascii="Arial" w:eastAsiaTheme="minorEastAsia" w:hAnsi="Arial" w:cs="Arial"/>
          <w:sz w:val="20"/>
          <w:szCs w:val="20"/>
        </w:rPr>
        <w:t>i</w:t>
      </w:r>
      <w:proofErr w:type="spellEnd"/>
      <w:r w:rsidRPr="00892158">
        <w:rPr>
          <w:rFonts w:ascii="Arial" w:eastAsiaTheme="minorEastAsia" w:hAnsi="Arial" w:cs="Arial"/>
          <w:sz w:val="20"/>
          <w:szCs w:val="20"/>
        </w:rPr>
        <w:t>= 1,</w:t>
      </w:r>
      <w:proofErr w:type="gramStart"/>
      <w:r w:rsidRPr="00892158">
        <w:rPr>
          <w:rFonts w:ascii="Arial" w:eastAsiaTheme="minorEastAsia" w:hAnsi="Arial" w:cs="Arial"/>
          <w:sz w:val="20"/>
          <w:szCs w:val="20"/>
        </w:rPr>
        <w:t>2,3,…</w:t>
      </w:r>
      <w:proofErr w:type="gramEnd"/>
      <w:r w:rsidRPr="00892158">
        <w:rPr>
          <w:rFonts w:ascii="Arial" w:eastAsiaTheme="minorEastAsia" w:hAnsi="Arial" w:cs="Arial"/>
          <w:sz w:val="20"/>
          <w:szCs w:val="20"/>
        </w:rPr>
        <w:t>m and j= 1,</w:t>
      </w:r>
      <w:proofErr w:type="gramStart"/>
      <w:r w:rsidRPr="00892158">
        <w:rPr>
          <w:rFonts w:ascii="Arial" w:eastAsiaTheme="minorEastAsia" w:hAnsi="Arial" w:cs="Arial"/>
          <w:sz w:val="20"/>
          <w:szCs w:val="20"/>
        </w:rPr>
        <w:t>2,3,…</w:t>
      </w:r>
      <w:proofErr w:type="gramEnd"/>
      <w:r w:rsidRPr="00892158">
        <w:rPr>
          <w:rFonts w:ascii="Arial" w:eastAsiaTheme="minorEastAsia" w:hAnsi="Arial" w:cs="Arial"/>
          <w:sz w:val="20"/>
          <w:szCs w:val="20"/>
        </w:rPr>
        <w:t xml:space="preserve">n) are the elements of the decision-making matrix (alternative </w:t>
      </w:r>
      <w:proofErr w:type="spellStart"/>
      <w:r w:rsidRPr="00892158">
        <w:rPr>
          <w:rFonts w:ascii="Arial" w:eastAsiaTheme="minorEastAsia" w:hAnsi="Arial" w:cs="Arial"/>
          <w:sz w:val="20"/>
          <w:szCs w:val="20"/>
        </w:rPr>
        <w:t>i</w:t>
      </w:r>
      <w:proofErr w:type="spellEnd"/>
      <w:r w:rsidRPr="00892158">
        <w:rPr>
          <w:rFonts w:ascii="Arial" w:eastAsiaTheme="minorEastAsia" w:hAnsi="Arial" w:cs="Arial"/>
          <w:sz w:val="20"/>
          <w:szCs w:val="20"/>
        </w:rPr>
        <w:t xml:space="preserve"> to criterion j), and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oMath>
      <w:r w:rsidRPr="00892158">
        <w:rPr>
          <w:rFonts w:ascii="Arial" w:eastAsiaTheme="minorEastAsia" w:hAnsi="Arial" w:cs="Arial"/>
          <w:sz w:val="20"/>
          <w:szCs w:val="20"/>
        </w:rPr>
        <w:t xml:space="preserve"> is the best factor of </w:t>
      </w:r>
      <w:r w:rsidRPr="00892158">
        <w:rPr>
          <w:rFonts w:ascii="Arial" w:eastAsiaTheme="minorEastAsia" w:hAnsi="Arial" w:cs="Arial"/>
          <w:sz w:val="20"/>
          <w:szCs w:val="20"/>
        </w:rPr>
        <w:lastRenderedPageBreak/>
        <w:t xml:space="preserve">criterion j. </w:t>
      </w:r>
      <w:proofErr w:type="spellStart"/>
      <w:r w:rsidRPr="00892158">
        <w:rPr>
          <w:rFonts w:ascii="Arial" w:eastAsiaTheme="minorEastAsia" w:hAnsi="Arial" w:cs="Arial"/>
          <w:i/>
          <w:iCs/>
          <w:sz w:val="20"/>
          <w:szCs w:val="20"/>
        </w:rPr>
        <w:t>X</w:t>
      </w:r>
      <w:r w:rsidRPr="00892158">
        <w:rPr>
          <w:rFonts w:ascii="Arial" w:eastAsiaTheme="minorEastAsia" w:hAnsi="Arial" w:cs="Arial"/>
          <w:i/>
          <w:iCs/>
          <w:sz w:val="20"/>
          <w:szCs w:val="20"/>
          <w:vertAlign w:val="subscript"/>
        </w:rPr>
        <w:t>j</w:t>
      </w:r>
      <w:proofErr w:type="spellEnd"/>
      <w:r w:rsidRPr="00892158">
        <w:rPr>
          <w:rFonts w:ascii="Arial" w:eastAsiaTheme="minorEastAsia" w:hAnsi="Arial" w:cs="Arial"/>
          <w:i/>
          <w:iCs/>
          <w:sz w:val="20"/>
          <w:szCs w:val="20"/>
        </w:rPr>
        <w:t xml:space="preserve"> </w:t>
      </w:r>
      <w:r w:rsidRPr="00892158">
        <w:rPr>
          <w:rFonts w:ascii="Arial" w:eastAsiaTheme="minorEastAsia" w:hAnsi="Arial" w:cs="Arial"/>
          <w:sz w:val="20"/>
          <w:szCs w:val="20"/>
        </w:rPr>
        <w:t>is the worst factor of criterion j.</w:t>
      </w:r>
    </w:p>
    <w:p w14:paraId="32297C8E"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p>
    <w:p w14:paraId="7216D7E8" w14:textId="6EA0CFFC" w:rsidR="00646F30" w:rsidRPr="00892158" w:rsidRDefault="00646F30" w:rsidP="00953AE5">
      <w:pPr>
        <w:pStyle w:val="ListParagraph"/>
        <w:numPr>
          <w:ilvl w:val="0"/>
          <w:numId w:val="5"/>
        </w:numPr>
        <w:suppressAutoHyphens w:val="0"/>
        <w:spacing w:after="0" w:line="240" w:lineRule="auto"/>
        <w:ind w:leftChars="0" w:firstLineChars="0"/>
        <w:jc w:val="both"/>
        <w:textDirection w:val="lrTb"/>
        <w:textAlignment w:val="auto"/>
        <w:outlineLvl w:val="9"/>
        <w:rPr>
          <w:rFonts w:ascii="Arial" w:hAnsi="Arial" w:cs="Arial"/>
          <w:sz w:val="20"/>
          <w:szCs w:val="20"/>
        </w:rPr>
      </w:pPr>
      <w:r w:rsidRPr="00892158">
        <w:rPr>
          <w:rFonts w:ascii="Arial" w:eastAsiaTheme="minorEastAsia" w:hAnsi="Arial" w:cs="Arial"/>
          <w:sz w:val="20"/>
          <w:szCs w:val="20"/>
        </w:rPr>
        <w:t>Determine the values ​​of S and R using the following equation:</w:t>
      </w:r>
    </w:p>
    <w:p w14:paraId="7165D8BD" w14:textId="41C6D66C" w:rsidR="00646F30" w:rsidRPr="00892158" w:rsidRDefault="00000000" w:rsidP="00953AE5">
      <w:pPr>
        <w:pStyle w:val="ListParagraph"/>
        <w:spacing w:after="0" w:line="240" w:lineRule="auto"/>
        <w:ind w:leftChars="321" w:left="708" w:hanging="2"/>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oMath>
      <w:r w:rsidR="00646F30" w:rsidRPr="00892158">
        <w:rPr>
          <w:rFonts w:ascii="Arial" w:eastAsiaTheme="minorEastAsia" w:hAnsi="Arial" w:cs="Arial"/>
          <w:sz w:val="20"/>
          <w:szCs w:val="20"/>
        </w:rPr>
        <w:t xml:space="preserve"> = </w:t>
      </w:r>
      <m:oMath>
        <m:nary>
          <m:naryPr>
            <m:chr m:val="∑"/>
            <m:limLoc m:val="subSup"/>
            <m:ctrlPr>
              <w:rPr>
                <w:rFonts w:ascii="Cambria Math" w:eastAsiaTheme="minorEastAsia" w:hAnsi="Cambria Math" w:cs="Arial"/>
                <w:i/>
                <w:sz w:val="20"/>
                <w:szCs w:val="20"/>
              </w:rPr>
            </m:ctrlPr>
          </m:naryPr>
          <m:sub>
            <m:r>
              <w:rPr>
                <w:rFonts w:ascii="Cambria Math" w:eastAsiaTheme="minorEastAsia" w:hAnsi="Cambria Math" w:cs="Arial"/>
                <w:sz w:val="20"/>
                <w:szCs w:val="20"/>
              </w:rPr>
              <m:t>j=1</m:t>
            </m:r>
          </m:sub>
          <m:sup>
            <m:r>
              <w:rPr>
                <w:rFonts w:ascii="Cambria Math" w:eastAsiaTheme="minorEastAsia" w:hAnsi="Cambria Math" w:cs="Arial"/>
                <w:sz w:val="20"/>
                <w:szCs w:val="20"/>
              </w:rPr>
              <m:t>n</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w</m:t>
                </m:r>
              </m:e>
              <m:sub>
                <m:r>
                  <w:rPr>
                    <w:rFonts w:ascii="Cambria Math" w:eastAsiaTheme="minorEastAsia" w:hAnsi="Cambria Math" w:cs="Arial"/>
                    <w:sz w:val="20"/>
                    <w:szCs w:val="20"/>
                  </w:rPr>
                  <m:t>j</m:t>
                </m:r>
              </m:sub>
            </m:sSub>
          </m:e>
        </m:nary>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ij</m:t>
                    </m:r>
                  </m:sub>
                </m:sSub>
              </m:num>
              <m:den>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j</m:t>
                    </m:r>
                  </m:sub>
                  <m:sup>
                    <m:r>
                      <w:rPr>
                        <w:rFonts w:ascii="Cambria Math" w:eastAsiaTheme="minorEastAsia" w:hAnsi="Cambria Math" w:cs="Arial"/>
                        <w:sz w:val="20"/>
                        <w:szCs w:val="20"/>
                      </w:rPr>
                      <m:t>-</m:t>
                    </m:r>
                  </m:sup>
                </m:sSubSup>
              </m:den>
            </m:f>
          </m:e>
        </m:d>
      </m:oMath>
      <w:r w:rsidR="00646F30" w:rsidRPr="00892158">
        <w:rPr>
          <w:rFonts w:ascii="Arial" w:eastAsiaTheme="minorEastAsia" w:hAnsi="Arial" w:cs="Arial"/>
          <w:sz w:val="20"/>
          <w:szCs w:val="20"/>
        </w:rPr>
        <w:t xml:space="preserve">                 </w:t>
      </w:r>
      <w:proofErr w:type="gramStart"/>
      <w:r w:rsidR="00646F30" w:rsidRPr="00892158">
        <w:rPr>
          <w:rFonts w:ascii="Arial" w:eastAsiaTheme="minorEastAsia" w:hAnsi="Arial" w:cs="Arial"/>
          <w:sz w:val="20"/>
          <w:szCs w:val="20"/>
        </w:rPr>
        <w:t xml:space="preserve">   (</w:t>
      </w:r>
      <w:proofErr w:type="gramEnd"/>
      <w:r w:rsidR="00646F30" w:rsidRPr="00892158">
        <w:rPr>
          <w:rFonts w:ascii="Arial" w:eastAsiaTheme="minorEastAsia" w:hAnsi="Arial" w:cs="Arial"/>
          <w:sz w:val="20"/>
          <w:szCs w:val="20"/>
        </w:rPr>
        <w:t>3)</w:t>
      </w:r>
    </w:p>
    <w:p w14:paraId="6B38B56E" w14:textId="77777777" w:rsidR="00646F30" w:rsidRPr="00892158" w:rsidRDefault="00646F30" w:rsidP="00953AE5">
      <w:pPr>
        <w:spacing w:after="0" w:line="240" w:lineRule="auto"/>
        <w:ind w:leftChars="321" w:left="708" w:hanging="2"/>
        <w:jc w:val="both"/>
        <w:rPr>
          <w:rFonts w:ascii="Arial" w:hAnsi="Arial" w:cs="Arial"/>
          <w:sz w:val="20"/>
          <w:szCs w:val="20"/>
        </w:rPr>
      </w:pPr>
      <w:r w:rsidRPr="00892158">
        <w:rPr>
          <w:rFonts w:ascii="Arial" w:hAnsi="Arial" w:cs="Arial"/>
          <w:sz w:val="20"/>
          <w:szCs w:val="20"/>
        </w:rPr>
        <w:t>And,</w:t>
      </w:r>
    </w:p>
    <w:p w14:paraId="79953704" w14:textId="52FD427C" w:rsidR="00646F30" w:rsidRPr="00892158" w:rsidRDefault="00646F30" w:rsidP="00953AE5">
      <w:pPr>
        <w:spacing w:after="0" w:line="240" w:lineRule="auto"/>
        <w:ind w:leftChars="321" w:left="708" w:hanging="2"/>
        <w:jc w:val="both"/>
        <w:rPr>
          <w:rFonts w:ascii="Arial" w:hAnsi="Arial" w:cs="Arial"/>
          <w:sz w:val="20"/>
          <w:szCs w:val="20"/>
        </w:rPr>
      </w:pPr>
      <m:oMath>
        <m:r>
          <w:rPr>
            <w:rFonts w:ascii="Cambria Math" w:eastAsiaTheme="minorEastAsia"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m:t>
            </m:r>
          </m:sub>
        </m:sSub>
        <m:r>
          <w:rPr>
            <w:rFonts w:ascii="Cambria Math" w:hAnsi="Cambria Math" w:cs="Arial"/>
            <w:sz w:val="20"/>
            <w:szCs w:val="20"/>
          </w:rPr>
          <m:t xml:space="preserve">=Max j </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j</m:t>
                </m:r>
              </m:sub>
            </m:sSub>
            <m:r>
              <w:rPr>
                <w:rFonts w:ascii="Cambria Math" w:hAnsi="Cambria Math" w:cs="Arial"/>
                <w:sz w:val="20"/>
                <w:szCs w:val="20"/>
              </w:rPr>
              <m:t xml:space="preserve">= </m:t>
            </m:r>
            <m:d>
              <m:dPr>
                <m:ctrlPr>
                  <w:rPr>
                    <w:rFonts w:ascii="Cambria Math" w:hAnsi="Cambria Math" w:cs="Arial"/>
                    <w:i/>
                    <w:sz w:val="20"/>
                    <w:szCs w:val="20"/>
                  </w:rPr>
                </m:ctrlPr>
              </m:dPr>
              <m:e>
                <m:f>
                  <m:fPr>
                    <m:ctrlPr>
                      <w:rPr>
                        <w:rFonts w:ascii="Cambria Math" w:hAnsi="Cambria Math" w:cs="Arial"/>
                        <w:i/>
                        <w:sz w:val="20"/>
                        <w:szCs w:val="20"/>
                      </w:rPr>
                    </m:ctrlPr>
                  </m:fPr>
                  <m:num>
                    <m:sSubSup>
                      <m:sSubSupPr>
                        <m:ctrlPr>
                          <w:rPr>
                            <w:rFonts w:ascii="Cambria Math" w:hAnsi="Cambria Math" w:cs="Arial"/>
                            <w:i/>
                            <w:sz w:val="20"/>
                            <w:szCs w:val="20"/>
                          </w:rPr>
                        </m:ctrlPr>
                      </m:sSubSupPr>
                      <m:e>
                        <m:r>
                          <w:rPr>
                            <w:rFonts w:ascii="Cambria Math" w:hAnsi="Cambria Math" w:cs="Arial"/>
                            <w:sz w:val="20"/>
                            <w:szCs w:val="20"/>
                          </w:rPr>
                          <m:t>x</m:t>
                        </m:r>
                      </m:e>
                      <m:sub>
                        <m:r>
                          <w:rPr>
                            <w:rFonts w:ascii="Cambria Math" w:hAnsi="Cambria Math" w:cs="Arial"/>
                            <w:sz w:val="20"/>
                            <w:szCs w:val="20"/>
                          </w:rPr>
                          <m:t>j</m:t>
                        </m:r>
                      </m:sub>
                      <m:sup>
                        <m:r>
                          <w:rPr>
                            <w:rFonts w:ascii="Cambria Math" w:hAnsi="Cambria Math" w:cs="Arial"/>
                            <w:sz w:val="20"/>
                            <w:szCs w:val="20"/>
                          </w:rPr>
                          <m:t>+</m:t>
                        </m:r>
                      </m:sup>
                    </m:sSubSup>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num>
                  <m:den>
                    <m:sSubSup>
                      <m:sSubSupPr>
                        <m:ctrlPr>
                          <w:rPr>
                            <w:rFonts w:ascii="Cambria Math" w:hAnsi="Cambria Math" w:cs="Arial"/>
                            <w:i/>
                            <w:sz w:val="20"/>
                            <w:szCs w:val="20"/>
                          </w:rPr>
                        </m:ctrlPr>
                      </m:sSubSupPr>
                      <m:e>
                        <m:r>
                          <w:rPr>
                            <w:rFonts w:ascii="Cambria Math" w:hAnsi="Cambria Math" w:cs="Arial"/>
                            <w:sz w:val="20"/>
                            <w:szCs w:val="20"/>
                          </w:rPr>
                          <m:t>x</m:t>
                        </m:r>
                      </m:e>
                      <m:sub>
                        <m:r>
                          <w:rPr>
                            <w:rFonts w:ascii="Cambria Math" w:hAnsi="Cambria Math" w:cs="Arial"/>
                            <w:sz w:val="20"/>
                            <w:szCs w:val="20"/>
                          </w:rPr>
                          <m:t>j</m:t>
                        </m:r>
                      </m:sub>
                      <m:sup>
                        <m:r>
                          <w:rPr>
                            <w:rFonts w:ascii="Cambria Math" w:hAnsi="Cambria Math" w:cs="Arial"/>
                            <w:sz w:val="20"/>
                            <w:szCs w:val="20"/>
                          </w:rPr>
                          <m:t>+</m:t>
                        </m:r>
                      </m:sup>
                    </m:sSubSup>
                    <m:r>
                      <w:rPr>
                        <w:rFonts w:ascii="Cambria Math" w:hAnsi="Cambria Math" w:cs="Arial"/>
                        <w:sz w:val="20"/>
                        <w:szCs w:val="20"/>
                      </w:rPr>
                      <m:t xml:space="preserve">- </m:t>
                    </m:r>
                    <m:sSubSup>
                      <m:sSubSupPr>
                        <m:ctrlPr>
                          <w:rPr>
                            <w:rFonts w:ascii="Cambria Math" w:hAnsi="Cambria Math" w:cs="Arial"/>
                            <w:i/>
                            <w:sz w:val="20"/>
                            <w:szCs w:val="20"/>
                          </w:rPr>
                        </m:ctrlPr>
                      </m:sSubSupPr>
                      <m:e>
                        <m:r>
                          <w:rPr>
                            <w:rFonts w:ascii="Cambria Math" w:hAnsi="Cambria Math" w:cs="Arial"/>
                            <w:sz w:val="20"/>
                            <w:szCs w:val="20"/>
                          </w:rPr>
                          <m:t>x</m:t>
                        </m:r>
                      </m:e>
                      <m:sub>
                        <m:r>
                          <w:rPr>
                            <w:rFonts w:ascii="Cambria Math" w:hAnsi="Cambria Math" w:cs="Arial"/>
                            <w:sz w:val="20"/>
                            <w:szCs w:val="20"/>
                          </w:rPr>
                          <m:t>j</m:t>
                        </m:r>
                      </m:sub>
                      <m:sup>
                        <m:r>
                          <w:rPr>
                            <w:rFonts w:ascii="Cambria Math" w:hAnsi="Cambria Math" w:cs="Arial"/>
                            <w:sz w:val="20"/>
                            <w:szCs w:val="20"/>
                          </w:rPr>
                          <m:t>-</m:t>
                        </m:r>
                      </m:sup>
                    </m:sSubSup>
                  </m:den>
                </m:f>
              </m:e>
            </m:d>
          </m:e>
        </m:d>
      </m:oMath>
      <w:r w:rsidRPr="00892158">
        <w:rPr>
          <w:rFonts w:ascii="Arial" w:eastAsiaTheme="minorEastAsia" w:hAnsi="Arial" w:cs="Arial"/>
          <w:sz w:val="20"/>
          <w:szCs w:val="20"/>
        </w:rPr>
        <w:t xml:space="preserve">        (4)</w:t>
      </w:r>
    </w:p>
    <w:p w14:paraId="6C6C909B" w14:textId="77777777" w:rsidR="00646F30" w:rsidRPr="00892158" w:rsidRDefault="00646F30" w:rsidP="00953AE5">
      <w:pPr>
        <w:spacing w:after="0" w:line="240" w:lineRule="auto"/>
        <w:ind w:leftChars="321" w:left="708" w:hanging="2"/>
        <w:jc w:val="both"/>
        <w:rPr>
          <w:rFonts w:ascii="Arial" w:hAnsi="Arial" w:cs="Arial"/>
          <w:i/>
          <w:iCs/>
          <w:sz w:val="20"/>
          <w:szCs w:val="20"/>
        </w:rPr>
      </w:pPr>
      <w:r w:rsidRPr="00892158">
        <w:rPr>
          <w:rFonts w:ascii="Arial" w:hAnsi="Arial" w:cs="Arial"/>
          <w:sz w:val="20"/>
          <w:szCs w:val="20"/>
        </w:rPr>
        <w:t xml:space="preserve">Where </w:t>
      </w:r>
      <w:proofErr w:type="spellStart"/>
      <w:r w:rsidRPr="00892158">
        <w:rPr>
          <w:rFonts w:ascii="Arial" w:hAnsi="Arial" w:cs="Arial"/>
          <w:i/>
          <w:iCs/>
          <w:sz w:val="20"/>
          <w:szCs w:val="20"/>
        </w:rPr>
        <w:t>W</w:t>
      </w:r>
      <w:r w:rsidRPr="00892158">
        <w:rPr>
          <w:rFonts w:ascii="Arial" w:hAnsi="Arial" w:cs="Arial"/>
          <w:i/>
          <w:iCs/>
          <w:sz w:val="20"/>
          <w:szCs w:val="20"/>
          <w:vertAlign w:val="subscript"/>
        </w:rPr>
        <w:t>j</w:t>
      </w:r>
      <w:proofErr w:type="spellEnd"/>
      <w:r w:rsidRPr="00892158">
        <w:rPr>
          <w:rFonts w:ascii="Arial" w:hAnsi="Arial" w:cs="Arial"/>
          <w:i/>
          <w:iCs/>
          <w:sz w:val="20"/>
          <w:szCs w:val="20"/>
        </w:rPr>
        <w:t xml:space="preserve"> </w:t>
      </w:r>
      <w:r w:rsidRPr="00892158">
        <w:rPr>
          <w:rFonts w:ascii="Arial" w:hAnsi="Arial" w:cs="Arial"/>
          <w:sz w:val="20"/>
          <w:szCs w:val="20"/>
        </w:rPr>
        <w:t xml:space="preserve">is the weight of each criterion, </w:t>
      </w:r>
      <w:r w:rsidRPr="00892158">
        <w:rPr>
          <w:rFonts w:ascii="Arial" w:hAnsi="Arial" w:cs="Arial"/>
          <w:i/>
          <w:iCs/>
          <w:sz w:val="20"/>
          <w:szCs w:val="20"/>
        </w:rPr>
        <w:t>j</w:t>
      </w:r>
    </w:p>
    <w:p w14:paraId="5A280C1D" w14:textId="77777777" w:rsidR="00646F30" w:rsidRDefault="00646F30" w:rsidP="00953AE5">
      <w:pPr>
        <w:suppressAutoHyphens w:val="0"/>
        <w:spacing w:after="0" w:line="240" w:lineRule="auto"/>
        <w:ind w:leftChars="0" w:left="0" w:firstLineChars="0" w:hanging="2"/>
        <w:jc w:val="both"/>
        <w:textDirection w:val="lrTb"/>
        <w:textAlignment w:val="auto"/>
        <w:outlineLvl w:val="9"/>
        <w:rPr>
          <w:rFonts w:ascii="Arial" w:hAnsi="Arial" w:cs="Arial"/>
          <w:sz w:val="20"/>
          <w:szCs w:val="20"/>
        </w:rPr>
      </w:pPr>
    </w:p>
    <w:p w14:paraId="1BF489C4" w14:textId="64AB9294" w:rsidR="00646F30" w:rsidRDefault="00646F30" w:rsidP="00953AE5">
      <w:pPr>
        <w:pStyle w:val="ListParagraph"/>
        <w:numPr>
          <w:ilvl w:val="0"/>
          <w:numId w:val="5"/>
        </w:numPr>
        <w:suppressAutoHyphens w:val="0"/>
        <w:spacing w:after="0" w:line="240" w:lineRule="auto"/>
        <w:ind w:leftChars="0" w:firstLineChars="0"/>
        <w:jc w:val="both"/>
        <w:textDirection w:val="lrTb"/>
        <w:textAlignment w:val="auto"/>
        <w:outlineLvl w:val="9"/>
        <w:rPr>
          <w:rFonts w:ascii="Arial" w:hAnsi="Arial" w:cs="Arial"/>
          <w:sz w:val="20"/>
          <w:szCs w:val="20"/>
        </w:rPr>
      </w:pPr>
      <w:r w:rsidRPr="00646F30">
        <w:rPr>
          <w:rFonts w:ascii="Arial" w:hAnsi="Arial" w:cs="Arial"/>
          <w:sz w:val="20"/>
          <w:szCs w:val="20"/>
        </w:rPr>
        <w:t>Determine the index value with the equation</w:t>
      </w:r>
      <w:r>
        <w:rPr>
          <w:rFonts w:ascii="Arial" w:hAnsi="Arial" w:cs="Arial"/>
          <w:sz w:val="20"/>
          <w:szCs w:val="20"/>
        </w:rPr>
        <w:t>:</w:t>
      </w:r>
    </w:p>
    <w:p w14:paraId="25231B1F" w14:textId="77777777" w:rsidR="00646F30" w:rsidRPr="00646F30" w:rsidRDefault="00646F30" w:rsidP="00953AE5">
      <w:pPr>
        <w:pStyle w:val="ListParagraph"/>
        <w:suppressAutoHyphens w:val="0"/>
        <w:spacing w:after="0" w:line="240" w:lineRule="auto"/>
        <w:ind w:leftChars="0" w:firstLineChars="0" w:firstLine="0"/>
        <w:jc w:val="both"/>
        <w:textDirection w:val="lrTb"/>
        <w:textAlignment w:val="auto"/>
        <w:outlineLvl w:val="9"/>
        <w:rPr>
          <w:rFonts w:ascii="Arial" w:hAnsi="Arial" w:cs="Arial"/>
          <w:sz w:val="20"/>
          <w:szCs w:val="20"/>
        </w:rPr>
      </w:pPr>
    </w:p>
    <w:p w14:paraId="0F55D6A2" w14:textId="640D3042" w:rsidR="00646F30" w:rsidRDefault="00646F30" w:rsidP="00953AE5">
      <w:pPr>
        <w:spacing w:after="0" w:line="240" w:lineRule="auto"/>
        <w:ind w:leftChars="321" w:left="708" w:hanging="2"/>
        <w:jc w:val="both"/>
        <w:rPr>
          <w:rFonts w:ascii="Arial" w:eastAsiaTheme="minorEastAsia" w:hAnsi="Arial" w:cs="Arial"/>
          <w:sz w:val="20"/>
          <w:szCs w:val="20"/>
        </w:rPr>
      </w:pPr>
      <m:oMath>
        <m:r>
          <w:rPr>
            <w:rFonts w:ascii="Cambria Math" w:hAnsi="Cambria Math" w:cs="Arial"/>
            <w:sz w:val="20"/>
            <w:szCs w:val="20"/>
          </w:rPr>
          <m:t xml:space="preserve">Qi= </m:t>
        </m:r>
        <m:d>
          <m:dPr>
            <m:begChr m:val="["/>
            <m:endChr m:val="]"/>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num>
              <m:den>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den>
            </m:f>
          </m:e>
        </m:d>
        <m:r>
          <w:rPr>
            <w:rFonts w:ascii="Cambria Math" w:hAnsi="Cambria Math" w:cs="Arial"/>
            <w:sz w:val="20"/>
            <w:szCs w:val="20"/>
          </w:rPr>
          <m:t xml:space="preserve"> v+ </m:t>
        </m:r>
        <m:d>
          <m:dPr>
            <m:begChr m:val="["/>
            <m:endChr m:val="]"/>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m:t>
                    </m:r>
                  </m:sup>
                </m:sSup>
              </m:num>
              <m:den>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m:t>
                    </m:r>
                  </m:sup>
                </m:sSup>
              </m:den>
            </m:f>
          </m:e>
        </m:d>
        <m:r>
          <w:rPr>
            <w:rFonts w:ascii="Cambria Math" w:hAnsi="Cambria Math" w:cs="Arial"/>
            <w:sz w:val="20"/>
            <w:szCs w:val="20"/>
          </w:rPr>
          <m:t xml:space="preserve"> (1-v)</m:t>
        </m:r>
      </m:oMath>
      <w:r w:rsidRPr="00892158">
        <w:rPr>
          <w:rFonts w:ascii="Arial" w:eastAsiaTheme="minorEastAsia" w:hAnsi="Arial" w:cs="Arial"/>
          <w:sz w:val="20"/>
          <w:szCs w:val="20"/>
        </w:rPr>
        <w:t xml:space="preserve">   </w:t>
      </w:r>
      <w:r>
        <w:rPr>
          <w:rFonts w:ascii="Arial" w:eastAsiaTheme="minorEastAsia" w:hAnsi="Arial" w:cs="Arial"/>
          <w:sz w:val="20"/>
          <w:szCs w:val="20"/>
        </w:rPr>
        <w:t>(5)</w:t>
      </w:r>
      <w:r w:rsidRPr="00892158">
        <w:rPr>
          <w:rFonts w:ascii="Arial" w:eastAsiaTheme="minorEastAsia" w:hAnsi="Arial" w:cs="Arial"/>
          <w:sz w:val="20"/>
          <w:szCs w:val="20"/>
        </w:rPr>
        <w:t xml:space="preserve">             </w:t>
      </w:r>
    </w:p>
    <w:p w14:paraId="69014DF5"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p>
    <w:p w14:paraId="6B17C1B1"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Where:</w:t>
      </w:r>
    </w:p>
    <w:p w14:paraId="096E9007"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vertAlign w:val="subscript"/>
        </w:rPr>
      </w:pPr>
      <w:proofErr w:type="gramStart"/>
      <w:r w:rsidRPr="00892158">
        <w:rPr>
          <w:rFonts w:ascii="Arial" w:eastAsiaTheme="minorEastAsia" w:hAnsi="Arial" w:cs="Arial"/>
          <w:sz w:val="20"/>
          <w:szCs w:val="20"/>
        </w:rPr>
        <w:t>S  =</w:t>
      </w:r>
      <w:proofErr w:type="gramEnd"/>
      <w:r w:rsidRPr="00892158">
        <w:rPr>
          <w:rFonts w:ascii="Arial" w:eastAsiaTheme="minorEastAsia" w:hAnsi="Arial" w:cs="Arial"/>
          <w:sz w:val="20"/>
          <w:szCs w:val="20"/>
        </w:rPr>
        <w:t xml:space="preserve"> min </w:t>
      </w:r>
      <w:proofErr w:type="spellStart"/>
      <w:r w:rsidRPr="00892158">
        <w:rPr>
          <w:rFonts w:ascii="Arial" w:eastAsiaTheme="minorEastAsia" w:hAnsi="Arial" w:cs="Arial"/>
          <w:sz w:val="20"/>
          <w:szCs w:val="20"/>
        </w:rPr>
        <w:t>S</w:t>
      </w:r>
      <w:r w:rsidRPr="00892158">
        <w:rPr>
          <w:rFonts w:ascii="Arial" w:eastAsiaTheme="minorEastAsia" w:hAnsi="Arial" w:cs="Arial"/>
          <w:sz w:val="20"/>
          <w:szCs w:val="20"/>
          <w:vertAlign w:val="subscript"/>
        </w:rPr>
        <w:t>w</w:t>
      </w:r>
      <w:proofErr w:type="spellEnd"/>
    </w:p>
    <w:p w14:paraId="7197FF3B"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S</w:t>
      </w:r>
      <w:r w:rsidRPr="00892158">
        <w:rPr>
          <w:rFonts w:ascii="Arial" w:eastAsiaTheme="minorEastAsia" w:hAnsi="Arial" w:cs="Arial"/>
          <w:sz w:val="20"/>
          <w:szCs w:val="20"/>
          <w:vertAlign w:val="superscript"/>
        </w:rPr>
        <w:t>+</w:t>
      </w:r>
      <w:r w:rsidRPr="00892158">
        <w:rPr>
          <w:rFonts w:ascii="Arial" w:eastAsiaTheme="minorEastAsia" w:hAnsi="Arial" w:cs="Arial"/>
          <w:sz w:val="20"/>
          <w:szCs w:val="20"/>
        </w:rPr>
        <w:t xml:space="preserve"> = max S</w:t>
      </w:r>
      <w:r w:rsidRPr="00892158">
        <w:rPr>
          <w:rFonts w:ascii="Arial" w:eastAsiaTheme="minorEastAsia" w:hAnsi="Arial" w:cs="Arial"/>
          <w:sz w:val="20"/>
          <w:szCs w:val="20"/>
          <w:vertAlign w:val="subscript"/>
        </w:rPr>
        <w:t>i</w:t>
      </w:r>
      <w:r w:rsidRPr="00892158">
        <w:rPr>
          <w:rFonts w:ascii="Arial" w:eastAsiaTheme="minorEastAsia" w:hAnsi="Arial" w:cs="Arial"/>
          <w:sz w:val="20"/>
          <w:szCs w:val="20"/>
        </w:rPr>
        <w:t xml:space="preserve"> and</w:t>
      </w:r>
    </w:p>
    <w:p w14:paraId="6F277E74"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R</w:t>
      </w:r>
      <w:r w:rsidRPr="00892158">
        <w:rPr>
          <w:rFonts w:ascii="Arial" w:eastAsiaTheme="minorEastAsia" w:hAnsi="Arial" w:cs="Arial"/>
          <w:sz w:val="20"/>
          <w:szCs w:val="20"/>
          <w:vertAlign w:val="superscript"/>
        </w:rPr>
        <w:t xml:space="preserve">- </w:t>
      </w:r>
      <w:r w:rsidRPr="00892158">
        <w:rPr>
          <w:rFonts w:ascii="Arial" w:eastAsiaTheme="minorEastAsia" w:hAnsi="Arial" w:cs="Arial"/>
          <w:sz w:val="20"/>
          <w:szCs w:val="20"/>
        </w:rPr>
        <w:t>= min R</w:t>
      </w:r>
      <w:r w:rsidRPr="00892158">
        <w:rPr>
          <w:rFonts w:ascii="Arial" w:eastAsiaTheme="minorEastAsia" w:hAnsi="Arial" w:cs="Arial"/>
          <w:sz w:val="20"/>
          <w:szCs w:val="20"/>
          <w:vertAlign w:val="subscript"/>
        </w:rPr>
        <w:t>i</w:t>
      </w:r>
    </w:p>
    <w:p w14:paraId="592B2A71"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R</w:t>
      </w:r>
      <w:r w:rsidRPr="00892158">
        <w:rPr>
          <w:rFonts w:ascii="Arial" w:eastAsiaTheme="minorEastAsia" w:hAnsi="Arial" w:cs="Arial"/>
          <w:sz w:val="20"/>
          <w:szCs w:val="20"/>
          <w:vertAlign w:val="superscript"/>
        </w:rPr>
        <w:t>+</w:t>
      </w:r>
      <w:r w:rsidRPr="00892158">
        <w:rPr>
          <w:rFonts w:ascii="Arial" w:eastAsiaTheme="minorEastAsia" w:hAnsi="Arial" w:cs="Arial"/>
          <w:sz w:val="20"/>
          <w:szCs w:val="20"/>
        </w:rPr>
        <w:t xml:space="preserve"> = max R</w:t>
      </w:r>
      <w:r w:rsidRPr="00892158">
        <w:rPr>
          <w:rFonts w:ascii="Arial" w:eastAsiaTheme="minorEastAsia" w:hAnsi="Arial" w:cs="Arial"/>
          <w:sz w:val="20"/>
          <w:szCs w:val="20"/>
          <w:vertAlign w:val="subscript"/>
        </w:rPr>
        <w:t xml:space="preserve">i </w:t>
      </w:r>
      <w:r w:rsidRPr="00892158">
        <w:rPr>
          <w:rFonts w:ascii="Arial" w:eastAsiaTheme="minorEastAsia" w:hAnsi="Arial" w:cs="Arial"/>
          <w:sz w:val="20"/>
          <w:szCs w:val="20"/>
        </w:rPr>
        <w:t>and</w:t>
      </w:r>
    </w:p>
    <w:p w14:paraId="68080618"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v = 0.5</w:t>
      </w:r>
    </w:p>
    <w:p w14:paraId="36834611" w14:textId="77777777" w:rsidR="00646F30" w:rsidRDefault="00646F30" w:rsidP="00953AE5">
      <w:pPr>
        <w:spacing w:after="0" w:line="240" w:lineRule="auto"/>
        <w:ind w:leftChars="321" w:left="708" w:hanging="2"/>
        <w:jc w:val="both"/>
        <w:rPr>
          <w:rFonts w:ascii="Arial" w:eastAsiaTheme="minorEastAsia" w:hAnsi="Arial" w:cs="Arial"/>
          <w:sz w:val="20"/>
          <w:szCs w:val="20"/>
        </w:rPr>
      </w:pPr>
    </w:p>
    <w:p w14:paraId="16DEA6C8" w14:textId="6523CFD1" w:rsidR="00646F30"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The ranking result is the result of sorting S, R, and Q. The best alternative solution based on the minimum Q value becomes the best ranking with the following conditions:</w:t>
      </w:r>
    </w:p>
    <w:p w14:paraId="29E8765E"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p>
    <w:p w14:paraId="76B0F4E2"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m:oMath>
        <m:r>
          <w:rPr>
            <w:rFonts w:ascii="Cambria Math" w:eastAsiaTheme="minorEastAsia" w:hAnsi="Cambria Math" w:cs="Arial"/>
            <w:sz w:val="20"/>
            <w:szCs w:val="20"/>
          </w:rPr>
          <m:t>Q</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A</m:t>
                </m:r>
              </m:e>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2</m:t>
                    </m:r>
                  </m:e>
                </m:d>
              </m:sup>
            </m:sSup>
          </m:e>
        </m:d>
        <m:r>
          <w:rPr>
            <w:rFonts w:ascii="Cambria Math" w:eastAsiaTheme="minorEastAsia" w:hAnsi="Cambria Math" w:cs="Arial"/>
            <w:sz w:val="20"/>
            <w:szCs w:val="20"/>
          </w:rPr>
          <m:t>-Q</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A</m:t>
                </m:r>
              </m:e>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1</m:t>
                    </m:r>
                  </m:e>
                </m:d>
              </m:sup>
            </m:sSup>
          </m:e>
        </m:d>
        <m:r>
          <w:rPr>
            <w:rFonts w:ascii="Cambria Math" w:eastAsiaTheme="minorEastAsia" w:hAnsi="Cambria Math" w:cs="Arial"/>
            <w:sz w:val="20"/>
            <w:szCs w:val="20"/>
          </w:rPr>
          <m:t>≥DQ</m:t>
        </m:r>
      </m:oMath>
      <w:r w:rsidRPr="00892158">
        <w:rPr>
          <w:rFonts w:ascii="Arial" w:eastAsiaTheme="minorEastAsia" w:hAnsi="Arial" w:cs="Arial"/>
          <w:sz w:val="20"/>
          <w:szCs w:val="20"/>
        </w:rPr>
        <w:t xml:space="preserve">               (6)</w:t>
      </w:r>
    </w:p>
    <w:p w14:paraId="041DF454" w14:textId="77777777" w:rsidR="00646F30" w:rsidRDefault="00646F30" w:rsidP="00953AE5">
      <w:pPr>
        <w:spacing w:after="0" w:line="240" w:lineRule="auto"/>
        <w:ind w:leftChars="321" w:left="708" w:hanging="2"/>
        <w:jc w:val="both"/>
        <w:rPr>
          <w:rFonts w:ascii="Arial" w:eastAsiaTheme="minorEastAsia" w:hAnsi="Arial" w:cs="Arial"/>
          <w:sz w:val="20"/>
          <w:szCs w:val="20"/>
        </w:rPr>
      </w:pPr>
    </w:p>
    <w:p w14:paraId="7DAF8513" w14:textId="5611CE23"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Where:</w:t>
      </w:r>
    </w:p>
    <w:p w14:paraId="51911739"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proofErr w:type="gramStart"/>
      <w:r w:rsidRPr="00892158">
        <w:rPr>
          <w:rFonts w:ascii="Arial" w:eastAsiaTheme="minorEastAsia" w:hAnsi="Arial" w:cs="Arial"/>
          <w:sz w:val="20"/>
          <w:szCs w:val="20"/>
        </w:rPr>
        <w:t>A</w:t>
      </w:r>
      <w:r w:rsidRPr="00892158">
        <w:rPr>
          <w:rFonts w:ascii="Arial" w:eastAsiaTheme="minorEastAsia" w:hAnsi="Arial" w:cs="Arial"/>
          <w:sz w:val="20"/>
          <w:szCs w:val="20"/>
          <w:vertAlign w:val="superscript"/>
        </w:rPr>
        <w:t>(</w:t>
      </w:r>
      <w:proofErr w:type="gramEnd"/>
      <w:r w:rsidRPr="00892158">
        <w:rPr>
          <w:rFonts w:ascii="Arial" w:eastAsiaTheme="minorEastAsia" w:hAnsi="Arial" w:cs="Arial"/>
          <w:sz w:val="20"/>
          <w:szCs w:val="20"/>
          <w:vertAlign w:val="superscript"/>
        </w:rPr>
        <w:t>2</w:t>
      </w:r>
      <w:proofErr w:type="gramStart"/>
      <w:r w:rsidRPr="00892158">
        <w:rPr>
          <w:rFonts w:ascii="Arial" w:eastAsiaTheme="minorEastAsia" w:hAnsi="Arial" w:cs="Arial"/>
          <w:sz w:val="20"/>
          <w:szCs w:val="20"/>
          <w:vertAlign w:val="superscript"/>
        </w:rPr>
        <w:t>)</w:t>
      </w:r>
      <w:r w:rsidRPr="00892158">
        <w:rPr>
          <w:rFonts w:ascii="Arial" w:eastAsiaTheme="minorEastAsia" w:hAnsi="Arial" w:cs="Arial"/>
          <w:sz w:val="20"/>
          <w:szCs w:val="20"/>
        </w:rPr>
        <w:t xml:space="preserve">  =</w:t>
      </w:r>
      <w:proofErr w:type="gramEnd"/>
      <w:r w:rsidRPr="00892158">
        <w:rPr>
          <w:rFonts w:ascii="Arial" w:eastAsiaTheme="minorEastAsia" w:hAnsi="Arial" w:cs="Arial"/>
          <w:sz w:val="20"/>
          <w:szCs w:val="20"/>
        </w:rPr>
        <w:t xml:space="preserve"> alternative with second order in Q ranking and</w:t>
      </w:r>
    </w:p>
    <w:p w14:paraId="4634C025"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proofErr w:type="gramStart"/>
      <w:r w:rsidRPr="00892158">
        <w:rPr>
          <w:rFonts w:ascii="Arial" w:eastAsiaTheme="minorEastAsia" w:hAnsi="Arial" w:cs="Arial"/>
          <w:sz w:val="20"/>
          <w:szCs w:val="20"/>
        </w:rPr>
        <w:t>A</w:t>
      </w:r>
      <w:r w:rsidRPr="00892158">
        <w:rPr>
          <w:rFonts w:ascii="Arial" w:eastAsiaTheme="minorEastAsia" w:hAnsi="Arial" w:cs="Arial"/>
          <w:sz w:val="20"/>
          <w:szCs w:val="20"/>
          <w:vertAlign w:val="superscript"/>
        </w:rPr>
        <w:t>(</w:t>
      </w:r>
      <w:proofErr w:type="gramEnd"/>
      <w:r w:rsidRPr="00892158">
        <w:rPr>
          <w:rFonts w:ascii="Arial" w:eastAsiaTheme="minorEastAsia" w:hAnsi="Arial" w:cs="Arial"/>
          <w:sz w:val="20"/>
          <w:szCs w:val="20"/>
          <w:vertAlign w:val="superscript"/>
        </w:rPr>
        <w:t>1)</w:t>
      </w:r>
      <w:r w:rsidRPr="00892158">
        <w:rPr>
          <w:rFonts w:ascii="Arial" w:eastAsiaTheme="minorEastAsia" w:hAnsi="Arial" w:cs="Arial"/>
          <w:sz w:val="20"/>
          <w:szCs w:val="20"/>
        </w:rPr>
        <w:t xml:space="preserve"> = alternative with the best order in Q ranking</w:t>
      </w:r>
    </w:p>
    <w:p w14:paraId="70BC2E7E"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 xml:space="preserve">DQ = 1- (m-1) where </w:t>
      </w:r>
      <w:r w:rsidRPr="00892158">
        <w:rPr>
          <w:rFonts w:ascii="Arial" w:eastAsiaTheme="minorEastAsia" w:hAnsi="Arial" w:cs="Arial"/>
          <w:i/>
          <w:iCs/>
          <w:sz w:val="20"/>
          <w:szCs w:val="20"/>
        </w:rPr>
        <w:t>m</w:t>
      </w:r>
      <w:r w:rsidRPr="00892158">
        <w:rPr>
          <w:rFonts w:ascii="Arial" w:eastAsiaTheme="minorEastAsia" w:hAnsi="Arial" w:cs="Arial"/>
          <w:sz w:val="20"/>
          <w:szCs w:val="20"/>
        </w:rPr>
        <w:t xml:space="preserve"> is the number of alternatives</w:t>
      </w:r>
    </w:p>
    <w:p w14:paraId="7E509CEB" w14:textId="77777777" w:rsidR="00646F30" w:rsidRPr="00892158" w:rsidRDefault="00646F30" w:rsidP="00953AE5">
      <w:pPr>
        <w:spacing w:after="0" w:line="240" w:lineRule="auto"/>
        <w:ind w:leftChars="321" w:left="708" w:hanging="2"/>
        <w:jc w:val="both"/>
        <w:rPr>
          <w:rFonts w:ascii="Arial" w:eastAsiaTheme="minorEastAsia" w:hAnsi="Arial" w:cs="Arial"/>
          <w:sz w:val="20"/>
          <w:szCs w:val="20"/>
        </w:rPr>
      </w:pPr>
      <w:r w:rsidRPr="00892158">
        <w:rPr>
          <w:rFonts w:ascii="Arial" w:eastAsiaTheme="minorEastAsia" w:hAnsi="Arial" w:cs="Arial"/>
          <w:sz w:val="20"/>
          <w:szCs w:val="20"/>
        </w:rPr>
        <w:t xml:space="preserve">Alternative </w:t>
      </w:r>
      <w:proofErr w:type="gramStart"/>
      <w:r w:rsidRPr="00892158">
        <w:rPr>
          <w:rFonts w:ascii="Arial" w:eastAsiaTheme="minorEastAsia" w:hAnsi="Arial" w:cs="Arial"/>
          <w:sz w:val="20"/>
          <w:szCs w:val="20"/>
        </w:rPr>
        <w:t>A</w:t>
      </w:r>
      <w:r w:rsidRPr="00892158">
        <w:rPr>
          <w:rFonts w:ascii="Arial" w:eastAsiaTheme="minorEastAsia" w:hAnsi="Arial" w:cs="Arial"/>
          <w:sz w:val="20"/>
          <w:szCs w:val="20"/>
          <w:vertAlign w:val="superscript"/>
        </w:rPr>
        <w:t>(</w:t>
      </w:r>
      <w:proofErr w:type="gramEnd"/>
      <w:r w:rsidRPr="00892158">
        <w:rPr>
          <w:rFonts w:ascii="Arial" w:eastAsiaTheme="minorEastAsia" w:hAnsi="Arial" w:cs="Arial"/>
          <w:sz w:val="20"/>
          <w:szCs w:val="20"/>
          <w:vertAlign w:val="superscript"/>
        </w:rPr>
        <w:t>1)</w:t>
      </w:r>
      <w:r w:rsidRPr="00892158">
        <w:rPr>
          <w:rFonts w:ascii="Arial" w:eastAsiaTheme="minorEastAsia" w:hAnsi="Arial" w:cs="Arial"/>
          <w:sz w:val="20"/>
          <w:szCs w:val="20"/>
        </w:rPr>
        <w:t xml:space="preserve"> must be ranked best on S and/or R.</w:t>
      </w:r>
    </w:p>
    <w:p w14:paraId="179389F3" w14:textId="77777777" w:rsidR="00646F30" w:rsidRDefault="00646F30" w:rsidP="00953AE5">
      <w:pPr>
        <w:spacing w:after="0" w:line="240" w:lineRule="auto"/>
        <w:ind w:left="0" w:hanging="2"/>
        <w:jc w:val="both"/>
        <w:rPr>
          <w:rFonts w:ascii="Arial" w:eastAsiaTheme="minorEastAsia" w:hAnsi="Arial" w:cs="Arial"/>
          <w:sz w:val="20"/>
          <w:szCs w:val="20"/>
        </w:rPr>
      </w:pPr>
    </w:p>
    <w:p w14:paraId="75A0DB07" w14:textId="0C32E54E" w:rsidR="00646F30" w:rsidRPr="00892158" w:rsidRDefault="00646F30" w:rsidP="00953AE5">
      <w:pPr>
        <w:spacing w:after="0" w:line="240" w:lineRule="auto"/>
        <w:ind w:left="0" w:hanging="2"/>
        <w:jc w:val="both"/>
        <w:rPr>
          <w:rFonts w:ascii="Arial" w:eastAsiaTheme="minorEastAsia" w:hAnsi="Arial" w:cs="Arial"/>
          <w:sz w:val="20"/>
          <w:szCs w:val="20"/>
        </w:rPr>
      </w:pPr>
      <w:r w:rsidRPr="00892158">
        <w:rPr>
          <w:rFonts w:ascii="Arial" w:eastAsiaTheme="minorEastAsia" w:hAnsi="Arial" w:cs="Arial"/>
          <w:sz w:val="20"/>
          <w:szCs w:val="20"/>
        </w:rPr>
        <w:t>Table 3 Application of MCDM in bioenergy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2472"/>
        <w:gridCol w:w="1045"/>
      </w:tblGrid>
      <w:tr w:rsidR="00646F30" w:rsidRPr="00892158" w14:paraId="39466BD7" w14:textId="77777777" w:rsidTr="00C258C2">
        <w:tc>
          <w:tcPr>
            <w:tcW w:w="704" w:type="dxa"/>
            <w:tcBorders>
              <w:top w:val="single" w:sz="4" w:space="0" w:color="auto"/>
              <w:bottom w:val="single" w:sz="4" w:space="0" w:color="auto"/>
            </w:tcBorders>
          </w:tcPr>
          <w:p w14:paraId="148D2A01"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No</w:t>
            </w:r>
          </w:p>
        </w:tc>
        <w:tc>
          <w:tcPr>
            <w:tcW w:w="2698" w:type="dxa"/>
            <w:tcBorders>
              <w:top w:val="single" w:sz="4" w:space="0" w:color="auto"/>
              <w:bottom w:val="single" w:sz="4" w:space="0" w:color="auto"/>
            </w:tcBorders>
          </w:tcPr>
          <w:p w14:paraId="069118FF"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MCDM application</w:t>
            </w:r>
          </w:p>
        </w:tc>
        <w:tc>
          <w:tcPr>
            <w:tcW w:w="1045" w:type="dxa"/>
            <w:tcBorders>
              <w:top w:val="single" w:sz="4" w:space="0" w:color="auto"/>
              <w:bottom w:val="single" w:sz="4" w:space="0" w:color="auto"/>
            </w:tcBorders>
          </w:tcPr>
          <w:p w14:paraId="07789DB2"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Reference</w:t>
            </w:r>
          </w:p>
        </w:tc>
      </w:tr>
      <w:tr w:rsidR="00646F30" w:rsidRPr="00892158" w14:paraId="3C3BEA5F" w14:textId="77777777" w:rsidTr="00C258C2">
        <w:tc>
          <w:tcPr>
            <w:tcW w:w="704" w:type="dxa"/>
            <w:tcBorders>
              <w:top w:val="single" w:sz="4" w:space="0" w:color="auto"/>
            </w:tcBorders>
          </w:tcPr>
          <w:p w14:paraId="5DA3D718"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1</w:t>
            </w:r>
          </w:p>
        </w:tc>
        <w:tc>
          <w:tcPr>
            <w:tcW w:w="2698" w:type="dxa"/>
            <w:tcBorders>
              <w:top w:val="single" w:sz="4" w:space="0" w:color="auto"/>
            </w:tcBorders>
          </w:tcPr>
          <w:p w14:paraId="717F9233" w14:textId="4BB51D71" w:rsidR="00646F30" w:rsidRPr="00892158" w:rsidRDefault="00646F30" w:rsidP="00953AE5">
            <w:pPr>
              <w:ind w:left="0" w:hanging="2"/>
              <w:rPr>
                <w:rFonts w:ascii="Arial" w:eastAsia="Times New Roman" w:hAnsi="Arial" w:cs="Arial"/>
                <w:sz w:val="18"/>
                <w:szCs w:val="18"/>
                <w:lang w:eastAsia="en-ID"/>
              </w:rPr>
            </w:pPr>
            <w:r>
              <w:rPr>
                <w:rFonts w:ascii="Arial" w:eastAsia="Times New Roman" w:hAnsi="Arial" w:cs="Arial"/>
                <w:sz w:val="18"/>
                <w:szCs w:val="18"/>
                <w:lang w:eastAsia="en-ID"/>
              </w:rPr>
              <w:t>Assessing</w:t>
            </w:r>
            <w:r w:rsidRPr="00892158">
              <w:rPr>
                <w:rFonts w:ascii="Arial" w:eastAsia="Times New Roman" w:hAnsi="Arial" w:cs="Arial"/>
                <w:sz w:val="18"/>
                <w:szCs w:val="18"/>
                <w:lang w:eastAsia="en-ID"/>
              </w:rPr>
              <w:t xml:space="preserve"> RER alternatives is a multi-criteria decision-making (MCDM) challenge that can be addressed using adaptable tools to navigate complex scenarios and aid decision-makers (DMs) in analyzing the issue.</w:t>
            </w:r>
          </w:p>
        </w:tc>
        <w:tc>
          <w:tcPr>
            <w:tcW w:w="1045" w:type="dxa"/>
            <w:tcBorders>
              <w:top w:val="single" w:sz="4" w:space="0" w:color="auto"/>
            </w:tcBorders>
          </w:tcPr>
          <w:p w14:paraId="4618B09A" w14:textId="1CF6F8A6"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{"citationItems":[{"id":"ITEM-1","itemData":{"DOI":"https://doi.org/10.1016/j.energy.2017.01.137","ISSN":"0360-5442","abstract":"The use of Renewable Energy Resources (RER) is growing rapidly for energy generation and several studies indicate that these will have a huge contribution in the future. Selecting RER is a complex problem involving different criteria and alternatives. The first aim of the study is the development of an evaluation model to select the most appropriate RER in Turkey. Evaluation of RER alternatives can be seen as a multi criteria decision making (MCDM) problem that can be solved with flexible tools to handle complex situations and assist decision makers (DMs) in mapping out the situation. In this process, Group Decision Making (GDM) involves multiple DMs who have different goals or ways of thinking and can assess the decision process distinctively different from others. Linguistic interval fuzzy preferences with DEMATEL, ANP, TOPSIS integrated techniques are utilized to eliminate uncertainty and to better represent DMs' preferences. The originality of the paper comes from its ability to propose effective and comprehensive evaluation model for both Turkey and literature and apply to a real industrial problem to improve the RER selection process. Another contribution is to adapt integrated techniques including linguistic interval fuzzy preferences with DEMATEL, ANP, TOPSIS for the first time.","author":[{"dropping-particle":"","family":"Büyüközkan","given":"Gülçin","non-dropping-particle":"","parse-names":false,"suffix":""},{"dropping-particle":"","family":"Güleryüz","given":"Sezin","non-dropping-particle":"","parse-names":false,"suffix":""}],"container-title":"Energy","id":"ITEM-1","issued":{"date-parts":[["2017"]]},"page":"149-163","title":"Evaluation of Renewable Energy Resources in Turkey using an integrated MCDM approach with linguistic interval fuzzy preference relations","type":"article-journal","volume":"123"},"uris":["http://www.mendeley.com/documents/?uuid=9792e69f-f257-4a31-8dab-c49adc1d4fce"]}],"mendeley":{"formattedCitation":"[37]","plainTextFormattedCitation":"[37]","previouslyFormattedCitation":"[37]"},"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[37]</w:t>
            </w:r>
            <w:r w:rsidRPr="00892158">
              <w:rPr>
                <w:rFonts w:ascii="Arial" w:eastAsiaTheme="minorEastAsia" w:hAnsi="Arial" w:cs="Arial"/>
                <w:sz w:val="18"/>
                <w:szCs w:val="18"/>
              </w:rPr>
              <w:fldChar w:fldCharType="end"/>
            </w:r>
          </w:p>
        </w:tc>
      </w:tr>
      <w:tr w:rsidR="00646F30" w:rsidRPr="00892158" w14:paraId="329D94CA" w14:textId="77777777" w:rsidTr="00C258C2">
        <w:tc>
          <w:tcPr>
            <w:tcW w:w="704" w:type="dxa"/>
          </w:tcPr>
          <w:p w14:paraId="619B23F7"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2</w:t>
            </w:r>
          </w:p>
        </w:tc>
        <w:tc>
          <w:tcPr>
            <w:tcW w:w="2698" w:type="dxa"/>
          </w:tcPr>
          <w:p w14:paraId="17BF9253"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Evaluation of a renewable energy development objective based on economic, technological, social and environmental factors</w:t>
            </w:r>
          </w:p>
        </w:tc>
        <w:tc>
          <w:tcPr>
            <w:tcW w:w="1045" w:type="dxa"/>
          </w:tcPr>
          <w:p w14:paraId="2B5D3A98" w14:textId="1A809B1D"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{"citationItems":[{"id":"ITEM-1","itemData":{"DOI":"https://doi.org/10.1016/j.susoc.2020.12.002","ISSN":"2666-4127","abstract":"To increase efficiency of energy sector, the implementation of renewable energy systems and finding most appropriate renewable energy resource is of high significance for governments. One of the fundamental decision-making problems in energy sector is to design decision making tools to find optimal energy resources. Usually, experts in the energy decision-making sector have a platform containing multiple criteria indicators that are expressed as conflicting objectives. In this paper, we proposed a Multiple Criteria Decision-Making (MCDM) model to handle conflicting objectives while evaluating five renewable resources: solar PV, Solar thermal, wind power, geothermal, and biomass with respect to economic, technical, social, and environmental aspects. Shannon Entropy method is used to determine the importance of criteria. Evaluation based on distance from average solution (EDAS) is used to prioritize the renewable energy technologies. To demonstrate the feasibility of the proposed decision-making model, a real-life case study for Saudi Arabia is investigated. Under defined socio-economic and environment criteria, results indicate that wind energy can be opted the as most suitable source fitted to the objectives and policies of the decision makers. In order to verify the results and to show the impact of parameter changes on final solutions, different sensitivity analysis tests are performed.","author":[{"dropping-particle":"","family":"Yazdani","given":"Morteza","non-dropping-particle":"","parse-names":false,"suffix":""},{"dropping-particle":"","family":"Torkayesh","given":"Ali Ebadi","non-dropping-particle":"","parse-names":false,"suffix":""},{"dropping-particle":"","family":"Santibanez-Gonzalez","given":"Ernesto D R","non-dropping-particle":"","parse-names":false,"suffix":""},{"dropping-particle":"","family":"Otaghsara","given":"Sina Khanmohammadi","non-dropping-particle":"","parse-names":false,"suffix":""}],"container-title":"Sustainable Operations and Computers","id":"ITEM-1","issued":{"date-parts":[["2020"]]},"page":"35-42","title":"Evaluation of renewable energy resources using integrated Shannon Entropy—EDAS model","type":"article-journal","volume":"1"},"uris":["http://www.mendeley.com/documents/?uuid=6e7af91b-16e1-451d-86d6-b673373a35b6"]}],"mendeley":{"formattedCitation":"[36]","plainTextFormattedCitation":"[36]","previouslyFormattedCitation":"[36]"},"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[36]</w:t>
            </w:r>
            <w:r w:rsidRPr="00892158">
              <w:rPr>
                <w:rFonts w:ascii="Arial" w:eastAsiaTheme="minorEastAsia" w:hAnsi="Arial" w:cs="Arial"/>
                <w:sz w:val="18"/>
                <w:szCs w:val="18"/>
              </w:rPr>
              <w:fldChar w:fldCharType="end"/>
            </w:r>
          </w:p>
        </w:tc>
      </w:tr>
      <w:tr w:rsidR="00646F30" w:rsidRPr="00892158" w14:paraId="41AAA5DF" w14:textId="77777777" w:rsidTr="00C258C2">
        <w:tc>
          <w:tcPr>
            <w:tcW w:w="704" w:type="dxa"/>
          </w:tcPr>
          <w:p w14:paraId="6261CC5E"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3</w:t>
            </w:r>
          </w:p>
        </w:tc>
        <w:tc>
          <w:tcPr>
            <w:tcW w:w="2698" w:type="dxa"/>
          </w:tcPr>
          <w:p w14:paraId="5CEA1AD2" w14:textId="5CFE3095" w:rsidR="00646F30" w:rsidRPr="00892158" w:rsidRDefault="00646F30" w:rsidP="00953AE5">
            <w:pPr>
              <w:ind w:left="0" w:hanging="2"/>
              <w:rPr>
                <w:rFonts w:ascii="Arial" w:eastAsia="Times New Roman" w:hAnsi="Arial" w:cs="Arial"/>
                <w:sz w:val="18"/>
                <w:szCs w:val="18"/>
                <w:lang w:eastAsia="en-ID"/>
              </w:rPr>
            </w:pPr>
            <w:proofErr w:type="spellStart"/>
            <w:r w:rsidRPr="00892158">
              <w:rPr>
                <w:rFonts w:ascii="Arial" w:eastAsia="Times New Roman" w:hAnsi="Arial" w:cs="Arial"/>
                <w:sz w:val="18"/>
                <w:szCs w:val="18"/>
                <w:lang w:eastAsia="en-ID"/>
              </w:rPr>
              <w:t>Prioritise</w:t>
            </w:r>
            <w:proofErr w:type="spellEnd"/>
            <w:r w:rsidRPr="00892158">
              <w:rPr>
                <w:rFonts w:ascii="Arial" w:eastAsia="Times New Roman" w:hAnsi="Arial" w:cs="Arial"/>
                <w:sz w:val="18"/>
                <w:szCs w:val="18"/>
                <w:lang w:eastAsia="en-ID"/>
              </w:rPr>
              <w:t xml:space="preserve"> alternatives, including solar photovoltaic (PV), concentrated solar power (CSP), wind energy, hydropower, and biofuels appropriate for sustainable electrification in Benin.</w:t>
            </w:r>
          </w:p>
        </w:tc>
        <w:tc>
          <w:tcPr>
            <w:tcW w:w="1045" w:type="dxa"/>
          </w:tcPr>
          <w:p w14:paraId="1C13E0FA" w14:textId="6C96471D" w:rsidR="00646F30" w:rsidRPr="00892158" w:rsidRDefault="00253AC2" w:rsidP="00953AE5">
            <w:pPr>
              <w:ind w:left="0" w:hanging="2"/>
              <w:jc w:val="both"/>
              <w:rPr>
                <w:rFonts w:ascii="Arial" w:eastAsiaTheme="minorEastAsia" w:hAnsi="Arial" w:cs="Arial"/>
                <w:sz w:val="18"/>
                <w:szCs w:val="18"/>
              </w:rPr>
            </w:pPr>
            <w:r>
              <w:rPr>
                <w:rFonts w:ascii="Arial" w:eastAsiaTheme="minorEastAsia" w:hAnsi="Arial" w:cs="Arial"/>
                <w:sz w:val="18"/>
                <w:szCs w:val="18"/>
              </w:rPr>
              <w:fldChar w:fldCharType="begin" w:fldLock="1"/>
            </w:r>
            <w:r>
              <w:rPr>
                <w:rFonts w:ascii="Arial" w:eastAsiaTheme="minorEastAsia" w:hAnsi="Arial" w:cs="Arial"/>
                <w:sz w:val="18"/>
                <w:szCs w:val="18"/>
              </w:rPr>
              <w:instrText>ADDIN CSL_CITATION {"citationItems":[{"id":"ITEM-1","itemData":{"DOI":"10.1080/23311916.2023.2204553","author":[{"dropping-particle":"","family":"Akpahou","given":"Romain","non-dropping-particle":"","parse-names":false,"suffix":""},{"dropping-particle":"","family":"Odoi-yorke","given":"Flavio","non-dropping-particle":"","parse-names":false,"suffix":""}],"container-title":"Cogent Engineering","id":"ITEM-1","issue":"1","issued":{"date-parts":[["2023"]]},"publisher":"Cogent","title":"A multicriteria decision-making approach for prioritizing renewable energy resources for sustainable electricity generation in Benin A multicriteria decision-making approach for prioritizing renewable energy resources for sustainable electricity generation in Benin","type":"article-journal","volume":"10"},"uris":["http://www.mendeley.com/documents/?uuid=64f82848-8d30-4282-ac89-5913befb57d1"]}],"mendeley":{"formattedCitation":"[35]","plainTextFormattedCitation":"[35]"},"properties":{"noteIndex":0},"schema":"https://github.com/citation-style-language/schema/raw/master/csl-citation.json"}</w:instrText>
            </w:r>
            <w:r>
              <w:rPr>
                <w:rFonts w:ascii="Arial" w:eastAsiaTheme="minorEastAsia" w:hAnsi="Arial" w:cs="Arial"/>
                <w:sz w:val="18"/>
                <w:szCs w:val="18"/>
              </w:rPr>
              <w:fldChar w:fldCharType="separate"/>
            </w:r>
            <w:r w:rsidRPr="00253AC2">
              <w:rPr>
                <w:rFonts w:ascii="Arial" w:eastAsiaTheme="minorEastAsia" w:hAnsi="Arial" w:cs="Arial"/>
                <w:noProof/>
                <w:sz w:val="18"/>
                <w:szCs w:val="18"/>
              </w:rPr>
              <w:t>[35]</w:t>
            </w:r>
            <w:r>
              <w:rPr>
                <w:rFonts w:ascii="Arial" w:eastAsiaTheme="minorEastAsia" w:hAnsi="Arial" w:cs="Arial"/>
                <w:sz w:val="18"/>
                <w:szCs w:val="18"/>
              </w:rPr>
              <w:fldChar w:fldCharType="end"/>
            </w:r>
          </w:p>
        </w:tc>
      </w:tr>
      <w:tr w:rsidR="00646F30" w:rsidRPr="00892158" w14:paraId="70E96288" w14:textId="77777777" w:rsidTr="00C258C2">
        <w:tc>
          <w:tcPr>
            <w:tcW w:w="704" w:type="dxa"/>
          </w:tcPr>
          <w:p w14:paraId="4AAA27B0"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4</w:t>
            </w:r>
          </w:p>
        </w:tc>
        <w:tc>
          <w:tcPr>
            <w:tcW w:w="2698" w:type="dxa"/>
          </w:tcPr>
          <w:p w14:paraId="7CC1764E" w14:textId="4ADD2A6A"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 xml:space="preserve">Analyzed agricultural waste management strategies as a sustainable renewable energy source for Indonesia. The SWOT and TOPSIS methodologies were employed to determine the most effective strategy for promoting renewable energy in Riau Province, with numerous respondents contributing to </w:t>
            </w:r>
            <w:r>
              <w:rPr>
                <w:rFonts w:ascii="Arial" w:eastAsia="Times New Roman" w:hAnsi="Arial" w:cs="Arial"/>
                <w:sz w:val="18"/>
                <w:szCs w:val="18"/>
                <w:lang w:eastAsia="en-ID"/>
              </w:rPr>
              <w:t>identifying essential criteria and assessing</w:t>
            </w:r>
            <w:r w:rsidRPr="00892158">
              <w:rPr>
                <w:rFonts w:ascii="Arial" w:eastAsia="Times New Roman" w:hAnsi="Arial" w:cs="Arial"/>
                <w:sz w:val="18"/>
                <w:szCs w:val="18"/>
                <w:lang w:eastAsia="en-ID"/>
              </w:rPr>
              <w:t xml:space="preserve"> each alternative.</w:t>
            </w:r>
          </w:p>
        </w:tc>
        <w:tc>
          <w:tcPr>
            <w:tcW w:w="1045" w:type="dxa"/>
          </w:tcPr>
          <w:p w14:paraId="24E499B4" w14:textId="7E1916E3"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author":[{"dropping-particle":"","family":"Rimantho","given":"Dino","non-dropping-particle":"","parse-names":false,"suffix":""},{"dropping-particle":"","family":"Ariyanti","given":"Dita","non-dropping-particle":"","parse-names":false,"suffix":""},{"dropping-particle":"","family":"Maryana","given":"Roni","non-dropping-particle":"","parse-names":false,"suffix":""}],"id":"ITEM-1","issue":"2","issued":{"date-parts":[["2024"]]},"page":"294-312","title":"Decision Making : Applications in Management and Engineering Environmentally Friendly Strategies for Recycling Agricultural Waste to Produce Renewable Energy : A Case Study of Durian Fruit","type":"article-journal","volume":"7"},"uris":["http://www.mendeley.com/documents/?uuid=753c701f-b258-4628-97ac-cff769b2e615"]}],"mendeley":{"formattedCitation":"[29]","plainTextFormattedCitation":"[29]","previouslyFormattedCitation":"[29]"},"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[29]</w:t>
            </w:r>
            <w:r w:rsidRPr="00892158">
              <w:rPr>
                <w:rFonts w:ascii="Arial" w:eastAsiaTheme="minorEastAsia" w:hAnsi="Arial" w:cs="Arial"/>
                <w:sz w:val="18"/>
                <w:szCs w:val="18"/>
              </w:rPr>
              <w:fldChar w:fldCharType="end"/>
            </w:r>
          </w:p>
        </w:tc>
      </w:tr>
      <w:tr w:rsidR="00646F30" w:rsidRPr="00892158" w14:paraId="497F07C1" w14:textId="77777777" w:rsidTr="00C258C2">
        <w:tc>
          <w:tcPr>
            <w:tcW w:w="704" w:type="dxa"/>
          </w:tcPr>
          <w:p w14:paraId="4475FAEF"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5</w:t>
            </w:r>
          </w:p>
        </w:tc>
        <w:tc>
          <w:tcPr>
            <w:tcW w:w="2698" w:type="dxa"/>
          </w:tcPr>
          <w:p w14:paraId="7D2882A7" w14:textId="7C1DC081"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 xml:space="preserve">The VIKOR approach </w:t>
            </w:r>
            <w:r w:rsidR="00253AC2">
              <w:rPr>
                <w:rFonts w:ascii="Arial" w:eastAsiaTheme="minorEastAsia" w:hAnsi="Arial" w:cs="Arial"/>
                <w:sz w:val="18"/>
                <w:szCs w:val="18"/>
              </w:rPr>
              <w:t>selected the most suitable renewable energy source</w:t>
            </w:r>
            <w:r w:rsidRPr="00892158">
              <w:rPr>
                <w:rFonts w:ascii="Arial" w:eastAsiaTheme="minorEastAsia" w:hAnsi="Arial" w:cs="Arial"/>
                <w:sz w:val="18"/>
                <w:szCs w:val="18"/>
              </w:rPr>
              <w:t xml:space="preserve"> for installation at </w:t>
            </w:r>
            <w:r>
              <w:rPr>
                <w:rFonts w:ascii="Arial" w:eastAsiaTheme="minorEastAsia" w:hAnsi="Arial" w:cs="Arial"/>
                <w:sz w:val="18"/>
                <w:szCs w:val="18"/>
              </w:rPr>
              <w:t>India's Banaras Hindu University (BHU) campus</w:t>
            </w:r>
            <w:r w:rsidRPr="00892158">
              <w:rPr>
                <w:rFonts w:ascii="Arial" w:eastAsiaTheme="minorEastAsia" w:hAnsi="Arial" w:cs="Arial"/>
                <w:sz w:val="18"/>
                <w:szCs w:val="18"/>
              </w:rPr>
              <w:t>.</w:t>
            </w:r>
          </w:p>
        </w:tc>
        <w:tc>
          <w:tcPr>
            <w:tcW w:w="1045" w:type="dxa"/>
          </w:tcPr>
          <w:p w14:paraId="16294D16" w14:textId="747A607F"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DOI":"10.1007/s40866-017-0024-7","author":[{"dropping-particle":"","family":"Kumar","given":"Manish","non-dropping-particle":"","parse-names":false,"suffix":""},{"dropping-particle":"","family":"Samuel","given":"Cherian","non-dropping-particle":"","parse-names":false,"suffix":""}],"id":"ITEM-1","issued":{"date-parts":[["2017"]]},"page":"1-10","publisher":"Technology and Economics of Smart Grids and Sustainable Energy","title":"Selection of Best Renewable Energy Source by Using VIKOR Method","type":"article-journal"},"uris":["http://www.mendeley.com/documents/?uuid=df05b547-61fa-44a9-9c0a-d333cb329b9d"]}],"mendeley":{"formattedCitation":"[49]","plainTextFormattedCitation":"[49]","previouslyFormattedCitation":"[49]"},"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[49]</w:t>
            </w:r>
            <w:r w:rsidRPr="00892158">
              <w:rPr>
                <w:rFonts w:ascii="Arial" w:eastAsiaTheme="minorEastAsia" w:hAnsi="Arial" w:cs="Arial"/>
                <w:sz w:val="18"/>
                <w:szCs w:val="18"/>
              </w:rPr>
              <w:fldChar w:fldCharType="end"/>
            </w:r>
          </w:p>
        </w:tc>
      </w:tr>
      <w:tr w:rsidR="00646F30" w:rsidRPr="00892158" w14:paraId="0A210FF2" w14:textId="77777777" w:rsidTr="00C258C2">
        <w:tc>
          <w:tcPr>
            <w:tcW w:w="704" w:type="dxa"/>
          </w:tcPr>
          <w:p w14:paraId="29594AE3"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6</w:t>
            </w:r>
          </w:p>
        </w:tc>
        <w:tc>
          <w:tcPr>
            <w:tcW w:w="2698" w:type="dxa"/>
          </w:tcPr>
          <w:p w14:paraId="619A9CC9" w14:textId="354EB25E" w:rsidR="00646F30" w:rsidRPr="00892158" w:rsidRDefault="00646F30" w:rsidP="00953AE5">
            <w:pPr>
              <w:ind w:left="0" w:hanging="2"/>
              <w:rPr>
                <w:rFonts w:ascii="Arial" w:eastAsiaTheme="minorEastAsia" w:hAnsi="Arial" w:cs="Arial"/>
                <w:sz w:val="18"/>
                <w:szCs w:val="18"/>
              </w:rPr>
            </w:pPr>
            <w:r w:rsidRPr="00892158">
              <w:rPr>
                <w:rFonts w:ascii="Arial" w:eastAsia="Times New Roman" w:hAnsi="Arial" w:cs="Arial"/>
                <w:sz w:val="18"/>
                <w:szCs w:val="18"/>
                <w:lang w:eastAsia="en-ID"/>
              </w:rPr>
              <w:t>Evaluate seven distinct material alternatives based on sixteen factors</w:t>
            </w:r>
            <w:r>
              <w:rPr>
                <w:rFonts w:ascii="Arial" w:eastAsia="Times New Roman" w:hAnsi="Arial" w:cs="Arial"/>
                <w:sz w:val="18"/>
                <w:szCs w:val="18"/>
                <w:lang w:eastAsia="en-ID"/>
              </w:rPr>
              <w:t>:</w:t>
            </w:r>
            <w:r w:rsidRPr="00892158">
              <w:rPr>
                <w:rFonts w:ascii="Arial" w:eastAsia="Times New Roman" w:hAnsi="Arial" w:cs="Arial"/>
                <w:sz w:val="18"/>
                <w:szCs w:val="18"/>
                <w:lang w:eastAsia="en-ID"/>
              </w:rPr>
              <w:t xml:space="preserve"> corrosion resistance, mechanical qualities, cost, and adverse environmental impact.</w:t>
            </w:r>
          </w:p>
        </w:tc>
        <w:tc>
          <w:tcPr>
            <w:tcW w:w="1045" w:type="dxa"/>
          </w:tcPr>
          <w:p w14:paraId="037DBF50" w14:textId="2E607AD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{"citationItems":[{"id":"ITEM-1","itemData":{"ISBN":"4159802472761","author":[{"dropping-particle":"","family":"Raju","given":"Sekar Kidambi","non-dropping-particle":"","parse-names":false,"suffix":""},{"dropping-particle":"","family":"Natesan","given":"Saravanan","non-dropping-particle":"","parse-names":false,"suffix":""},{"dropping-particle":"","family":"Alharbi","given":"Amal H","non-dropping-particle":"","parse-names":false,"suffix":""},{"dropping-particle":"","family":"Kannan","given":"Subhash","non-dropping-particle":"","parse-names":false,"suffix":""},{"dropping-particle":"","family":"Khafaga","given":"Doaa Sami","non-dropping-particle":"","parse-names":false,"suffix":""},{"dropping-particle":"","family":"Periyasamy","given":"Muthusamy","non-dropping-particle":"","parse-names":false,"suffix":""},{"dropping-particle":"","family":"Eid","given":"Marwa M","non-dropping-particle":"","parse-names":false,"suffix":""}],"id":"ITEM-1","issued":{"date-parts":[["2024"]]},"page":"1-22","title":"OPEN AHP VIKOR framework for selecting wind turbine materials with a focus on corrosion and efficiency","type":"article-journal"},"uris":["http://www.mendeley.com/documents/?uuid=94db81de-264d-4710-acab-d45f9b18832a"]}],"mendeley":{"formattedCitation":"[50]","plainTextFormattedCitation":"[50]","previouslyFormattedCitation":"[50]"},"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[50]</w:t>
            </w:r>
            <w:r w:rsidRPr="00892158">
              <w:rPr>
                <w:rFonts w:ascii="Arial" w:eastAsiaTheme="minorEastAsia" w:hAnsi="Arial" w:cs="Arial"/>
                <w:sz w:val="18"/>
                <w:szCs w:val="18"/>
              </w:rPr>
              <w:fldChar w:fldCharType="end"/>
            </w:r>
          </w:p>
        </w:tc>
      </w:tr>
      <w:tr w:rsidR="00646F30" w:rsidRPr="00892158" w14:paraId="1C4966A7" w14:textId="77777777" w:rsidTr="00C258C2">
        <w:tc>
          <w:tcPr>
            <w:tcW w:w="704" w:type="dxa"/>
          </w:tcPr>
          <w:p w14:paraId="316D6D03"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7</w:t>
            </w:r>
          </w:p>
        </w:tc>
        <w:tc>
          <w:tcPr>
            <w:tcW w:w="2698" w:type="dxa"/>
          </w:tcPr>
          <w:p w14:paraId="4DFBEB79"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The examination and evaluation of renewable energy technologies have garnered heightened interest in the political arenas of various nations and the scientific literature. The</w:t>
            </w:r>
          </w:p>
        </w:tc>
        <w:tc>
          <w:tcPr>
            <w:tcW w:w="1045" w:type="dxa"/>
          </w:tcPr>
          <w:p w14:paraId="54856390" w14:textId="622B65AC"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{"citationItems":[{"id":"ITEM-1","itemData":{"author":[{"dropping-particle":"","family":"Siksnelyte-butkiene","given":"Indre","non-dropping-particle":"","parse-names":false,"suffix":""},{"dropping-particle":"","family":"Zavadskas","given":"Edmundas Kazimieras","non-dropping-particle":"","parse-names":false,"suffix":""}],"id":"ITEM-1","issue":"Mcdm","issued":{"date-parts":[["2020"]]},"title":"the Assessment of Renewable Energy Technologies in a Household : A Review","type":"article-journal"},"uris":["http://www.mendeley.com/documents/?uuid=6fd0ee86-4442-40f4-92bd-7f183d45573f"]}],"mendeley":{"formattedCitation":"[51]","plainTextFormattedCitation":"[51]","previouslyFormattedCitation":"[51]"},"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[51]</w:t>
            </w:r>
            <w:r w:rsidRPr="00892158">
              <w:rPr>
                <w:rFonts w:ascii="Arial" w:eastAsiaTheme="minorEastAsia" w:hAnsi="Arial" w:cs="Arial"/>
                <w:sz w:val="18"/>
                <w:szCs w:val="18"/>
              </w:rPr>
              <w:fldChar w:fldCharType="end"/>
            </w:r>
          </w:p>
        </w:tc>
      </w:tr>
      <w:tr w:rsidR="00646F30" w:rsidRPr="00892158" w14:paraId="24E367EB" w14:textId="77777777" w:rsidTr="00C258C2">
        <w:tc>
          <w:tcPr>
            <w:tcW w:w="704" w:type="dxa"/>
          </w:tcPr>
          <w:p w14:paraId="46F3D841"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8</w:t>
            </w:r>
          </w:p>
        </w:tc>
        <w:tc>
          <w:tcPr>
            <w:tcW w:w="2698" w:type="dxa"/>
          </w:tcPr>
          <w:p w14:paraId="13BC0950"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Hybrid multi-criteria decision-making methodology for selecting suitable biomass resources for biofuel production</w:t>
            </w:r>
          </w:p>
        </w:tc>
        <w:tc>
          <w:tcPr>
            <w:tcW w:w="1045" w:type="dxa"/>
          </w:tcPr>
          <w:p w14:paraId="2FBDF16B" w14:textId="5ECDDD20"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{"citationItems":[{"id":"ITEM-1","itemData":{"DOI":"https://doi.org/10.1016/j.scitotenv.2020.144449","ISSN":"0048-9697","abstract":"Biofuel generation from local biomass resources can significantly contribute to greenhouse gas mitigation and cleaner energy production. In this regard, a hybrid Multi-Criteria Decision-Making (MCDM) approach was employed to prioritize appropriate biomass resources for biofuel production. Technique for Order Preference by Similarity to Ideal Solution (TOPSIS), Additive Ratio Assessment (ARAS), and Weighted Aggregates Sum Product Assessment (WASPAS) were the employed MCDM approaches. Subsequently, ranking aggregation methods, i.e., Borda, Copeland, and Rank Mean, were applied to integrate the rankings obtained from the MCDM approaches. Guilan province of Iran was selected as a case study based on its promising potential for biofuel production from first-, second-, and third-generation biofuel resources. Initially, through an in-depth review of the literature and the use of academic professors' expert opinions, ten criteria were selected as the evaluation indices of the study: 1) creating technical side jobs, 2) preserving non-renewable energy resources, 3) relative advantage of biofuel production, 4) complexity of biofuel production process, 5) cost of the biomass conversion process, 6) biomass reusability, 7) cost of biomass supply, 8) environmental impacts of biomass accumulation, 9) adaptability of the biofuel production process to the size of biomass production units and the attitude and knowledge of the producers, and 10) energy self-sufficiency of the biomass producer. Moreover, the 11 investigated potential sources of biofuel production were rice, peanut, livestock and poultry wastes, rice waste, peanut waste, tea residues and its processing wastes, olive residues and its processing wastes, livestock and poultry slaughter and farm-raised fish wastes, municipal solid waste and sewage, forest and wood farming wastes, algae and Azolla. The results indicated that “municipal solid wastes and sewage”, “forest and wood farming wastes” and “livestock and poultry wastes” from the second-generation biofuels were identified as the most important biomass resources in the studied area.","author":[{"dropping-particle":"","family":"Firouzi","given":"Saeed","non-dropping-particle":"","parse-names":false,"suffix":""},{"dropping-particle":"","family":"Allahyari","given":"Mohammad Sadegh","non-dropping-particle":"","parse-names":false,"suffix":""},{"dropping-particle":"","family":"Isazadeh","given":"Mohammadreza","non-dropping-particle":"","parse-names":false,"suffix":""},{"dropping-particle":"","family":"Nikkhah","given":"Amin","non-dropping-particle":"","parse-names":false,"suffix":""},{"dropping-particle":"","family":"Haute","given":"Sam","non-dropping-particle":"Van","parse-names":false,"suffix":""}],"container-title":"Science of The Total Environment","id":"ITEM-1","issued":{"date-parts":[["2021"]]},"page":"144449","title":"Hybrid multi-criteria decision-making approach to select appropriate biomass resources for biofuel production","type":"article-journal","volume":"770"},"uris":["http://www.mendeley.com/documents/?uuid=bb3e0ee8-0a98-48da-9325-a80ece439eb5"]}],"mendeley":{"formattedCitation":"[52]","plainTextFormattedCitation":"[52]","previouslyFormattedCitation":"[52]"},"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[52]</w:t>
            </w:r>
            <w:r w:rsidRPr="00892158">
              <w:rPr>
                <w:rFonts w:ascii="Arial" w:eastAsiaTheme="minorEastAsia" w:hAnsi="Arial" w:cs="Arial"/>
                <w:sz w:val="18"/>
                <w:szCs w:val="18"/>
              </w:rPr>
              <w:fldChar w:fldCharType="end"/>
            </w:r>
          </w:p>
        </w:tc>
      </w:tr>
      <w:tr w:rsidR="00646F30" w:rsidRPr="00892158" w14:paraId="705D3DE8" w14:textId="77777777" w:rsidTr="00C258C2">
        <w:tc>
          <w:tcPr>
            <w:tcW w:w="704" w:type="dxa"/>
          </w:tcPr>
          <w:p w14:paraId="4316783D"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9</w:t>
            </w:r>
          </w:p>
        </w:tc>
        <w:tc>
          <w:tcPr>
            <w:tcW w:w="2698" w:type="dxa"/>
          </w:tcPr>
          <w:p w14:paraId="500F9C25"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Examine and prioritize Iran's primary renewable energy sources: biomass, geothermal, hydropower, solar photovoltaic, and wind.</w:t>
            </w:r>
          </w:p>
        </w:tc>
        <w:tc>
          <w:tcPr>
            <w:tcW w:w="1045" w:type="dxa"/>
          </w:tcPr>
          <w:p w14:paraId="01E60512" w14:textId="2869C61F"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DOI":"10.22097/EEER.2021.292613.1207","author":[{"dropping-particle":"","family":"Rezaei","given":"Mohsen","non-dropping-particle":"","parse-names":false,"suffix":""}],"id":"ITEM-1","issue":"1","issued":{"date-parts":[["2022"]]},"page":"1-19","title":"A Multi-Criteria Decision-Making Approach for Sustainable Energy Prioritization","type":"article-journal","volume":"6"},"uris":["http://www.mendeley.com/documents/?uuid=1cc5513d-02cb-43dd-8170-fcd34532aa74"]}],"mendeley":{"formattedCitation":"[53]","plainTextFormattedCitation":"[53]","previouslyFormattedCitation":"[53]"},"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[53]</w:t>
            </w:r>
            <w:r w:rsidRPr="00892158">
              <w:rPr>
                <w:rFonts w:ascii="Arial" w:eastAsiaTheme="minorEastAsia" w:hAnsi="Arial" w:cs="Arial"/>
                <w:sz w:val="18"/>
                <w:szCs w:val="18"/>
              </w:rPr>
              <w:fldChar w:fldCharType="end"/>
            </w:r>
          </w:p>
        </w:tc>
      </w:tr>
      <w:tr w:rsidR="00646F30" w:rsidRPr="00892158" w14:paraId="2E95A13D" w14:textId="77777777" w:rsidTr="00C258C2">
        <w:tc>
          <w:tcPr>
            <w:tcW w:w="704" w:type="dxa"/>
            <w:tcBorders>
              <w:bottom w:val="single" w:sz="4" w:space="0" w:color="auto"/>
            </w:tcBorders>
          </w:tcPr>
          <w:p w14:paraId="441CDA3B" w14:textId="7777777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t>10</w:t>
            </w:r>
          </w:p>
        </w:tc>
        <w:tc>
          <w:tcPr>
            <w:tcW w:w="2698" w:type="dxa"/>
            <w:tcBorders>
              <w:bottom w:val="single" w:sz="4" w:space="0" w:color="auto"/>
            </w:tcBorders>
          </w:tcPr>
          <w:p w14:paraId="21ECD809" w14:textId="77777777" w:rsidR="00646F30" w:rsidRPr="00892158" w:rsidRDefault="00646F30" w:rsidP="00953AE5">
            <w:pPr>
              <w:ind w:left="0" w:hanging="2"/>
              <w:rPr>
                <w:rFonts w:ascii="Arial" w:eastAsia="Times New Roman" w:hAnsi="Arial" w:cs="Arial"/>
                <w:sz w:val="18"/>
                <w:szCs w:val="18"/>
                <w:lang w:eastAsia="en-ID"/>
              </w:rPr>
            </w:pPr>
            <w:r w:rsidRPr="00892158">
              <w:rPr>
                <w:rFonts w:ascii="Arial" w:eastAsia="Times New Roman" w:hAnsi="Arial" w:cs="Arial"/>
                <w:sz w:val="18"/>
                <w:szCs w:val="18"/>
                <w:lang w:eastAsia="en-ID"/>
              </w:rPr>
              <w:t>Examine and prioritize Iran's primary renewable energy sources: biomass, geothermal, hydropower, solar photovoltaic, and wind.</w:t>
            </w:r>
          </w:p>
        </w:tc>
        <w:tc>
          <w:tcPr>
            <w:tcW w:w="1045" w:type="dxa"/>
            <w:tcBorders>
              <w:bottom w:val="single" w:sz="4" w:space="0" w:color="auto"/>
            </w:tcBorders>
          </w:tcPr>
          <w:p w14:paraId="16289981" w14:textId="4721AEC7" w:rsidR="00646F30" w:rsidRPr="00892158" w:rsidRDefault="00646F30" w:rsidP="00953AE5">
            <w:pPr>
              <w:ind w:left="0" w:hanging="2"/>
              <w:jc w:val="both"/>
              <w:rPr>
                <w:rFonts w:ascii="Arial" w:eastAsiaTheme="minorEastAsia" w:hAnsi="Arial" w:cs="Arial"/>
                <w:sz w:val="18"/>
                <w:szCs w:val="18"/>
              </w:rPr>
            </w:pPr>
            <w:r w:rsidRPr="00892158">
              <w:rPr>
                <w:rFonts w:ascii="Arial" w:eastAsiaTheme="minorEastAsia" w:hAnsi="Arial" w:cs="Arial"/>
                <w:sz w:val="18"/>
                <w:szCs w:val="18"/>
              </w:rPr>
              <w:fldChar w:fldCharType="begin" w:fldLock="1"/>
            </w:r>
            <w:r w:rsidR="00253AC2">
              <w:rPr>
                <w:rFonts w:ascii="Arial" w:eastAsiaTheme="minorEastAsia" w:hAnsi="Arial" w:cs="Arial"/>
                <w:sz w:val="18"/>
                <w:szCs w:val="18"/>
              </w:rPr>
              <w:instrText>ADDIN CSL_CITATION {"citationItems":[{"id":"ITEM-1","itemData":{"DOI":"10.1111/gcbb.12863","author":[{"dropping-particle":"","family":"Calvin","given":"Katherine","non-dropping-particle":"","parse-names":false,"suffix":""},{"dropping-particle":"","family":"Cowie","given":"Annette","non-dropping-particle":"","parse-names":false,"suffix":""},{"dropping-particle":"","family":"Berndes","given":"Göran","non-dropping-particle":"","parse-names":false,"suffix":""},{"dropping-particle":"","family":"Arneth","given":"Almut","non-dropping-particle":"","parse-names":false,"suffix":""},{"dropping-particle":"","family":"Portugal-","given":"Francesco Cherubini Joana","non-dropping-particle":"","parse-names":false,"suffix":""},{"dropping-particle":"","family":"Grassi","given":"Giacomo","non-dropping-particle":"","parse-names":false,"suffix":""},{"dropping-particle":"","family":"House","given":"Jo","non-dropping-particle":"","parse-names":false,"suffix":""}],"id":"ITEM-1","issued":{"date-parts":[["2021"]]},"title":"Edinburgh Research Explorer Bioenergy for climate change mitigation Scale and sustainability Bioenergy for climate change mitigation : Scale and sustainability","type":"article-journal"},"uris":["http://www.mendeley.com/documents/?uuid=cdcac279-959d-44ca-918c-ce53407f82bc"]}],"mendeley":{"formattedCitation":"[54]","plainTextFormattedCitation":"[54]","previouslyFormattedCitation":"[54]"},"properties":{"noteIndex":0},"schema":"https://github.com/citation-style-language/schema/raw/master/csl-citation.json"}</w:instrText>
            </w:r>
            <w:r w:rsidRPr="00892158">
              <w:rPr>
                <w:rFonts w:ascii="Arial" w:eastAsiaTheme="minorEastAsia" w:hAnsi="Arial" w:cs="Arial"/>
                <w:sz w:val="18"/>
                <w:szCs w:val="18"/>
              </w:rPr>
              <w:fldChar w:fldCharType="separate"/>
            </w:r>
            <w:r w:rsidRPr="00892158">
              <w:rPr>
                <w:rFonts w:ascii="Arial" w:eastAsiaTheme="minorEastAsia" w:hAnsi="Arial" w:cs="Arial"/>
                <w:noProof/>
                <w:sz w:val="18"/>
                <w:szCs w:val="18"/>
              </w:rPr>
              <w:t>[54]</w:t>
            </w:r>
            <w:r w:rsidRPr="00892158">
              <w:rPr>
                <w:rFonts w:ascii="Arial" w:eastAsiaTheme="minorEastAsia" w:hAnsi="Arial" w:cs="Arial"/>
                <w:sz w:val="18"/>
                <w:szCs w:val="18"/>
              </w:rPr>
              <w:fldChar w:fldCharType="end"/>
            </w:r>
          </w:p>
        </w:tc>
      </w:tr>
    </w:tbl>
    <w:p w14:paraId="47C757AC" w14:textId="77777777" w:rsidR="00646F30" w:rsidRPr="00892158" w:rsidRDefault="00646F30" w:rsidP="00953AE5">
      <w:pPr>
        <w:spacing w:line="240" w:lineRule="auto"/>
        <w:ind w:left="0" w:hanging="2"/>
        <w:rPr>
          <w:rFonts w:ascii="Arial" w:hAnsi="Arial" w:cs="Arial"/>
          <w:sz w:val="18"/>
          <w:szCs w:val="18"/>
        </w:rPr>
      </w:pPr>
      <w:r w:rsidRPr="00892158">
        <w:rPr>
          <w:rFonts w:ascii="Arial" w:hAnsi="Arial" w:cs="Arial"/>
          <w:sz w:val="18"/>
          <w:szCs w:val="18"/>
        </w:rPr>
        <w:t>The results of discussions with respondents related to the criteria and alternatives as in table 4 below:</w:t>
      </w:r>
    </w:p>
    <w:p w14:paraId="457B3D1F" w14:textId="1C931A2F" w:rsidR="00646F30" w:rsidRPr="00892158" w:rsidRDefault="00646F30" w:rsidP="00953AE5">
      <w:pPr>
        <w:spacing w:line="240" w:lineRule="auto"/>
        <w:ind w:left="0" w:hanging="2"/>
        <w:rPr>
          <w:rFonts w:ascii="Arial" w:hAnsi="Arial" w:cs="Arial"/>
          <w:sz w:val="18"/>
          <w:szCs w:val="18"/>
        </w:rPr>
      </w:pPr>
      <w:r w:rsidRPr="00892158">
        <w:rPr>
          <w:rFonts w:ascii="Arial" w:hAnsi="Arial" w:cs="Arial"/>
          <w:sz w:val="18"/>
          <w:szCs w:val="18"/>
        </w:rPr>
        <w:t>Table 4. Criteria and alternatives for developing BSF Maggots as biodiesel</w:t>
      </w:r>
    </w:p>
    <w:tbl>
      <w:tblPr>
        <w:tblStyle w:val="TableGrid"/>
        <w:tblW w:w="4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992"/>
        <w:gridCol w:w="1337"/>
        <w:gridCol w:w="787"/>
      </w:tblGrid>
      <w:tr w:rsidR="00646F30" w:rsidRPr="00646F30" w14:paraId="5F031A99" w14:textId="77777777" w:rsidTr="00646F30">
        <w:trPr>
          <w:trHeight w:val="288"/>
        </w:trPr>
        <w:tc>
          <w:tcPr>
            <w:tcW w:w="1276" w:type="dxa"/>
            <w:tcBorders>
              <w:top w:val="single" w:sz="4" w:space="0" w:color="auto"/>
              <w:bottom w:val="single" w:sz="4" w:space="0" w:color="auto"/>
            </w:tcBorders>
            <w:noWrap/>
            <w:hideMark/>
          </w:tcPr>
          <w:p w14:paraId="23E4ADB9" w14:textId="77777777" w:rsidR="00646F30" w:rsidRPr="00646F30" w:rsidRDefault="00646F30" w:rsidP="00953AE5">
            <w:pPr>
              <w:ind w:left="0" w:hanging="2"/>
              <w:rPr>
                <w:rFonts w:ascii="Arial" w:eastAsia="Times New Roman" w:hAnsi="Arial" w:cs="Arial"/>
                <w:b/>
                <w:bCs/>
                <w:color w:val="000000"/>
                <w:sz w:val="16"/>
                <w:szCs w:val="16"/>
                <w:lang w:eastAsia="en-ID"/>
              </w:rPr>
            </w:pPr>
            <w:r w:rsidRPr="00646F30">
              <w:rPr>
                <w:rFonts w:ascii="Arial" w:eastAsia="Times New Roman" w:hAnsi="Arial" w:cs="Arial"/>
                <w:b/>
                <w:bCs/>
                <w:color w:val="000000"/>
                <w:sz w:val="16"/>
                <w:szCs w:val="16"/>
                <w:lang w:eastAsia="en-ID"/>
              </w:rPr>
              <w:t>Criteria</w:t>
            </w:r>
          </w:p>
        </w:tc>
        <w:tc>
          <w:tcPr>
            <w:tcW w:w="992" w:type="dxa"/>
            <w:tcBorders>
              <w:top w:val="single" w:sz="4" w:space="0" w:color="auto"/>
              <w:bottom w:val="single" w:sz="4" w:space="0" w:color="auto"/>
            </w:tcBorders>
            <w:noWrap/>
            <w:hideMark/>
          </w:tcPr>
          <w:p w14:paraId="16E9556C" w14:textId="77777777" w:rsidR="00646F30" w:rsidRPr="00646F30" w:rsidRDefault="00646F30" w:rsidP="00953AE5">
            <w:pPr>
              <w:ind w:left="0" w:hanging="2"/>
              <w:rPr>
                <w:rFonts w:ascii="Arial" w:eastAsia="Times New Roman" w:hAnsi="Arial" w:cs="Arial"/>
                <w:b/>
                <w:bCs/>
                <w:color w:val="000000"/>
                <w:sz w:val="16"/>
                <w:szCs w:val="16"/>
                <w:lang w:eastAsia="en-ID"/>
              </w:rPr>
            </w:pPr>
            <w:r w:rsidRPr="00646F30">
              <w:rPr>
                <w:rFonts w:ascii="Arial" w:eastAsia="Times New Roman" w:hAnsi="Arial" w:cs="Arial"/>
                <w:b/>
                <w:bCs/>
                <w:color w:val="000000"/>
                <w:sz w:val="16"/>
                <w:szCs w:val="16"/>
                <w:lang w:eastAsia="en-ID"/>
              </w:rPr>
              <w:t>Code</w:t>
            </w:r>
          </w:p>
        </w:tc>
        <w:tc>
          <w:tcPr>
            <w:tcW w:w="1337" w:type="dxa"/>
            <w:tcBorders>
              <w:top w:val="single" w:sz="4" w:space="0" w:color="auto"/>
              <w:bottom w:val="single" w:sz="4" w:space="0" w:color="auto"/>
            </w:tcBorders>
          </w:tcPr>
          <w:p w14:paraId="107EC117"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b/>
                <w:bCs/>
                <w:color w:val="000000"/>
                <w:sz w:val="16"/>
                <w:szCs w:val="16"/>
                <w:lang w:eastAsia="en-ID"/>
              </w:rPr>
              <w:t>Alternative</w:t>
            </w:r>
          </w:p>
        </w:tc>
        <w:tc>
          <w:tcPr>
            <w:tcW w:w="864" w:type="dxa"/>
            <w:tcBorders>
              <w:top w:val="single" w:sz="4" w:space="0" w:color="auto"/>
              <w:bottom w:val="single" w:sz="4" w:space="0" w:color="auto"/>
            </w:tcBorders>
          </w:tcPr>
          <w:p w14:paraId="69C25350"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b/>
                <w:bCs/>
                <w:color w:val="000000"/>
                <w:sz w:val="16"/>
                <w:szCs w:val="16"/>
                <w:lang w:eastAsia="en-ID"/>
              </w:rPr>
              <w:t>Code</w:t>
            </w:r>
          </w:p>
        </w:tc>
      </w:tr>
      <w:tr w:rsidR="00646F30" w:rsidRPr="00646F30" w14:paraId="1096C108" w14:textId="77777777" w:rsidTr="00646F30">
        <w:trPr>
          <w:trHeight w:val="288"/>
        </w:trPr>
        <w:tc>
          <w:tcPr>
            <w:tcW w:w="1276" w:type="dxa"/>
            <w:tcBorders>
              <w:top w:val="single" w:sz="4" w:space="0" w:color="auto"/>
            </w:tcBorders>
            <w:noWrap/>
            <w:hideMark/>
          </w:tcPr>
          <w:p w14:paraId="15204710"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lastRenderedPageBreak/>
              <w:t>The production process is simple and easy</w:t>
            </w:r>
          </w:p>
        </w:tc>
        <w:tc>
          <w:tcPr>
            <w:tcW w:w="992" w:type="dxa"/>
            <w:tcBorders>
              <w:top w:val="single" w:sz="4" w:space="0" w:color="auto"/>
            </w:tcBorders>
            <w:noWrap/>
          </w:tcPr>
          <w:p w14:paraId="1252DE5F"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CRT_1</w:t>
            </w:r>
          </w:p>
        </w:tc>
        <w:tc>
          <w:tcPr>
            <w:tcW w:w="1337" w:type="dxa"/>
            <w:tcBorders>
              <w:top w:val="single" w:sz="4" w:space="0" w:color="auto"/>
            </w:tcBorders>
          </w:tcPr>
          <w:p w14:paraId="1029A6C6"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Improvement of environmentally friendly technologies</w:t>
            </w:r>
          </w:p>
        </w:tc>
        <w:tc>
          <w:tcPr>
            <w:tcW w:w="864" w:type="dxa"/>
            <w:tcBorders>
              <w:top w:val="single" w:sz="4" w:space="0" w:color="auto"/>
            </w:tcBorders>
          </w:tcPr>
          <w:p w14:paraId="28EFBF9D"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ALT_1</w:t>
            </w:r>
          </w:p>
        </w:tc>
      </w:tr>
      <w:tr w:rsidR="00646F30" w:rsidRPr="00646F30" w14:paraId="374C553C" w14:textId="77777777" w:rsidTr="00646F30">
        <w:trPr>
          <w:trHeight w:val="288"/>
        </w:trPr>
        <w:tc>
          <w:tcPr>
            <w:tcW w:w="1276" w:type="dxa"/>
            <w:noWrap/>
            <w:hideMark/>
          </w:tcPr>
          <w:p w14:paraId="0277FEF7"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Strategic production location</w:t>
            </w:r>
          </w:p>
        </w:tc>
        <w:tc>
          <w:tcPr>
            <w:tcW w:w="992" w:type="dxa"/>
            <w:noWrap/>
          </w:tcPr>
          <w:p w14:paraId="507CFFE7"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CRT_2</w:t>
            </w:r>
          </w:p>
        </w:tc>
        <w:tc>
          <w:tcPr>
            <w:tcW w:w="1337" w:type="dxa"/>
          </w:tcPr>
          <w:p w14:paraId="66722745"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Government incentives</w:t>
            </w:r>
          </w:p>
        </w:tc>
        <w:tc>
          <w:tcPr>
            <w:tcW w:w="864" w:type="dxa"/>
          </w:tcPr>
          <w:p w14:paraId="4459778E"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ALT_2</w:t>
            </w:r>
          </w:p>
        </w:tc>
      </w:tr>
      <w:tr w:rsidR="00646F30" w:rsidRPr="00646F30" w14:paraId="7BAA7AE5" w14:textId="77777777" w:rsidTr="00646F30">
        <w:trPr>
          <w:trHeight w:val="288"/>
        </w:trPr>
        <w:tc>
          <w:tcPr>
            <w:tcW w:w="1276" w:type="dxa"/>
            <w:noWrap/>
            <w:hideMark/>
          </w:tcPr>
          <w:p w14:paraId="066E9FB0"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Product quality complies with SNI standards.</w:t>
            </w:r>
          </w:p>
        </w:tc>
        <w:tc>
          <w:tcPr>
            <w:tcW w:w="992" w:type="dxa"/>
            <w:noWrap/>
          </w:tcPr>
          <w:p w14:paraId="5CF0E1F3"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CRT_3</w:t>
            </w:r>
          </w:p>
        </w:tc>
        <w:tc>
          <w:tcPr>
            <w:tcW w:w="1337" w:type="dxa"/>
          </w:tcPr>
          <w:p w14:paraId="20191E44"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Capital investment</w:t>
            </w:r>
          </w:p>
        </w:tc>
        <w:tc>
          <w:tcPr>
            <w:tcW w:w="864" w:type="dxa"/>
          </w:tcPr>
          <w:p w14:paraId="7EAADB42"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ALT_3</w:t>
            </w:r>
          </w:p>
        </w:tc>
      </w:tr>
      <w:tr w:rsidR="00646F30" w:rsidRPr="00646F30" w14:paraId="2FBB08A3" w14:textId="77777777" w:rsidTr="00646F30">
        <w:trPr>
          <w:trHeight w:val="288"/>
        </w:trPr>
        <w:tc>
          <w:tcPr>
            <w:tcW w:w="1276" w:type="dxa"/>
            <w:noWrap/>
            <w:hideMark/>
          </w:tcPr>
          <w:p w14:paraId="56399036"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Environmentally aware</w:t>
            </w:r>
          </w:p>
        </w:tc>
        <w:tc>
          <w:tcPr>
            <w:tcW w:w="992" w:type="dxa"/>
            <w:noWrap/>
          </w:tcPr>
          <w:p w14:paraId="795E4C8B"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CRT_4</w:t>
            </w:r>
          </w:p>
        </w:tc>
        <w:tc>
          <w:tcPr>
            <w:tcW w:w="1337" w:type="dxa"/>
          </w:tcPr>
          <w:p w14:paraId="31AB6409"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Regulatory support</w:t>
            </w:r>
          </w:p>
        </w:tc>
        <w:tc>
          <w:tcPr>
            <w:tcW w:w="864" w:type="dxa"/>
          </w:tcPr>
          <w:p w14:paraId="17298AB5"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ALT_4</w:t>
            </w:r>
          </w:p>
        </w:tc>
      </w:tr>
      <w:tr w:rsidR="00646F30" w:rsidRPr="00646F30" w14:paraId="42180165" w14:textId="77777777" w:rsidTr="00646F30">
        <w:trPr>
          <w:trHeight w:val="288"/>
        </w:trPr>
        <w:tc>
          <w:tcPr>
            <w:tcW w:w="1276" w:type="dxa"/>
            <w:noWrap/>
            <w:hideMark/>
          </w:tcPr>
          <w:p w14:paraId="3547289C"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High investment costs</w:t>
            </w:r>
          </w:p>
        </w:tc>
        <w:tc>
          <w:tcPr>
            <w:tcW w:w="992" w:type="dxa"/>
            <w:noWrap/>
          </w:tcPr>
          <w:p w14:paraId="05EDC8E2"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CRT_5</w:t>
            </w:r>
          </w:p>
        </w:tc>
        <w:tc>
          <w:tcPr>
            <w:tcW w:w="1337" w:type="dxa"/>
          </w:tcPr>
          <w:p w14:paraId="0E404246"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Increasing public understanding of renewable energy</w:t>
            </w:r>
          </w:p>
        </w:tc>
        <w:tc>
          <w:tcPr>
            <w:tcW w:w="864" w:type="dxa"/>
          </w:tcPr>
          <w:p w14:paraId="523B256F"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ALT_5</w:t>
            </w:r>
          </w:p>
        </w:tc>
      </w:tr>
      <w:tr w:rsidR="00646F30" w:rsidRPr="00646F30" w14:paraId="5819AD5E" w14:textId="77777777" w:rsidTr="00646F30">
        <w:trPr>
          <w:trHeight w:val="288"/>
        </w:trPr>
        <w:tc>
          <w:tcPr>
            <w:tcW w:w="1276" w:type="dxa"/>
            <w:noWrap/>
            <w:hideMark/>
          </w:tcPr>
          <w:p w14:paraId="2DFA5303"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Lack of pro-renewable energy policies</w:t>
            </w:r>
          </w:p>
        </w:tc>
        <w:tc>
          <w:tcPr>
            <w:tcW w:w="992" w:type="dxa"/>
            <w:noWrap/>
          </w:tcPr>
          <w:p w14:paraId="774F7354"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CRT_6</w:t>
            </w:r>
          </w:p>
        </w:tc>
        <w:tc>
          <w:tcPr>
            <w:tcW w:w="1337" w:type="dxa"/>
          </w:tcPr>
          <w:p w14:paraId="3E08442B"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Increased collaboration between stakeholders</w:t>
            </w:r>
          </w:p>
        </w:tc>
        <w:tc>
          <w:tcPr>
            <w:tcW w:w="864" w:type="dxa"/>
          </w:tcPr>
          <w:p w14:paraId="5E2BF9C4"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ALT_6</w:t>
            </w:r>
          </w:p>
        </w:tc>
      </w:tr>
      <w:tr w:rsidR="00646F30" w:rsidRPr="00646F30" w14:paraId="53D3CF2E" w14:textId="77777777" w:rsidTr="00646F30">
        <w:trPr>
          <w:trHeight w:val="288"/>
        </w:trPr>
        <w:tc>
          <w:tcPr>
            <w:tcW w:w="1276" w:type="dxa"/>
            <w:noWrap/>
            <w:hideMark/>
          </w:tcPr>
          <w:p w14:paraId="6C1CCED4"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Energy transition alternatives</w:t>
            </w:r>
          </w:p>
        </w:tc>
        <w:tc>
          <w:tcPr>
            <w:tcW w:w="992" w:type="dxa"/>
            <w:noWrap/>
          </w:tcPr>
          <w:p w14:paraId="2837997F"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CRT_7</w:t>
            </w:r>
          </w:p>
        </w:tc>
        <w:tc>
          <w:tcPr>
            <w:tcW w:w="1337" w:type="dxa"/>
          </w:tcPr>
          <w:p w14:paraId="780867FD" w14:textId="77777777" w:rsidR="00646F30" w:rsidRPr="00646F30" w:rsidRDefault="00646F30" w:rsidP="00953AE5">
            <w:pPr>
              <w:ind w:left="0" w:hanging="2"/>
              <w:rPr>
                <w:rFonts w:ascii="Arial" w:eastAsia="Times New Roman" w:hAnsi="Arial" w:cs="Arial"/>
                <w:color w:val="000000"/>
                <w:sz w:val="16"/>
                <w:szCs w:val="16"/>
                <w:lang w:eastAsia="en-ID"/>
              </w:rPr>
            </w:pPr>
          </w:p>
        </w:tc>
        <w:tc>
          <w:tcPr>
            <w:tcW w:w="864" w:type="dxa"/>
          </w:tcPr>
          <w:p w14:paraId="758A405B" w14:textId="77777777" w:rsidR="00646F30" w:rsidRPr="00646F30" w:rsidRDefault="00646F30" w:rsidP="00953AE5">
            <w:pPr>
              <w:ind w:left="0" w:hanging="2"/>
              <w:jc w:val="right"/>
              <w:rPr>
                <w:rFonts w:ascii="Arial" w:eastAsia="Times New Roman" w:hAnsi="Arial" w:cs="Arial"/>
                <w:color w:val="000000"/>
                <w:sz w:val="16"/>
                <w:szCs w:val="16"/>
                <w:lang w:eastAsia="en-ID"/>
              </w:rPr>
            </w:pPr>
          </w:p>
        </w:tc>
      </w:tr>
      <w:tr w:rsidR="00646F30" w:rsidRPr="00646F30" w14:paraId="26144556" w14:textId="77777777" w:rsidTr="00646F30">
        <w:trPr>
          <w:trHeight w:val="288"/>
        </w:trPr>
        <w:tc>
          <w:tcPr>
            <w:tcW w:w="1276" w:type="dxa"/>
            <w:noWrap/>
            <w:hideMark/>
          </w:tcPr>
          <w:p w14:paraId="7FBFF5BE"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Changes in strategy and policy</w:t>
            </w:r>
          </w:p>
        </w:tc>
        <w:tc>
          <w:tcPr>
            <w:tcW w:w="992" w:type="dxa"/>
            <w:noWrap/>
          </w:tcPr>
          <w:p w14:paraId="024378A8"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CRT_8</w:t>
            </w:r>
          </w:p>
        </w:tc>
        <w:tc>
          <w:tcPr>
            <w:tcW w:w="1337" w:type="dxa"/>
          </w:tcPr>
          <w:p w14:paraId="7178779B" w14:textId="77777777" w:rsidR="00646F30" w:rsidRPr="00646F30" w:rsidRDefault="00646F30" w:rsidP="00953AE5">
            <w:pPr>
              <w:ind w:left="0" w:hanging="2"/>
              <w:rPr>
                <w:rFonts w:ascii="Arial" w:eastAsia="Times New Roman" w:hAnsi="Arial" w:cs="Arial"/>
                <w:color w:val="000000"/>
                <w:sz w:val="16"/>
                <w:szCs w:val="16"/>
                <w:lang w:eastAsia="en-ID"/>
              </w:rPr>
            </w:pPr>
          </w:p>
        </w:tc>
        <w:tc>
          <w:tcPr>
            <w:tcW w:w="864" w:type="dxa"/>
          </w:tcPr>
          <w:p w14:paraId="35916674" w14:textId="4003BEC2" w:rsidR="00646F30" w:rsidRPr="00646F30" w:rsidRDefault="00646F30" w:rsidP="00953AE5">
            <w:pPr>
              <w:ind w:left="0" w:hanging="2"/>
              <w:jc w:val="right"/>
              <w:rPr>
                <w:rFonts w:ascii="Arial" w:eastAsia="Times New Roman" w:hAnsi="Arial" w:cs="Arial"/>
                <w:color w:val="000000"/>
                <w:sz w:val="16"/>
                <w:szCs w:val="16"/>
                <w:lang w:eastAsia="en-ID"/>
              </w:rPr>
            </w:pPr>
          </w:p>
        </w:tc>
      </w:tr>
      <w:tr w:rsidR="00646F30" w:rsidRPr="00646F30" w14:paraId="6D94FC11" w14:textId="77777777" w:rsidTr="00646F30">
        <w:trPr>
          <w:trHeight w:val="288"/>
        </w:trPr>
        <w:tc>
          <w:tcPr>
            <w:tcW w:w="1276" w:type="dxa"/>
            <w:noWrap/>
            <w:hideMark/>
          </w:tcPr>
          <w:p w14:paraId="72B4BBDF"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High potential for conflict of interest</w:t>
            </w:r>
          </w:p>
        </w:tc>
        <w:tc>
          <w:tcPr>
            <w:tcW w:w="992" w:type="dxa"/>
            <w:noWrap/>
          </w:tcPr>
          <w:p w14:paraId="1A984CBB"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CRT_9</w:t>
            </w:r>
          </w:p>
        </w:tc>
        <w:tc>
          <w:tcPr>
            <w:tcW w:w="1337" w:type="dxa"/>
          </w:tcPr>
          <w:p w14:paraId="5FC45901" w14:textId="17DF2D5C" w:rsidR="00646F30" w:rsidRPr="00646F30" w:rsidRDefault="00646F30" w:rsidP="00953AE5">
            <w:pPr>
              <w:ind w:left="0" w:hanging="2"/>
              <w:rPr>
                <w:rFonts w:ascii="Arial" w:eastAsia="Times New Roman" w:hAnsi="Arial" w:cs="Arial"/>
                <w:color w:val="000000"/>
                <w:sz w:val="16"/>
                <w:szCs w:val="16"/>
                <w:lang w:eastAsia="en-ID"/>
              </w:rPr>
            </w:pPr>
          </w:p>
        </w:tc>
        <w:tc>
          <w:tcPr>
            <w:tcW w:w="864" w:type="dxa"/>
          </w:tcPr>
          <w:p w14:paraId="0A97689D" w14:textId="370398C0" w:rsidR="00646F30" w:rsidRPr="00646F30" w:rsidRDefault="00646F30" w:rsidP="00953AE5">
            <w:pPr>
              <w:ind w:left="0" w:hanging="2"/>
              <w:jc w:val="right"/>
              <w:rPr>
                <w:rFonts w:ascii="Arial" w:eastAsia="Times New Roman" w:hAnsi="Arial" w:cs="Arial"/>
                <w:color w:val="000000"/>
                <w:sz w:val="16"/>
                <w:szCs w:val="16"/>
                <w:lang w:eastAsia="en-ID"/>
              </w:rPr>
            </w:pPr>
          </w:p>
        </w:tc>
      </w:tr>
      <w:tr w:rsidR="00646F30" w:rsidRPr="00646F30" w14:paraId="63D70267" w14:textId="77777777" w:rsidTr="00646F30">
        <w:trPr>
          <w:trHeight w:val="288"/>
        </w:trPr>
        <w:tc>
          <w:tcPr>
            <w:tcW w:w="1276" w:type="dxa"/>
            <w:noWrap/>
            <w:hideMark/>
          </w:tcPr>
          <w:p w14:paraId="0796F863"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Low coordination between stakeholders</w:t>
            </w:r>
          </w:p>
        </w:tc>
        <w:tc>
          <w:tcPr>
            <w:tcW w:w="992" w:type="dxa"/>
            <w:noWrap/>
          </w:tcPr>
          <w:p w14:paraId="45C3AA22"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CRT_10</w:t>
            </w:r>
          </w:p>
        </w:tc>
        <w:tc>
          <w:tcPr>
            <w:tcW w:w="1337" w:type="dxa"/>
          </w:tcPr>
          <w:p w14:paraId="7E62AEB8" w14:textId="39FD5A87" w:rsidR="00646F30" w:rsidRPr="00646F30" w:rsidRDefault="00646F30" w:rsidP="00953AE5">
            <w:pPr>
              <w:ind w:left="0" w:hanging="2"/>
              <w:rPr>
                <w:rFonts w:ascii="Arial" w:eastAsia="Times New Roman" w:hAnsi="Arial" w:cs="Arial"/>
                <w:color w:val="000000"/>
                <w:sz w:val="16"/>
                <w:szCs w:val="16"/>
                <w:lang w:eastAsia="en-ID"/>
              </w:rPr>
            </w:pPr>
          </w:p>
        </w:tc>
        <w:tc>
          <w:tcPr>
            <w:tcW w:w="864" w:type="dxa"/>
          </w:tcPr>
          <w:p w14:paraId="2AD5B6EA" w14:textId="77777777" w:rsidR="00646F30" w:rsidRPr="00646F30" w:rsidRDefault="00646F30" w:rsidP="00953AE5">
            <w:pPr>
              <w:ind w:left="0" w:hanging="2"/>
              <w:jc w:val="right"/>
              <w:rPr>
                <w:rFonts w:ascii="Arial" w:eastAsia="Times New Roman" w:hAnsi="Arial" w:cs="Arial"/>
                <w:color w:val="000000"/>
                <w:sz w:val="16"/>
                <w:szCs w:val="16"/>
                <w:lang w:eastAsia="en-ID"/>
              </w:rPr>
            </w:pPr>
          </w:p>
        </w:tc>
      </w:tr>
      <w:tr w:rsidR="00646F30" w:rsidRPr="00646F30" w14:paraId="001207F3" w14:textId="77777777" w:rsidTr="00646F30">
        <w:trPr>
          <w:trHeight w:val="288"/>
        </w:trPr>
        <w:tc>
          <w:tcPr>
            <w:tcW w:w="1276" w:type="dxa"/>
            <w:tcBorders>
              <w:bottom w:val="single" w:sz="4" w:space="0" w:color="auto"/>
            </w:tcBorders>
            <w:noWrap/>
            <w:hideMark/>
          </w:tcPr>
          <w:p w14:paraId="4A8409A0" w14:textId="77777777" w:rsidR="00646F30" w:rsidRPr="00646F30" w:rsidRDefault="00646F30" w:rsidP="00953AE5">
            <w:pPr>
              <w:ind w:left="0" w:hanging="2"/>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Lack of financial support</w:t>
            </w:r>
          </w:p>
        </w:tc>
        <w:tc>
          <w:tcPr>
            <w:tcW w:w="992" w:type="dxa"/>
            <w:tcBorders>
              <w:bottom w:val="single" w:sz="4" w:space="0" w:color="auto"/>
            </w:tcBorders>
            <w:noWrap/>
          </w:tcPr>
          <w:p w14:paraId="467221A8" w14:textId="77777777" w:rsidR="00646F30" w:rsidRPr="00646F30" w:rsidRDefault="00646F30" w:rsidP="00953AE5">
            <w:pPr>
              <w:ind w:left="0" w:hanging="2"/>
              <w:jc w:val="right"/>
              <w:rPr>
                <w:rFonts w:ascii="Arial" w:eastAsia="Times New Roman" w:hAnsi="Arial" w:cs="Arial"/>
                <w:color w:val="000000"/>
                <w:sz w:val="16"/>
                <w:szCs w:val="16"/>
                <w:lang w:eastAsia="en-ID"/>
              </w:rPr>
            </w:pPr>
            <w:r w:rsidRPr="00646F30">
              <w:rPr>
                <w:rFonts w:ascii="Arial" w:eastAsia="Times New Roman" w:hAnsi="Arial" w:cs="Arial"/>
                <w:color w:val="000000"/>
                <w:sz w:val="16"/>
                <w:szCs w:val="16"/>
                <w:lang w:eastAsia="en-ID"/>
              </w:rPr>
              <w:t>CRT11</w:t>
            </w:r>
          </w:p>
        </w:tc>
        <w:tc>
          <w:tcPr>
            <w:tcW w:w="1337" w:type="dxa"/>
            <w:tcBorders>
              <w:bottom w:val="single" w:sz="4" w:space="0" w:color="auto"/>
            </w:tcBorders>
          </w:tcPr>
          <w:p w14:paraId="2381FE67" w14:textId="77777777" w:rsidR="00646F30" w:rsidRPr="00646F30" w:rsidRDefault="00646F30" w:rsidP="00953AE5">
            <w:pPr>
              <w:ind w:left="0" w:hanging="2"/>
              <w:rPr>
                <w:rFonts w:ascii="Arial" w:eastAsia="Times New Roman" w:hAnsi="Arial" w:cs="Arial"/>
                <w:color w:val="000000"/>
                <w:sz w:val="16"/>
                <w:szCs w:val="16"/>
                <w:lang w:eastAsia="en-ID"/>
              </w:rPr>
            </w:pPr>
          </w:p>
        </w:tc>
        <w:tc>
          <w:tcPr>
            <w:tcW w:w="864" w:type="dxa"/>
            <w:tcBorders>
              <w:bottom w:val="single" w:sz="4" w:space="0" w:color="auto"/>
            </w:tcBorders>
          </w:tcPr>
          <w:p w14:paraId="4D097D20" w14:textId="77777777" w:rsidR="00646F30" w:rsidRPr="00646F30" w:rsidRDefault="00646F30" w:rsidP="00953AE5">
            <w:pPr>
              <w:ind w:left="0" w:hanging="2"/>
              <w:jc w:val="right"/>
              <w:rPr>
                <w:rFonts w:ascii="Arial" w:eastAsia="Times New Roman" w:hAnsi="Arial" w:cs="Arial"/>
                <w:color w:val="000000"/>
                <w:sz w:val="16"/>
                <w:szCs w:val="16"/>
                <w:lang w:eastAsia="en-ID"/>
              </w:rPr>
            </w:pPr>
          </w:p>
        </w:tc>
      </w:tr>
    </w:tbl>
    <w:p w14:paraId="08113577" w14:textId="212047A5" w:rsidR="003D1DB8" w:rsidRDefault="00B043DC" w:rsidP="00953AE5">
      <w:pPr>
        <w:spacing w:after="0" w:line="240" w:lineRule="auto"/>
        <w:ind w:left="0" w:hanging="2"/>
        <w:jc w:val="both"/>
        <w:rPr>
          <w:rFonts w:ascii="Arial" w:eastAsia="Arial" w:hAnsi="Arial" w:cs="Arial"/>
          <w:sz w:val="20"/>
          <w:szCs w:val="20"/>
        </w:rPr>
      </w:pPr>
      <w:r>
        <w:rPr>
          <w:noProof/>
        </w:rPr>
        <w:drawing>
          <wp:anchor distT="0" distB="0" distL="114300" distR="114300" simplePos="0" relativeHeight="251669504" behindDoc="0" locked="0" layoutInCell="1" allowOverlap="1" wp14:anchorId="7F5060E8" wp14:editId="1B96A680">
            <wp:simplePos x="0" y="0"/>
            <wp:positionH relativeFrom="column">
              <wp:align>right</wp:align>
            </wp:positionH>
            <wp:positionV relativeFrom="paragraph">
              <wp:posOffset>153670</wp:posOffset>
            </wp:positionV>
            <wp:extent cx="2698750" cy="2615596"/>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50527" t="27679" r="24090" b="13520"/>
                    <a:stretch/>
                  </pic:blipFill>
                  <pic:spPr bwMode="auto">
                    <a:xfrm>
                      <a:off x="0" y="0"/>
                      <a:ext cx="2698750" cy="26155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6F30" w:rsidRPr="00892158">
        <w:rPr>
          <w:rFonts w:ascii="Arial" w:hAnsi="Arial" w:cs="Arial"/>
          <w:sz w:val="18"/>
          <w:szCs w:val="18"/>
        </w:rPr>
        <w:br/>
      </w:r>
    </w:p>
    <w:p w14:paraId="7BEF8796" w14:textId="5FA391E1" w:rsidR="00B043DC" w:rsidRDefault="00B043DC" w:rsidP="00953AE5">
      <w:pPr>
        <w:spacing w:after="0" w:line="240" w:lineRule="auto"/>
        <w:ind w:left="0" w:hanging="2"/>
        <w:jc w:val="both"/>
        <w:rPr>
          <w:rFonts w:ascii="Arial" w:eastAsia="Arial" w:hAnsi="Arial" w:cs="Arial"/>
          <w:sz w:val="20"/>
          <w:szCs w:val="20"/>
        </w:rPr>
      </w:pPr>
    </w:p>
    <w:p w14:paraId="17BAE83F" w14:textId="786C647E" w:rsidR="00B043DC" w:rsidRDefault="00B043DC" w:rsidP="00953AE5">
      <w:pPr>
        <w:spacing w:after="0" w:line="240" w:lineRule="auto"/>
        <w:ind w:left="0" w:hanging="2"/>
        <w:jc w:val="both"/>
        <w:rPr>
          <w:rFonts w:ascii="Arial" w:eastAsia="Arial" w:hAnsi="Arial" w:cs="Arial"/>
          <w:sz w:val="20"/>
          <w:szCs w:val="20"/>
        </w:rPr>
      </w:pPr>
    </w:p>
    <w:p w14:paraId="71582B09" w14:textId="7FEF9DA5" w:rsidR="00B043DC" w:rsidRDefault="00B043DC" w:rsidP="00953AE5">
      <w:pPr>
        <w:spacing w:after="0" w:line="240" w:lineRule="auto"/>
        <w:ind w:left="0" w:hanging="2"/>
        <w:jc w:val="both"/>
        <w:rPr>
          <w:rFonts w:ascii="Arial" w:eastAsia="Arial" w:hAnsi="Arial" w:cs="Arial"/>
          <w:sz w:val="20"/>
          <w:szCs w:val="20"/>
        </w:rPr>
      </w:pPr>
    </w:p>
    <w:p w14:paraId="3750FC13" w14:textId="38E325A4" w:rsidR="00B043DC" w:rsidRDefault="00B043DC" w:rsidP="00953AE5">
      <w:pPr>
        <w:spacing w:after="0" w:line="240" w:lineRule="auto"/>
        <w:ind w:left="0" w:hanging="2"/>
        <w:jc w:val="both"/>
        <w:rPr>
          <w:rFonts w:ascii="Arial" w:eastAsia="Arial" w:hAnsi="Arial" w:cs="Arial"/>
          <w:sz w:val="20"/>
          <w:szCs w:val="20"/>
        </w:rPr>
      </w:pPr>
    </w:p>
    <w:p w14:paraId="7D27DC04" w14:textId="7D3084AE" w:rsidR="00B043DC" w:rsidRDefault="00B043DC" w:rsidP="00953AE5">
      <w:pPr>
        <w:spacing w:after="0" w:line="240" w:lineRule="auto"/>
        <w:ind w:left="0" w:hanging="2"/>
        <w:jc w:val="both"/>
        <w:rPr>
          <w:rFonts w:ascii="Arial" w:eastAsia="Arial" w:hAnsi="Arial" w:cs="Arial"/>
          <w:sz w:val="20"/>
          <w:szCs w:val="20"/>
        </w:rPr>
      </w:pPr>
    </w:p>
    <w:p w14:paraId="495EF189" w14:textId="79D310B1" w:rsidR="00B043DC" w:rsidRDefault="00B043DC" w:rsidP="00953AE5">
      <w:pPr>
        <w:spacing w:after="0" w:line="240" w:lineRule="auto"/>
        <w:ind w:left="0" w:hanging="2"/>
        <w:jc w:val="both"/>
        <w:rPr>
          <w:rFonts w:ascii="Arial" w:eastAsia="Arial" w:hAnsi="Arial" w:cs="Arial"/>
          <w:sz w:val="20"/>
          <w:szCs w:val="20"/>
        </w:rPr>
      </w:pPr>
    </w:p>
    <w:p w14:paraId="3134614B" w14:textId="418551FD" w:rsidR="00B043DC" w:rsidRDefault="00B043DC" w:rsidP="00953AE5">
      <w:pPr>
        <w:spacing w:after="0" w:line="240" w:lineRule="auto"/>
        <w:ind w:left="0" w:hanging="2"/>
        <w:jc w:val="both"/>
        <w:rPr>
          <w:rFonts w:ascii="Arial" w:eastAsia="Arial" w:hAnsi="Arial" w:cs="Arial"/>
          <w:sz w:val="20"/>
          <w:szCs w:val="20"/>
        </w:rPr>
      </w:pPr>
    </w:p>
    <w:p w14:paraId="32A72549" w14:textId="514E3B35" w:rsidR="00B043DC" w:rsidRDefault="00B043DC" w:rsidP="00953AE5">
      <w:pPr>
        <w:spacing w:after="0" w:line="240" w:lineRule="auto"/>
        <w:ind w:left="0" w:hanging="2"/>
        <w:jc w:val="both"/>
        <w:rPr>
          <w:rFonts w:ascii="Arial" w:eastAsia="Arial" w:hAnsi="Arial" w:cs="Arial"/>
          <w:sz w:val="20"/>
          <w:szCs w:val="20"/>
        </w:rPr>
      </w:pPr>
    </w:p>
    <w:p w14:paraId="41424A5A" w14:textId="272B4054" w:rsidR="00B043DC" w:rsidRDefault="00B043DC" w:rsidP="00953AE5">
      <w:pPr>
        <w:spacing w:after="0" w:line="240" w:lineRule="auto"/>
        <w:ind w:left="0" w:hanging="2"/>
        <w:jc w:val="both"/>
        <w:rPr>
          <w:rFonts w:ascii="Arial" w:eastAsia="Arial" w:hAnsi="Arial" w:cs="Arial"/>
          <w:sz w:val="20"/>
          <w:szCs w:val="20"/>
        </w:rPr>
      </w:pPr>
    </w:p>
    <w:p w14:paraId="414FA3FE" w14:textId="27531A12" w:rsidR="00B043DC" w:rsidRDefault="00B043DC" w:rsidP="00953AE5">
      <w:pPr>
        <w:spacing w:after="0" w:line="240" w:lineRule="auto"/>
        <w:ind w:left="0" w:hanging="2"/>
        <w:jc w:val="both"/>
        <w:rPr>
          <w:rFonts w:ascii="Arial" w:eastAsia="Arial" w:hAnsi="Arial" w:cs="Arial"/>
          <w:sz w:val="20"/>
          <w:szCs w:val="20"/>
        </w:rPr>
      </w:pPr>
    </w:p>
    <w:p w14:paraId="3A1BF35D" w14:textId="5D5413EB" w:rsidR="00B043DC" w:rsidRDefault="00B043DC" w:rsidP="00953AE5">
      <w:pPr>
        <w:spacing w:after="0" w:line="240" w:lineRule="auto"/>
        <w:ind w:left="0" w:hanging="2"/>
        <w:jc w:val="both"/>
        <w:rPr>
          <w:rFonts w:ascii="Arial" w:eastAsia="Arial" w:hAnsi="Arial" w:cs="Arial"/>
          <w:sz w:val="20"/>
          <w:szCs w:val="20"/>
        </w:rPr>
      </w:pPr>
    </w:p>
    <w:p w14:paraId="7D8D161A" w14:textId="2895EDB1" w:rsidR="00B043DC" w:rsidRDefault="00B043DC" w:rsidP="00953AE5">
      <w:pPr>
        <w:spacing w:after="0" w:line="240" w:lineRule="auto"/>
        <w:ind w:left="0" w:hanging="2"/>
        <w:jc w:val="both"/>
        <w:rPr>
          <w:rFonts w:ascii="Arial" w:eastAsia="Arial" w:hAnsi="Arial" w:cs="Arial"/>
          <w:sz w:val="20"/>
          <w:szCs w:val="20"/>
        </w:rPr>
      </w:pPr>
    </w:p>
    <w:p w14:paraId="1ACC57B9" w14:textId="2C4E256E" w:rsidR="00B043DC" w:rsidRDefault="00B043DC" w:rsidP="00953AE5">
      <w:pPr>
        <w:spacing w:after="0" w:line="240" w:lineRule="auto"/>
        <w:ind w:left="0" w:hanging="2"/>
        <w:jc w:val="both"/>
        <w:rPr>
          <w:rFonts w:ascii="Arial" w:eastAsia="Arial" w:hAnsi="Arial" w:cs="Arial"/>
          <w:sz w:val="20"/>
          <w:szCs w:val="20"/>
        </w:rPr>
      </w:pPr>
    </w:p>
    <w:p w14:paraId="4CFEC2E7" w14:textId="6487FEDE" w:rsidR="00B043DC" w:rsidRDefault="00B043DC" w:rsidP="00953AE5">
      <w:pPr>
        <w:spacing w:after="0" w:line="240" w:lineRule="auto"/>
        <w:ind w:left="0" w:hanging="2"/>
        <w:jc w:val="both"/>
        <w:rPr>
          <w:rFonts w:ascii="Arial" w:eastAsia="Arial" w:hAnsi="Arial" w:cs="Arial"/>
          <w:sz w:val="20"/>
          <w:szCs w:val="20"/>
        </w:rPr>
      </w:pPr>
    </w:p>
    <w:p w14:paraId="50497A84" w14:textId="2DEDFB10" w:rsidR="00B043DC" w:rsidRDefault="00B043DC" w:rsidP="00953AE5">
      <w:pPr>
        <w:spacing w:after="0" w:line="240" w:lineRule="auto"/>
        <w:ind w:left="0" w:hanging="2"/>
        <w:jc w:val="both"/>
        <w:rPr>
          <w:rFonts w:ascii="Arial" w:eastAsia="Arial" w:hAnsi="Arial" w:cs="Arial"/>
          <w:sz w:val="20"/>
          <w:szCs w:val="20"/>
        </w:rPr>
      </w:pPr>
    </w:p>
    <w:p w14:paraId="1DC557E0" w14:textId="77777777" w:rsidR="00B043DC" w:rsidRDefault="00B043DC" w:rsidP="00953AE5">
      <w:pPr>
        <w:spacing w:after="0" w:line="240" w:lineRule="auto"/>
        <w:ind w:left="0" w:hanging="2"/>
        <w:jc w:val="both"/>
        <w:rPr>
          <w:rFonts w:ascii="Arial" w:eastAsia="Arial" w:hAnsi="Arial" w:cs="Arial"/>
          <w:sz w:val="20"/>
          <w:szCs w:val="20"/>
        </w:rPr>
      </w:pPr>
    </w:p>
    <w:p w14:paraId="6BB2B8E5" w14:textId="426C1F5A" w:rsidR="00B043DC" w:rsidRDefault="00B043DC" w:rsidP="00953AE5">
      <w:pPr>
        <w:spacing w:after="0" w:line="240" w:lineRule="auto"/>
        <w:ind w:left="0" w:hanging="2"/>
        <w:jc w:val="both"/>
        <w:rPr>
          <w:rFonts w:ascii="Arial" w:eastAsia="Arial" w:hAnsi="Arial" w:cs="Arial"/>
          <w:sz w:val="20"/>
          <w:szCs w:val="20"/>
        </w:rPr>
      </w:pPr>
    </w:p>
    <w:p w14:paraId="48FBAAC5" w14:textId="07BD5924" w:rsidR="00B043DC" w:rsidRDefault="00B043DC" w:rsidP="00953AE5">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Figure 1 Research methodology </w:t>
      </w:r>
      <w:proofErr w:type="spellStart"/>
      <w:r>
        <w:rPr>
          <w:rFonts w:ascii="Arial" w:eastAsia="Arial" w:hAnsi="Arial" w:cs="Arial"/>
          <w:sz w:val="20"/>
          <w:szCs w:val="20"/>
        </w:rPr>
        <w:t>Flowchat</w:t>
      </w:r>
      <w:proofErr w:type="spellEnd"/>
    </w:p>
    <w:p w14:paraId="173CBCBF" w14:textId="494EAECF" w:rsidR="003D1DB8" w:rsidRDefault="00283E10" w:rsidP="00953AE5">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RESULTS AND DISCUSSION</w:t>
      </w:r>
    </w:p>
    <w:p w14:paraId="620B852B" w14:textId="3EFC074F" w:rsidR="00765943" w:rsidRDefault="00765943" w:rsidP="00953AE5">
      <w:pPr>
        <w:spacing w:after="0" w:line="240" w:lineRule="auto"/>
        <w:ind w:left="0" w:hanging="2"/>
        <w:jc w:val="both"/>
        <w:rPr>
          <w:rFonts w:ascii="Arial" w:eastAsia="Arial" w:hAnsi="Arial" w:cs="Arial"/>
          <w:color w:val="1F4E79"/>
          <w:sz w:val="20"/>
          <w:szCs w:val="20"/>
        </w:rPr>
      </w:pPr>
    </w:p>
    <w:p w14:paraId="2D9A71C7" w14:textId="03726B51" w:rsidR="00164614" w:rsidRPr="00164614" w:rsidRDefault="00164614" w:rsidP="00953AE5">
      <w:pPr>
        <w:spacing w:after="0" w:line="240" w:lineRule="auto"/>
        <w:ind w:left="0" w:hanging="2"/>
        <w:jc w:val="both"/>
        <w:rPr>
          <w:rFonts w:ascii="Arial" w:hAnsi="Arial" w:cs="Arial"/>
          <w:sz w:val="20"/>
          <w:szCs w:val="20"/>
        </w:rPr>
      </w:pPr>
      <w:r w:rsidRPr="00164614">
        <w:rPr>
          <w:rFonts w:ascii="Arial" w:hAnsi="Arial" w:cs="Arial"/>
          <w:sz w:val="20"/>
          <w:szCs w:val="20"/>
        </w:rPr>
        <w:t xml:space="preserve">Discussions with experts, stakeholders, and academics in the field resulted in various perspectives on the strategy of developing BSF Maggot as a raw material for biodiesel production in Indonesia. Various internal and external </w:t>
      </w:r>
      <w:r w:rsidRPr="00164614">
        <w:rPr>
          <w:rFonts w:ascii="Arial" w:hAnsi="Arial" w:cs="Arial"/>
          <w:sz w:val="20"/>
          <w:szCs w:val="20"/>
        </w:rPr>
        <w:t>aspects, including strengths, weaknesses, opportunities, and threats, were considered in formulating the plan. Questionnaires were distributed to experts, and responses from key respondents were compiled into a SWOT Analysis, as illustrated in Table 5.</w:t>
      </w:r>
    </w:p>
    <w:p w14:paraId="64E4CAAE" w14:textId="3840623B" w:rsidR="00164614" w:rsidRDefault="00164614" w:rsidP="00953AE5">
      <w:pPr>
        <w:spacing w:after="0" w:line="240" w:lineRule="auto"/>
        <w:ind w:left="0" w:hanging="2"/>
        <w:jc w:val="both"/>
        <w:rPr>
          <w:rFonts w:ascii="Arial" w:eastAsia="Arial" w:hAnsi="Arial" w:cs="Arial"/>
          <w:color w:val="1F4E79"/>
          <w:sz w:val="20"/>
          <w:szCs w:val="20"/>
        </w:rPr>
      </w:pPr>
    </w:p>
    <w:p w14:paraId="3864D658" w14:textId="14080548" w:rsidR="0096266C" w:rsidRPr="00892158" w:rsidRDefault="0096266C" w:rsidP="00953AE5">
      <w:pPr>
        <w:spacing w:after="0" w:line="240" w:lineRule="auto"/>
        <w:ind w:left="0" w:hanging="2"/>
        <w:jc w:val="both"/>
        <w:rPr>
          <w:rFonts w:ascii="Arial" w:hAnsi="Arial" w:cs="Arial"/>
          <w:sz w:val="20"/>
          <w:szCs w:val="20"/>
        </w:rPr>
      </w:pPr>
      <w:r w:rsidRPr="00892158">
        <w:rPr>
          <w:rFonts w:ascii="Arial" w:hAnsi="Arial" w:cs="Arial"/>
          <w:sz w:val="20"/>
          <w:szCs w:val="20"/>
        </w:rPr>
        <w:t>Table 5.  SWOT assessment of respondents</w:t>
      </w:r>
    </w:p>
    <w:tbl>
      <w:tblPr>
        <w:tblW w:w="4536" w:type="dxa"/>
        <w:tblLook w:val="04A0" w:firstRow="1" w:lastRow="0" w:firstColumn="1" w:lastColumn="0" w:noHBand="0" w:noVBand="1"/>
      </w:tblPr>
      <w:tblGrid>
        <w:gridCol w:w="2410"/>
        <w:gridCol w:w="750"/>
        <w:gridCol w:w="714"/>
        <w:gridCol w:w="662"/>
      </w:tblGrid>
      <w:tr w:rsidR="0096266C" w:rsidRPr="00892158" w14:paraId="5DA05192" w14:textId="77777777" w:rsidTr="0096266C">
        <w:trPr>
          <w:trHeight w:val="288"/>
        </w:trPr>
        <w:tc>
          <w:tcPr>
            <w:tcW w:w="2410" w:type="dxa"/>
            <w:tcBorders>
              <w:top w:val="single" w:sz="4" w:space="0" w:color="auto"/>
              <w:left w:val="nil"/>
              <w:bottom w:val="single" w:sz="4" w:space="0" w:color="auto"/>
              <w:right w:val="nil"/>
            </w:tcBorders>
            <w:noWrap/>
            <w:vAlign w:val="bottom"/>
            <w:hideMark/>
          </w:tcPr>
          <w:p w14:paraId="4A092173"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sz w:val="16"/>
                <w:szCs w:val="16"/>
              </w:rPr>
              <w:t xml:space="preserve"> </w:t>
            </w:r>
            <w:r w:rsidRPr="00892158">
              <w:rPr>
                <w:rFonts w:ascii="Arial" w:eastAsia="Times New Roman" w:hAnsi="Arial" w:cs="Arial"/>
                <w:sz w:val="16"/>
                <w:szCs w:val="16"/>
              </w:rPr>
              <w:t xml:space="preserve"> </w:t>
            </w:r>
            <w:r w:rsidRPr="00892158">
              <w:rPr>
                <w:rFonts w:ascii="Arial" w:eastAsia="Times New Roman" w:hAnsi="Arial" w:cs="Arial"/>
                <w:b/>
                <w:bCs/>
                <w:color w:val="000000"/>
                <w:sz w:val="16"/>
                <w:szCs w:val="16"/>
              </w:rPr>
              <w:t>Internal Factor</w:t>
            </w:r>
          </w:p>
        </w:tc>
        <w:tc>
          <w:tcPr>
            <w:tcW w:w="750" w:type="dxa"/>
            <w:tcBorders>
              <w:top w:val="single" w:sz="4" w:space="0" w:color="auto"/>
              <w:left w:val="nil"/>
              <w:bottom w:val="single" w:sz="4" w:space="0" w:color="auto"/>
              <w:right w:val="nil"/>
            </w:tcBorders>
            <w:noWrap/>
            <w:vAlign w:val="bottom"/>
            <w:hideMark/>
          </w:tcPr>
          <w:p w14:paraId="5B550A13" w14:textId="77777777" w:rsidR="0096266C" w:rsidRPr="00892158" w:rsidRDefault="0096266C" w:rsidP="00953AE5">
            <w:pPr>
              <w:spacing w:line="240" w:lineRule="auto"/>
              <w:ind w:left="0" w:hanging="2"/>
              <w:rPr>
                <w:rFonts w:ascii="Arial" w:eastAsia="Times New Roman" w:hAnsi="Arial" w:cs="Arial"/>
                <w:b/>
                <w:bCs/>
                <w:color w:val="000000"/>
                <w:sz w:val="16"/>
                <w:szCs w:val="16"/>
              </w:rPr>
            </w:pPr>
          </w:p>
        </w:tc>
        <w:tc>
          <w:tcPr>
            <w:tcW w:w="714" w:type="dxa"/>
            <w:tcBorders>
              <w:top w:val="single" w:sz="4" w:space="0" w:color="auto"/>
              <w:left w:val="nil"/>
              <w:bottom w:val="single" w:sz="4" w:space="0" w:color="auto"/>
              <w:right w:val="nil"/>
            </w:tcBorders>
            <w:noWrap/>
            <w:vAlign w:val="bottom"/>
            <w:hideMark/>
          </w:tcPr>
          <w:p w14:paraId="687057D0" w14:textId="77777777" w:rsidR="0096266C" w:rsidRPr="00892158" w:rsidRDefault="0096266C" w:rsidP="00953AE5">
            <w:pPr>
              <w:spacing w:after="0" w:line="240" w:lineRule="auto"/>
              <w:ind w:left="0" w:hanging="2"/>
              <w:rPr>
                <w:rFonts w:ascii="Arial" w:hAnsi="Arial" w:cs="Arial"/>
                <w:sz w:val="16"/>
                <w:szCs w:val="16"/>
              </w:rPr>
            </w:pPr>
          </w:p>
        </w:tc>
        <w:tc>
          <w:tcPr>
            <w:tcW w:w="662" w:type="dxa"/>
            <w:tcBorders>
              <w:top w:val="single" w:sz="4" w:space="0" w:color="auto"/>
              <w:left w:val="nil"/>
              <w:bottom w:val="single" w:sz="4" w:space="0" w:color="auto"/>
              <w:right w:val="nil"/>
            </w:tcBorders>
            <w:noWrap/>
            <w:vAlign w:val="bottom"/>
            <w:hideMark/>
          </w:tcPr>
          <w:p w14:paraId="38E5A965" w14:textId="77777777" w:rsidR="0096266C" w:rsidRPr="00892158" w:rsidRDefault="0096266C" w:rsidP="00953AE5">
            <w:pPr>
              <w:spacing w:after="0" w:line="240" w:lineRule="auto"/>
              <w:ind w:left="0" w:hanging="2"/>
              <w:rPr>
                <w:rFonts w:ascii="Arial" w:hAnsi="Arial" w:cs="Arial"/>
                <w:sz w:val="16"/>
                <w:szCs w:val="16"/>
              </w:rPr>
            </w:pPr>
          </w:p>
        </w:tc>
      </w:tr>
      <w:tr w:rsidR="0096266C" w:rsidRPr="00892158" w14:paraId="67D354C8" w14:textId="77777777" w:rsidTr="0096266C">
        <w:trPr>
          <w:trHeight w:val="288"/>
        </w:trPr>
        <w:tc>
          <w:tcPr>
            <w:tcW w:w="2410" w:type="dxa"/>
            <w:tcBorders>
              <w:top w:val="single" w:sz="4" w:space="0" w:color="auto"/>
              <w:left w:val="nil"/>
              <w:bottom w:val="single" w:sz="4" w:space="0" w:color="auto"/>
              <w:right w:val="nil"/>
            </w:tcBorders>
            <w:noWrap/>
            <w:vAlign w:val="bottom"/>
            <w:hideMark/>
          </w:tcPr>
          <w:p w14:paraId="6A662B9F" w14:textId="64F37B2F"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xml:space="preserve">Strength Factor </w:t>
            </w:r>
          </w:p>
        </w:tc>
        <w:tc>
          <w:tcPr>
            <w:tcW w:w="750" w:type="dxa"/>
            <w:tcBorders>
              <w:top w:val="single" w:sz="4" w:space="0" w:color="auto"/>
              <w:left w:val="nil"/>
              <w:bottom w:val="single" w:sz="4" w:space="0" w:color="auto"/>
              <w:right w:val="nil"/>
            </w:tcBorders>
            <w:noWrap/>
            <w:vAlign w:val="bottom"/>
            <w:hideMark/>
          </w:tcPr>
          <w:p w14:paraId="6CA46DF1"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Weight</w:t>
            </w:r>
          </w:p>
        </w:tc>
        <w:tc>
          <w:tcPr>
            <w:tcW w:w="714" w:type="dxa"/>
            <w:tcBorders>
              <w:top w:val="single" w:sz="4" w:space="0" w:color="auto"/>
              <w:left w:val="nil"/>
              <w:bottom w:val="single" w:sz="4" w:space="0" w:color="auto"/>
              <w:right w:val="nil"/>
            </w:tcBorders>
            <w:noWrap/>
            <w:vAlign w:val="bottom"/>
            <w:hideMark/>
          </w:tcPr>
          <w:p w14:paraId="7B1AA810"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xml:space="preserve">Rating </w:t>
            </w:r>
          </w:p>
        </w:tc>
        <w:tc>
          <w:tcPr>
            <w:tcW w:w="662" w:type="dxa"/>
            <w:tcBorders>
              <w:top w:val="single" w:sz="4" w:space="0" w:color="auto"/>
              <w:left w:val="nil"/>
              <w:bottom w:val="single" w:sz="4" w:space="0" w:color="auto"/>
              <w:right w:val="nil"/>
            </w:tcBorders>
            <w:noWrap/>
            <w:vAlign w:val="bottom"/>
            <w:hideMark/>
          </w:tcPr>
          <w:p w14:paraId="48AE7535"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Score</w:t>
            </w:r>
          </w:p>
        </w:tc>
      </w:tr>
      <w:tr w:rsidR="0096266C" w:rsidRPr="00892158" w14:paraId="4681585F" w14:textId="77777777" w:rsidTr="0096266C">
        <w:trPr>
          <w:trHeight w:val="288"/>
        </w:trPr>
        <w:tc>
          <w:tcPr>
            <w:tcW w:w="2410" w:type="dxa"/>
            <w:tcBorders>
              <w:top w:val="single" w:sz="4" w:space="0" w:color="auto"/>
              <w:left w:val="nil"/>
              <w:bottom w:val="nil"/>
              <w:right w:val="nil"/>
            </w:tcBorders>
            <w:noWrap/>
            <w:hideMark/>
          </w:tcPr>
          <w:p w14:paraId="31687764"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The production process is simple and easy</w:t>
            </w:r>
          </w:p>
        </w:tc>
        <w:tc>
          <w:tcPr>
            <w:tcW w:w="750" w:type="dxa"/>
            <w:tcBorders>
              <w:top w:val="single" w:sz="4" w:space="0" w:color="auto"/>
              <w:left w:val="nil"/>
              <w:bottom w:val="nil"/>
              <w:right w:val="nil"/>
            </w:tcBorders>
            <w:noWrap/>
            <w:vAlign w:val="bottom"/>
            <w:hideMark/>
          </w:tcPr>
          <w:p w14:paraId="0FB8FF0A"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0,08</w:t>
            </w:r>
          </w:p>
        </w:tc>
        <w:tc>
          <w:tcPr>
            <w:tcW w:w="714" w:type="dxa"/>
            <w:tcBorders>
              <w:top w:val="single" w:sz="4" w:space="0" w:color="auto"/>
              <w:left w:val="nil"/>
              <w:bottom w:val="nil"/>
              <w:right w:val="nil"/>
            </w:tcBorders>
            <w:noWrap/>
            <w:vAlign w:val="bottom"/>
            <w:hideMark/>
          </w:tcPr>
          <w:p w14:paraId="471CCF97"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2</w:t>
            </w:r>
          </w:p>
        </w:tc>
        <w:tc>
          <w:tcPr>
            <w:tcW w:w="662" w:type="dxa"/>
            <w:tcBorders>
              <w:top w:val="single" w:sz="4" w:space="0" w:color="auto"/>
              <w:left w:val="nil"/>
              <w:bottom w:val="nil"/>
              <w:right w:val="nil"/>
            </w:tcBorders>
            <w:noWrap/>
            <w:vAlign w:val="bottom"/>
            <w:hideMark/>
          </w:tcPr>
          <w:p w14:paraId="3754AD19"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0,16</w:t>
            </w:r>
          </w:p>
        </w:tc>
      </w:tr>
      <w:tr w:rsidR="0096266C" w:rsidRPr="00892158" w14:paraId="1D0F7D44" w14:textId="77777777" w:rsidTr="0096266C">
        <w:trPr>
          <w:trHeight w:val="288"/>
        </w:trPr>
        <w:tc>
          <w:tcPr>
            <w:tcW w:w="2410" w:type="dxa"/>
            <w:noWrap/>
            <w:hideMark/>
          </w:tcPr>
          <w:p w14:paraId="6B280881"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Strategic production location</w:t>
            </w:r>
          </w:p>
        </w:tc>
        <w:tc>
          <w:tcPr>
            <w:tcW w:w="750" w:type="dxa"/>
            <w:noWrap/>
            <w:vAlign w:val="bottom"/>
            <w:hideMark/>
          </w:tcPr>
          <w:p w14:paraId="79DB2E74"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0,12</w:t>
            </w:r>
          </w:p>
        </w:tc>
        <w:tc>
          <w:tcPr>
            <w:tcW w:w="714" w:type="dxa"/>
            <w:noWrap/>
            <w:vAlign w:val="bottom"/>
            <w:hideMark/>
          </w:tcPr>
          <w:p w14:paraId="6892001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2</w:t>
            </w:r>
          </w:p>
        </w:tc>
        <w:tc>
          <w:tcPr>
            <w:tcW w:w="662" w:type="dxa"/>
            <w:noWrap/>
            <w:vAlign w:val="bottom"/>
            <w:hideMark/>
          </w:tcPr>
          <w:p w14:paraId="4419639E"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0,24</w:t>
            </w:r>
          </w:p>
        </w:tc>
      </w:tr>
      <w:tr w:rsidR="0096266C" w:rsidRPr="00892158" w14:paraId="42AD39B2" w14:textId="77777777" w:rsidTr="0096266C">
        <w:trPr>
          <w:trHeight w:val="288"/>
        </w:trPr>
        <w:tc>
          <w:tcPr>
            <w:tcW w:w="2410" w:type="dxa"/>
            <w:noWrap/>
            <w:hideMark/>
          </w:tcPr>
          <w:p w14:paraId="76455D83"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Good product quality because it complies with SNI standards</w:t>
            </w:r>
          </w:p>
        </w:tc>
        <w:tc>
          <w:tcPr>
            <w:tcW w:w="750" w:type="dxa"/>
            <w:noWrap/>
            <w:vAlign w:val="bottom"/>
            <w:hideMark/>
          </w:tcPr>
          <w:p w14:paraId="5E21533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0,11</w:t>
            </w:r>
          </w:p>
        </w:tc>
        <w:tc>
          <w:tcPr>
            <w:tcW w:w="714" w:type="dxa"/>
            <w:noWrap/>
            <w:vAlign w:val="bottom"/>
            <w:hideMark/>
          </w:tcPr>
          <w:p w14:paraId="3F814828"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4</w:t>
            </w:r>
          </w:p>
        </w:tc>
        <w:tc>
          <w:tcPr>
            <w:tcW w:w="662" w:type="dxa"/>
            <w:noWrap/>
            <w:vAlign w:val="bottom"/>
            <w:hideMark/>
          </w:tcPr>
          <w:p w14:paraId="5DB9F9B3"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0,44</w:t>
            </w:r>
          </w:p>
        </w:tc>
      </w:tr>
      <w:tr w:rsidR="0096266C" w:rsidRPr="00892158" w14:paraId="0E6E73C8" w14:textId="77777777" w:rsidTr="0096266C">
        <w:trPr>
          <w:trHeight w:val="288"/>
        </w:trPr>
        <w:tc>
          <w:tcPr>
            <w:tcW w:w="2410" w:type="dxa"/>
            <w:noWrap/>
            <w:hideMark/>
          </w:tcPr>
          <w:p w14:paraId="0A8B2A33"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Available Workforce</w:t>
            </w:r>
          </w:p>
        </w:tc>
        <w:tc>
          <w:tcPr>
            <w:tcW w:w="750" w:type="dxa"/>
            <w:noWrap/>
            <w:vAlign w:val="bottom"/>
            <w:hideMark/>
          </w:tcPr>
          <w:p w14:paraId="17DE936A"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0,13</w:t>
            </w:r>
          </w:p>
        </w:tc>
        <w:tc>
          <w:tcPr>
            <w:tcW w:w="714" w:type="dxa"/>
            <w:noWrap/>
            <w:vAlign w:val="bottom"/>
            <w:hideMark/>
          </w:tcPr>
          <w:p w14:paraId="50C9F56A"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noWrap/>
            <w:vAlign w:val="bottom"/>
            <w:hideMark/>
          </w:tcPr>
          <w:p w14:paraId="6ED8CE47"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0,39</w:t>
            </w:r>
          </w:p>
        </w:tc>
      </w:tr>
      <w:tr w:rsidR="0096266C" w:rsidRPr="00892158" w14:paraId="0C6758B8" w14:textId="77777777" w:rsidTr="0096266C">
        <w:trPr>
          <w:trHeight w:val="288"/>
        </w:trPr>
        <w:tc>
          <w:tcPr>
            <w:tcW w:w="2410" w:type="dxa"/>
            <w:noWrap/>
            <w:hideMark/>
          </w:tcPr>
          <w:p w14:paraId="3E5C680B"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Environmentally conscious</w:t>
            </w:r>
          </w:p>
        </w:tc>
        <w:tc>
          <w:tcPr>
            <w:tcW w:w="750" w:type="dxa"/>
            <w:noWrap/>
            <w:vAlign w:val="bottom"/>
            <w:hideMark/>
          </w:tcPr>
          <w:p w14:paraId="7A104429"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0,38</w:t>
            </w:r>
          </w:p>
        </w:tc>
        <w:tc>
          <w:tcPr>
            <w:tcW w:w="714" w:type="dxa"/>
            <w:noWrap/>
            <w:vAlign w:val="bottom"/>
            <w:hideMark/>
          </w:tcPr>
          <w:p w14:paraId="5D13D4C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4</w:t>
            </w:r>
          </w:p>
        </w:tc>
        <w:tc>
          <w:tcPr>
            <w:tcW w:w="662" w:type="dxa"/>
            <w:noWrap/>
            <w:vAlign w:val="bottom"/>
            <w:hideMark/>
          </w:tcPr>
          <w:p w14:paraId="5CD5AD54"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1,52</w:t>
            </w:r>
          </w:p>
        </w:tc>
      </w:tr>
      <w:tr w:rsidR="0096266C" w:rsidRPr="00892158" w14:paraId="002419DB" w14:textId="77777777" w:rsidTr="0096266C">
        <w:trPr>
          <w:trHeight w:val="288"/>
        </w:trPr>
        <w:tc>
          <w:tcPr>
            <w:tcW w:w="2410" w:type="dxa"/>
            <w:noWrap/>
            <w:hideMark/>
          </w:tcPr>
          <w:p w14:paraId="73C33F37"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Easy to apply technology.</w:t>
            </w:r>
          </w:p>
        </w:tc>
        <w:tc>
          <w:tcPr>
            <w:tcW w:w="750" w:type="dxa"/>
            <w:noWrap/>
            <w:vAlign w:val="bottom"/>
            <w:hideMark/>
          </w:tcPr>
          <w:p w14:paraId="245D1FE9"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0,18</w:t>
            </w:r>
          </w:p>
        </w:tc>
        <w:tc>
          <w:tcPr>
            <w:tcW w:w="714" w:type="dxa"/>
            <w:noWrap/>
            <w:vAlign w:val="bottom"/>
            <w:hideMark/>
          </w:tcPr>
          <w:p w14:paraId="239DFC19"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noWrap/>
            <w:vAlign w:val="bottom"/>
            <w:hideMark/>
          </w:tcPr>
          <w:p w14:paraId="7EDD055F"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0,54</w:t>
            </w:r>
          </w:p>
        </w:tc>
      </w:tr>
      <w:tr w:rsidR="0096266C" w:rsidRPr="00892158" w14:paraId="39AA42D6" w14:textId="77777777" w:rsidTr="0096266C">
        <w:trPr>
          <w:trHeight w:val="288"/>
        </w:trPr>
        <w:tc>
          <w:tcPr>
            <w:tcW w:w="2410" w:type="dxa"/>
            <w:tcBorders>
              <w:top w:val="nil"/>
              <w:left w:val="nil"/>
              <w:bottom w:val="single" w:sz="4" w:space="0" w:color="auto"/>
              <w:right w:val="nil"/>
            </w:tcBorders>
            <w:noWrap/>
            <w:vAlign w:val="bottom"/>
            <w:hideMark/>
          </w:tcPr>
          <w:p w14:paraId="0400A248"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Total</w:t>
            </w:r>
          </w:p>
        </w:tc>
        <w:tc>
          <w:tcPr>
            <w:tcW w:w="750" w:type="dxa"/>
            <w:tcBorders>
              <w:top w:val="nil"/>
              <w:left w:val="nil"/>
              <w:bottom w:val="single" w:sz="4" w:space="0" w:color="auto"/>
              <w:right w:val="nil"/>
            </w:tcBorders>
            <w:noWrap/>
            <w:vAlign w:val="bottom"/>
            <w:hideMark/>
          </w:tcPr>
          <w:p w14:paraId="275E4EB8"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1</w:t>
            </w:r>
          </w:p>
        </w:tc>
        <w:tc>
          <w:tcPr>
            <w:tcW w:w="714" w:type="dxa"/>
            <w:tcBorders>
              <w:top w:val="nil"/>
              <w:left w:val="nil"/>
              <w:bottom w:val="single" w:sz="4" w:space="0" w:color="auto"/>
              <w:right w:val="nil"/>
            </w:tcBorders>
            <w:shd w:val="clear" w:color="auto" w:fill="000000"/>
            <w:noWrap/>
            <w:vAlign w:val="bottom"/>
            <w:hideMark/>
          </w:tcPr>
          <w:p w14:paraId="67FEB149"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w:t>
            </w:r>
          </w:p>
        </w:tc>
        <w:tc>
          <w:tcPr>
            <w:tcW w:w="662" w:type="dxa"/>
            <w:tcBorders>
              <w:top w:val="nil"/>
              <w:left w:val="nil"/>
              <w:bottom w:val="single" w:sz="4" w:space="0" w:color="auto"/>
              <w:right w:val="nil"/>
            </w:tcBorders>
            <w:noWrap/>
            <w:vAlign w:val="bottom"/>
            <w:hideMark/>
          </w:tcPr>
          <w:p w14:paraId="30E41945"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3,29</w:t>
            </w:r>
          </w:p>
        </w:tc>
      </w:tr>
      <w:tr w:rsidR="0096266C" w:rsidRPr="00892158" w14:paraId="1EA455C6" w14:textId="77777777" w:rsidTr="0096266C">
        <w:trPr>
          <w:trHeight w:val="288"/>
        </w:trPr>
        <w:tc>
          <w:tcPr>
            <w:tcW w:w="2410" w:type="dxa"/>
            <w:tcBorders>
              <w:top w:val="single" w:sz="4" w:space="0" w:color="auto"/>
              <w:bottom w:val="single" w:sz="4" w:space="0" w:color="auto"/>
            </w:tcBorders>
            <w:shd w:val="clear" w:color="auto" w:fill="auto"/>
            <w:noWrap/>
            <w:vAlign w:val="bottom"/>
            <w:hideMark/>
          </w:tcPr>
          <w:p w14:paraId="53D2CC41"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xml:space="preserve">Weakness Factor </w:t>
            </w:r>
          </w:p>
        </w:tc>
        <w:tc>
          <w:tcPr>
            <w:tcW w:w="750" w:type="dxa"/>
            <w:tcBorders>
              <w:top w:val="single" w:sz="4" w:space="0" w:color="auto"/>
              <w:bottom w:val="single" w:sz="4" w:space="0" w:color="auto"/>
            </w:tcBorders>
            <w:shd w:val="clear" w:color="auto" w:fill="auto"/>
            <w:noWrap/>
            <w:vAlign w:val="bottom"/>
            <w:hideMark/>
          </w:tcPr>
          <w:p w14:paraId="58F2C283"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Weight</w:t>
            </w:r>
          </w:p>
        </w:tc>
        <w:tc>
          <w:tcPr>
            <w:tcW w:w="714" w:type="dxa"/>
            <w:tcBorders>
              <w:top w:val="single" w:sz="4" w:space="0" w:color="auto"/>
              <w:bottom w:val="single" w:sz="4" w:space="0" w:color="auto"/>
            </w:tcBorders>
            <w:shd w:val="clear" w:color="auto" w:fill="auto"/>
            <w:noWrap/>
            <w:vAlign w:val="bottom"/>
            <w:hideMark/>
          </w:tcPr>
          <w:p w14:paraId="741D00D1"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xml:space="preserve">Rating </w:t>
            </w:r>
          </w:p>
        </w:tc>
        <w:tc>
          <w:tcPr>
            <w:tcW w:w="662" w:type="dxa"/>
            <w:tcBorders>
              <w:top w:val="single" w:sz="4" w:space="0" w:color="auto"/>
              <w:bottom w:val="single" w:sz="4" w:space="0" w:color="auto"/>
            </w:tcBorders>
            <w:shd w:val="clear" w:color="auto" w:fill="auto"/>
            <w:noWrap/>
            <w:vAlign w:val="bottom"/>
            <w:hideMark/>
          </w:tcPr>
          <w:p w14:paraId="17B53AFA"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Score</w:t>
            </w:r>
          </w:p>
        </w:tc>
      </w:tr>
      <w:tr w:rsidR="0096266C" w:rsidRPr="00892158" w14:paraId="4728738E" w14:textId="77777777" w:rsidTr="0096266C">
        <w:trPr>
          <w:trHeight w:val="288"/>
        </w:trPr>
        <w:tc>
          <w:tcPr>
            <w:tcW w:w="2410" w:type="dxa"/>
            <w:tcBorders>
              <w:top w:val="single" w:sz="4" w:space="0" w:color="auto"/>
            </w:tcBorders>
            <w:shd w:val="clear" w:color="auto" w:fill="auto"/>
            <w:noWrap/>
            <w:hideMark/>
          </w:tcPr>
          <w:p w14:paraId="217B5550"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Production technology is not yet available for mass production</w:t>
            </w:r>
          </w:p>
        </w:tc>
        <w:tc>
          <w:tcPr>
            <w:tcW w:w="750" w:type="dxa"/>
            <w:tcBorders>
              <w:top w:val="single" w:sz="4" w:space="0" w:color="auto"/>
            </w:tcBorders>
            <w:shd w:val="clear" w:color="auto" w:fill="auto"/>
            <w:noWrap/>
            <w:vAlign w:val="bottom"/>
            <w:hideMark/>
          </w:tcPr>
          <w:p w14:paraId="1384A36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0,23</w:t>
            </w:r>
          </w:p>
        </w:tc>
        <w:tc>
          <w:tcPr>
            <w:tcW w:w="714" w:type="dxa"/>
            <w:tcBorders>
              <w:top w:val="single" w:sz="4" w:space="0" w:color="auto"/>
            </w:tcBorders>
            <w:shd w:val="clear" w:color="auto" w:fill="auto"/>
            <w:noWrap/>
            <w:vAlign w:val="bottom"/>
            <w:hideMark/>
          </w:tcPr>
          <w:p w14:paraId="627C4E06"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tcBorders>
              <w:top w:val="single" w:sz="4" w:space="0" w:color="auto"/>
            </w:tcBorders>
            <w:shd w:val="clear" w:color="auto" w:fill="auto"/>
            <w:noWrap/>
            <w:vAlign w:val="bottom"/>
            <w:hideMark/>
          </w:tcPr>
          <w:p w14:paraId="55CA2634"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0,69</w:t>
            </w:r>
          </w:p>
        </w:tc>
      </w:tr>
      <w:tr w:rsidR="0096266C" w:rsidRPr="00892158" w14:paraId="048E601A" w14:textId="77777777" w:rsidTr="0096266C">
        <w:trPr>
          <w:trHeight w:val="288"/>
        </w:trPr>
        <w:tc>
          <w:tcPr>
            <w:tcW w:w="2410" w:type="dxa"/>
            <w:shd w:val="clear" w:color="auto" w:fill="auto"/>
            <w:noWrap/>
            <w:hideMark/>
          </w:tcPr>
          <w:p w14:paraId="75E5E02E"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People still rely on fossil fuel</w:t>
            </w:r>
          </w:p>
        </w:tc>
        <w:tc>
          <w:tcPr>
            <w:tcW w:w="750" w:type="dxa"/>
            <w:shd w:val="clear" w:color="auto" w:fill="auto"/>
            <w:noWrap/>
            <w:vAlign w:val="bottom"/>
            <w:hideMark/>
          </w:tcPr>
          <w:p w14:paraId="0ED63D8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0,19</w:t>
            </w:r>
          </w:p>
        </w:tc>
        <w:tc>
          <w:tcPr>
            <w:tcW w:w="714" w:type="dxa"/>
            <w:shd w:val="clear" w:color="auto" w:fill="auto"/>
            <w:noWrap/>
            <w:vAlign w:val="bottom"/>
            <w:hideMark/>
          </w:tcPr>
          <w:p w14:paraId="4C02037C"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w:t>
            </w:r>
          </w:p>
        </w:tc>
        <w:tc>
          <w:tcPr>
            <w:tcW w:w="662" w:type="dxa"/>
            <w:shd w:val="clear" w:color="auto" w:fill="auto"/>
            <w:noWrap/>
            <w:vAlign w:val="bottom"/>
            <w:hideMark/>
          </w:tcPr>
          <w:p w14:paraId="044C776E"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0,19</w:t>
            </w:r>
          </w:p>
        </w:tc>
      </w:tr>
      <w:tr w:rsidR="0096266C" w:rsidRPr="00892158" w14:paraId="6C5EAD9A" w14:textId="77777777" w:rsidTr="0096266C">
        <w:trPr>
          <w:trHeight w:val="288"/>
        </w:trPr>
        <w:tc>
          <w:tcPr>
            <w:tcW w:w="2410" w:type="dxa"/>
            <w:shd w:val="clear" w:color="auto" w:fill="auto"/>
            <w:noWrap/>
            <w:hideMark/>
          </w:tcPr>
          <w:p w14:paraId="65096E34"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High investment costs</w:t>
            </w:r>
          </w:p>
        </w:tc>
        <w:tc>
          <w:tcPr>
            <w:tcW w:w="750" w:type="dxa"/>
            <w:shd w:val="clear" w:color="auto" w:fill="auto"/>
            <w:noWrap/>
            <w:vAlign w:val="bottom"/>
            <w:hideMark/>
          </w:tcPr>
          <w:p w14:paraId="35D5B9E7"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0,37</w:t>
            </w:r>
          </w:p>
        </w:tc>
        <w:tc>
          <w:tcPr>
            <w:tcW w:w="714" w:type="dxa"/>
            <w:shd w:val="clear" w:color="auto" w:fill="auto"/>
            <w:noWrap/>
            <w:vAlign w:val="bottom"/>
            <w:hideMark/>
          </w:tcPr>
          <w:p w14:paraId="634993CE"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4</w:t>
            </w:r>
          </w:p>
        </w:tc>
        <w:tc>
          <w:tcPr>
            <w:tcW w:w="662" w:type="dxa"/>
            <w:shd w:val="clear" w:color="auto" w:fill="auto"/>
            <w:noWrap/>
            <w:vAlign w:val="bottom"/>
            <w:hideMark/>
          </w:tcPr>
          <w:p w14:paraId="18B82B37"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1,48</w:t>
            </w:r>
          </w:p>
        </w:tc>
      </w:tr>
      <w:tr w:rsidR="0096266C" w:rsidRPr="00892158" w14:paraId="0E339822" w14:textId="77777777" w:rsidTr="0096266C">
        <w:trPr>
          <w:trHeight w:val="288"/>
        </w:trPr>
        <w:tc>
          <w:tcPr>
            <w:tcW w:w="2410" w:type="dxa"/>
            <w:shd w:val="clear" w:color="auto" w:fill="auto"/>
            <w:noWrap/>
            <w:hideMark/>
          </w:tcPr>
          <w:p w14:paraId="0736D7DF"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Lack of pro-renewable energy policies</w:t>
            </w:r>
          </w:p>
        </w:tc>
        <w:tc>
          <w:tcPr>
            <w:tcW w:w="750" w:type="dxa"/>
            <w:shd w:val="clear" w:color="auto" w:fill="auto"/>
            <w:noWrap/>
            <w:vAlign w:val="bottom"/>
            <w:hideMark/>
          </w:tcPr>
          <w:p w14:paraId="5E044147"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0,21</w:t>
            </w:r>
          </w:p>
        </w:tc>
        <w:tc>
          <w:tcPr>
            <w:tcW w:w="714" w:type="dxa"/>
            <w:shd w:val="clear" w:color="auto" w:fill="auto"/>
            <w:noWrap/>
            <w:vAlign w:val="bottom"/>
            <w:hideMark/>
          </w:tcPr>
          <w:p w14:paraId="644934A1"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shd w:val="clear" w:color="auto" w:fill="auto"/>
            <w:noWrap/>
            <w:vAlign w:val="bottom"/>
            <w:hideMark/>
          </w:tcPr>
          <w:p w14:paraId="6774FDA5"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0,63</w:t>
            </w:r>
          </w:p>
        </w:tc>
      </w:tr>
      <w:tr w:rsidR="0096266C" w:rsidRPr="00892158" w14:paraId="00F392CC" w14:textId="77777777" w:rsidTr="0096266C">
        <w:trPr>
          <w:trHeight w:val="288"/>
        </w:trPr>
        <w:tc>
          <w:tcPr>
            <w:tcW w:w="2410" w:type="dxa"/>
            <w:tcBorders>
              <w:bottom w:val="single" w:sz="4" w:space="0" w:color="auto"/>
            </w:tcBorders>
            <w:shd w:val="clear" w:color="auto" w:fill="auto"/>
            <w:noWrap/>
            <w:vAlign w:val="bottom"/>
            <w:hideMark/>
          </w:tcPr>
          <w:p w14:paraId="6C60071F"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Total</w:t>
            </w:r>
          </w:p>
        </w:tc>
        <w:tc>
          <w:tcPr>
            <w:tcW w:w="750" w:type="dxa"/>
            <w:tcBorders>
              <w:bottom w:val="single" w:sz="4" w:space="0" w:color="auto"/>
            </w:tcBorders>
            <w:shd w:val="clear" w:color="auto" w:fill="auto"/>
            <w:noWrap/>
            <w:vAlign w:val="bottom"/>
            <w:hideMark/>
          </w:tcPr>
          <w:p w14:paraId="3AFE27FF"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1</w:t>
            </w:r>
          </w:p>
        </w:tc>
        <w:tc>
          <w:tcPr>
            <w:tcW w:w="714" w:type="dxa"/>
            <w:tcBorders>
              <w:bottom w:val="single" w:sz="4" w:space="0" w:color="auto"/>
            </w:tcBorders>
            <w:shd w:val="clear" w:color="000000" w:fill="000000"/>
            <w:noWrap/>
            <w:vAlign w:val="bottom"/>
            <w:hideMark/>
          </w:tcPr>
          <w:p w14:paraId="435145AB"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w:t>
            </w:r>
          </w:p>
        </w:tc>
        <w:tc>
          <w:tcPr>
            <w:tcW w:w="662" w:type="dxa"/>
            <w:tcBorders>
              <w:bottom w:val="single" w:sz="4" w:space="0" w:color="auto"/>
            </w:tcBorders>
            <w:shd w:val="clear" w:color="auto" w:fill="auto"/>
            <w:noWrap/>
            <w:vAlign w:val="bottom"/>
            <w:hideMark/>
          </w:tcPr>
          <w:p w14:paraId="1FEA7768"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2,99</w:t>
            </w:r>
          </w:p>
        </w:tc>
      </w:tr>
      <w:tr w:rsidR="0096266C" w:rsidRPr="00892158" w14:paraId="377FA03D" w14:textId="77777777" w:rsidTr="0096266C">
        <w:trPr>
          <w:trHeight w:val="288"/>
        </w:trPr>
        <w:tc>
          <w:tcPr>
            <w:tcW w:w="2410" w:type="dxa"/>
            <w:tcBorders>
              <w:bottom w:val="single" w:sz="4" w:space="0" w:color="auto"/>
            </w:tcBorders>
            <w:shd w:val="clear" w:color="auto" w:fill="auto"/>
            <w:noWrap/>
            <w:hideMark/>
          </w:tcPr>
          <w:p w14:paraId="1B535090"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External Factors</w:t>
            </w:r>
          </w:p>
        </w:tc>
        <w:tc>
          <w:tcPr>
            <w:tcW w:w="750" w:type="dxa"/>
            <w:tcBorders>
              <w:bottom w:val="single" w:sz="4" w:space="0" w:color="auto"/>
            </w:tcBorders>
            <w:shd w:val="clear" w:color="auto" w:fill="auto"/>
            <w:noWrap/>
            <w:vAlign w:val="bottom"/>
            <w:hideMark/>
          </w:tcPr>
          <w:p w14:paraId="66465D7B"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p>
        </w:tc>
        <w:tc>
          <w:tcPr>
            <w:tcW w:w="714" w:type="dxa"/>
            <w:tcBorders>
              <w:bottom w:val="single" w:sz="4" w:space="0" w:color="auto"/>
            </w:tcBorders>
            <w:shd w:val="clear" w:color="auto" w:fill="auto"/>
            <w:noWrap/>
            <w:vAlign w:val="bottom"/>
            <w:hideMark/>
          </w:tcPr>
          <w:p w14:paraId="347D33BA" w14:textId="77777777" w:rsidR="0096266C" w:rsidRPr="00892158" w:rsidRDefault="0096266C" w:rsidP="00953AE5">
            <w:pPr>
              <w:spacing w:after="0" w:line="240" w:lineRule="auto"/>
              <w:ind w:left="0" w:hanging="2"/>
              <w:rPr>
                <w:rFonts w:ascii="Arial" w:eastAsia="Times New Roman" w:hAnsi="Arial" w:cs="Arial"/>
                <w:sz w:val="16"/>
                <w:szCs w:val="16"/>
              </w:rPr>
            </w:pPr>
          </w:p>
        </w:tc>
        <w:tc>
          <w:tcPr>
            <w:tcW w:w="662" w:type="dxa"/>
            <w:tcBorders>
              <w:bottom w:val="single" w:sz="4" w:space="0" w:color="auto"/>
            </w:tcBorders>
            <w:shd w:val="clear" w:color="auto" w:fill="auto"/>
            <w:noWrap/>
            <w:vAlign w:val="bottom"/>
            <w:hideMark/>
          </w:tcPr>
          <w:p w14:paraId="42364847" w14:textId="77777777" w:rsidR="0096266C" w:rsidRPr="00892158" w:rsidRDefault="0096266C" w:rsidP="00953AE5">
            <w:pPr>
              <w:spacing w:after="0" w:line="240" w:lineRule="auto"/>
              <w:ind w:left="0" w:hanging="2"/>
              <w:rPr>
                <w:rFonts w:ascii="Arial" w:eastAsia="Times New Roman" w:hAnsi="Arial" w:cs="Arial"/>
                <w:sz w:val="16"/>
                <w:szCs w:val="16"/>
              </w:rPr>
            </w:pPr>
          </w:p>
        </w:tc>
      </w:tr>
      <w:tr w:rsidR="0096266C" w:rsidRPr="00892158" w14:paraId="558472B7" w14:textId="77777777" w:rsidTr="0096266C">
        <w:trPr>
          <w:trHeight w:val="288"/>
        </w:trPr>
        <w:tc>
          <w:tcPr>
            <w:tcW w:w="2410" w:type="dxa"/>
            <w:tcBorders>
              <w:top w:val="single" w:sz="4" w:space="0" w:color="auto"/>
            </w:tcBorders>
            <w:shd w:val="clear" w:color="auto" w:fill="auto"/>
            <w:noWrap/>
            <w:hideMark/>
          </w:tcPr>
          <w:p w14:paraId="363312D6"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Opportunity Factors</w:t>
            </w:r>
          </w:p>
        </w:tc>
        <w:tc>
          <w:tcPr>
            <w:tcW w:w="750" w:type="dxa"/>
            <w:tcBorders>
              <w:top w:val="single" w:sz="4" w:space="0" w:color="auto"/>
            </w:tcBorders>
            <w:shd w:val="clear" w:color="auto" w:fill="auto"/>
            <w:noWrap/>
            <w:vAlign w:val="bottom"/>
            <w:hideMark/>
          </w:tcPr>
          <w:p w14:paraId="60666AF1"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Weight</w:t>
            </w:r>
          </w:p>
        </w:tc>
        <w:tc>
          <w:tcPr>
            <w:tcW w:w="714" w:type="dxa"/>
            <w:tcBorders>
              <w:top w:val="single" w:sz="4" w:space="0" w:color="auto"/>
            </w:tcBorders>
            <w:shd w:val="clear" w:color="auto" w:fill="auto"/>
            <w:noWrap/>
            <w:vAlign w:val="bottom"/>
            <w:hideMark/>
          </w:tcPr>
          <w:p w14:paraId="5421792A"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xml:space="preserve">Rating </w:t>
            </w:r>
          </w:p>
        </w:tc>
        <w:tc>
          <w:tcPr>
            <w:tcW w:w="662" w:type="dxa"/>
            <w:tcBorders>
              <w:top w:val="single" w:sz="4" w:space="0" w:color="auto"/>
            </w:tcBorders>
            <w:shd w:val="clear" w:color="auto" w:fill="auto"/>
            <w:noWrap/>
            <w:vAlign w:val="bottom"/>
            <w:hideMark/>
          </w:tcPr>
          <w:p w14:paraId="23322364"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Score</w:t>
            </w:r>
          </w:p>
        </w:tc>
      </w:tr>
      <w:tr w:rsidR="0096266C" w:rsidRPr="00892158" w14:paraId="69F8D7B5" w14:textId="77777777" w:rsidTr="0096266C">
        <w:trPr>
          <w:trHeight w:val="288"/>
        </w:trPr>
        <w:tc>
          <w:tcPr>
            <w:tcW w:w="2410" w:type="dxa"/>
            <w:tcBorders>
              <w:top w:val="single" w:sz="4" w:space="0" w:color="auto"/>
            </w:tcBorders>
            <w:shd w:val="clear" w:color="auto" w:fill="auto"/>
            <w:noWrap/>
            <w:hideMark/>
          </w:tcPr>
          <w:p w14:paraId="5531C9F2"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Wide open market demand for biodiesel use</w:t>
            </w:r>
          </w:p>
        </w:tc>
        <w:tc>
          <w:tcPr>
            <w:tcW w:w="750" w:type="dxa"/>
            <w:tcBorders>
              <w:top w:val="single" w:sz="4" w:space="0" w:color="auto"/>
            </w:tcBorders>
            <w:shd w:val="clear" w:color="auto" w:fill="auto"/>
            <w:noWrap/>
            <w:vAlign w:val="bottom"/>
            <w:hideMark/>
          </w:tcPr>
          <w:p w14:paraId="721D1F3B"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0,09</w:t>
            </w:r>
          </w:p>
        </w:tc>
        <w:tc>
          <w:tcPr>
            <w:tcW w:w="714" w:type="dxa"/>
            <w:tcBorders>
              <w:top w:val="single" w:sz="4" w:space="0" w:color="auto"/>
            </w:tcBorders>
            <w:shd w:val="clear" w:color="auto" w:fill="auto"/>
            <w:noWrap/>
            <w:vAlign w:val="bottom"/>
            <w:hideMark/>
          </w:tcPr>
          <w:p w14:paraId="6243FDDD"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w:t>
            </w:r>
          </w:p>
        </w:tc>
        <w:tc>
          <w:tcPr>
            <w:tcW w:w="662" w:type="dxa"/>
            <w:tcBorders>
              <w:top w:val="single" w:sz="4" w:space="0" w:color="auto"/>
            </w:tcBorders>
            <w:shd w:val="clear" w:color="auto" w:fill="auto"/>
            <w:noWrap/>
            <w:vAlign w:val="bottom"/>
            <w:hideMark/>
          </w:tcPr>
          <w:p w14:paraId="656EE29F"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0,09</w:t>
            </w:r>
          </w:p>
        </w:tc>
      </w:tr>
      <w:tr w:rsidR="0096266C" w:rsidRPr="00892158" w14:paraId="3DD00776" w14:textId="77777777" w:rsidTr="0096266C">
        <w:trPr>
          <w:trHeight w:val="288"/>
        </w:trPr>
        <w:tc>
          <w:tcPr>
            <w:tcW w:w="2410" w:type="dxa"/>
            <w:shd w:val="clear" w:color="auto" w:fill="auto"/>
            <w:noWrap/>
            <w:hideMark/>
          </w:tcPr>
          <w:p w14:paraId="0A7834D1"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BSF maggots are easy to cultivate</w:t>
            </w:r>
          </w:p>
        </w:tc>
        <w:tc>
          <w:tcPr>
            <w:tcW w:w="750" w:type="dxa"/>
            <w:shd w:val="clear" w:color="auto" w:fill="auto"/>
            <w:noWrap/>
            <w:vAlign w:val="bottom"/>
            <w:hideMark/>
          </w:tcPr>
          <w:p w14:paraId="408EE548"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0,12</w:t>
            </w:r>
          </w:p>
        </w:tc>
        <w:tc>
          <w:tcPr>
            <w:tcW w:w="714" w:type="dxa"/>
            <w:shd w:val="clear" w:color="auto" w:fill="auto"/>
            <w:noWrap/>
            <w:vAlign w:val="bottom"/>
            <w:hideMark/>
          </w:tcPr>
          <w:p w14:paraId="44FECD34"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2</w:t>
            </w:r>
          </w:p>
        </w:tc>
        <w:tc>
          <w:tcPr>
            <w:tcW w:w="662" w:type="dxa"/>
            <w:shd w:val="clear" w:color="auto" w:fill="auto"/>
            <w:noWrap/>
            <w:vAlign w:val="bottom"/>
            <w:hideMark/>
          </w:tcPr>
          <w:p w14:paraId="7E1319C1"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0,24</w:t>
            </w:r>
          </w:p>
        </w:tc>
      </w:tr>
      <w:tr w:rsidR="0096266C" w:rsidRPr="00892158" w14:paraId="0554EEB2" w14:textId="77777777" w:rsidTr="0096266C">
        <w:trPr>
          <w:trHeight w:val="288"/>
        </w:trPr>
        <w:tc>
          <w:tcPr>
            <w:tcW w:w="2410" w:type="dxa"/>
            <w:shd w:val="clear" w:color="auto" w:fill="auto"/>
            <w:noWrap/>
            <w:hideMark/>
          </w:tcPr>
          <w:p w14:paraId="70BB0791"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Becoming an environmentally friendly energy solution</w:t>
            </w:r>
          </w:p>
        </w:tc>
        <w:tc>
          <w:tcPr>
            <w:tcW w:w="750" w:type="dxa"/>
            <w:shd w:val="clear" w:color="auto" w:fill="auto"/>
            <w:noWrap/>
            <w:vAlign w:val="bottom"/>
            <w:hideMark/>
          </w:tcPr>
          <w:p w14:paraId="521E2D6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0,33</w:t>
            </w:r>
          </w:p>
        </w:tc>
        <w:tc>
          <w:tcPr>
            <w:tcW w:w="714" w:type="dxa"/>
            <w:shd w:val="clear" w:color="auto" w:fill="auto"/>
            <w:noWrap/>
            <w:vAlign w:val="bottom"/>
            <w:hideMark/>
          </w:tcPr>
          <w:p w14:paraId="6ABFA4B3"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4</w:t>
            </w:r>
          </w:p>
        </w:tc>
        <w:tc>
          <w:tcPr>
            <w:tcW w:w="662" w:type="dxa"/>
            <w:shd w:val="clear" w:color="auto" w:fill="auto"/>
            <w:noWrap/>
            <w:vAlign w:val="bottom"/>
            <w:hideMark/>
          </w:tcPr>
          <w:p w14:paraId="551E4549"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1,32</w:t>
            </w:r>
          </w:p>
        </w:tc>
      </w:tr>
      <w:tr w:rsidR="0096266C" w:rsidRPr="00892158" w14:paraId="099A070B" w14:textId="77777777" w:rsidTr="0096266C">
        <w:trPr>
          <w:trHeight w:val="288"/>
        </w:trPr>
        <w:tc>
          <w:tcPr>
            <w:tcW w:w="2410" w:type="dxa"/>
            <w:shd w:val="clear" w:color="auto" w:fill="auto"/>
            <w:noWrap/>
            <w:hideMark/>
          </w:tcPr>
          <w:p w14:paraId="2655C8BB"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Increasing added value</w:t>
            </w:r>
          </w:p>
        </w:tc>
        <w:tc>
          <w:tcPr>
            <w:tcW w:w="750" w:type="dxa"/>
            <w:shd w:val="clear" w:color="auto" w:fill="auto"/>
            <w:noWrap/>
            <w:vAlign w:val="bottom"/>
            <w:hideMark/>
          </w:tcPr>
          <w:p w14:paraId="44026BE6"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0,21</w:t>
            </w:r>
          </w:p>
        </w:tc>
        <w:tc>
          <w:tcPr>
            <w:tcW w:w="714" w:type="dxa"/>
            <w:shd w:val="clear" w:color="auto" w:fill="auto"/>
            <w:noWrap/>
            <w:vAlign w:val="bottom"/>
            <w:hideMark/>
          </w:tcPr>
          <w:p w14:paraId="2BF238B6"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shd w:val="clear" w:color="auto" w:fill="auto"/>
            <w:noWrap/>
            <w:vAlign w:val="bottom"/>
            <w:hideMark/>
          </w:tcPr>
          <w:p w14:paraId="06767603"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0,63</w:t>
            </w:r>
          </w:p>
        </w:tc>
      </w:tr>
      <w:tr w:rsidR="0096266C" w:rsidRPr="00892158" w14:paraId="79961EEF" w14:textId="77777777" w:rsidTr="0096266C">
        <w:trPr>
          <w:trHeight w:val="288"/>
        </w:trPr>
        <w:tc>
          <w:tcPr>
            <w:tcW w:w="2410" w:type="dxa"/>
            <w:shd w:val="clear" w:color="auto" w:fill="auto"/>
            <w:noWrap/>
            <w:hideMark/>
          </w:tcPr>
          <w:p w14:paraId="750CDC14"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Creating multiplier effects</w:t>
            </w:r>
          </w:p>
        </w:tc>
        <w:tc>
          <w:tcPr>
            <w:tcW w:w="750" w:type="dxa"/>
            <w:shd w:val="clear" w:color="auto" w:fill="auto"/>
            <w:noWrap/>
            <w:vAlign w:val="bottom"/>
            <w:hideMark/>
          </w:tcPr>
          <w:p w14:paraId="0963D61E"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0,13</w:t>
            </w:r>
          </w:p>
        </w:tc>
        <w:tc>
          <w:tcPr>
            <w:tcW w:w="714" w:type="dxa"/>
            <w:shd w:val="clear" w:color="auto" w:fill="auto"/>
            <w:noWrap/>
            <w:vAlign w:val="bottom"/>
            <w:hideMark/>
          </w:tcPr>
          <w:p w14:paraId="5619F146"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4</w:t>
            </w:r>
          </w:p>
        </w:tc>
        <w:tc>
          <w:tcPr>
            <w:tcW w:w="662" w:type="dxa"/>
            <w:shd w:val="clear" w:color="auto" w:fill="auto"/>
            <w:noWrap/>
            <w:vAlign w:val="bottom"/>
            <w:hideMark/>
          </w:tcPr>
          <w:p w14:paraId="3C49E2FF"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0,52</w:t>
            </w:r>
          </w:p>
        </w:tc>
      </w:tr>
      <w:tr w:rsidR="0096266C" w:rsidRPr="00892158" w14:paraId="7FFAA05B" w14:textId="77777777" w:rsidTr="0096266C">
        <w:trPr>
          <w:trHeight w:val="288"/>
        </w:trPr>
        <w:tc>
          <w:tcPr>
            <w:tcW w:w="2410" w:type="dxa"/>
            <w:shd w:val="clear" w:color="auto" w:fill="auto"/>
            <w:noWrap/>
            <w:hideMark/>
          </w:tcPr>
          <w:p w14:paraId="0F2DAFE9"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Alternative energy transition</w:t>
            </w:r>
          </w:p>
        </w:tc>
        <w:tc>
          <w:tcPr>
            <w:tcW w:w="750" w:type="dxa"/>
            <w:shd w:val="clear" w:color="auto" w:fill="auto"/>
            <w:noWrap/>
            <w:vAlign w:val="bottom"/>
            <w:hideMark/>
          </w:tcPr>
          <w:p w14:paraId="66C24580"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0,12</w:t>
            </w:r>
          </w:p>
        </w:tc>
        <w:tc>
          <w:tcPr>
            <w:tcW w:w="714" w:type="dxa"/>
            <w:shd w:val="clear" w:color="auto" w:fill="auto"/>
            <w:noWrap/>
            <w:vAlign w:val="bottom"/>
            <w:hideMark/>
          </w:tcPr>
          <w:p w14:paraId="45F120C2"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shd w:val="clear" w:color="auto" w:fill="auto"/>
            <w:noWrap/>
            <w:vAlign w:val="bottom"/>
            <w:hideMark/>
          </w:tcPr>
          <w:p w14:paraId="4E828379"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0,36</w:t>
            </w:r>
          </w:p>
        </w:tc>
      </w:tr>
      <w:tr w:rsidR="0096266C" w:rsidRPr="00892158" w14:paraId="22654A36" w14:textId="77777777" w:rsidTr="0096266C">
        <w:trPr>
          <w:trHeight w:val="288"/>
        </w:trPr>
        <w:tc>
          <w:tcPr>
            <w:tcW w:w="2410" w:type="dxa"/>
            <w:tcBorders>
              <w:bottom w:val="single" w:sz="4" w:space="0" w:color="auto"/>
            </w:tcBorders>
            <w:shd w:val="clear" w:color="auto" w:fill="auto"/>
            <w:noWrap/>
            <w:vAlign w:val="bottom"/>
            <w:hideMark/>
          </w:tcPr>
          <w:p w14:paraId="4CE6B65F"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Total</w:t>
            </w:r>
          </w:p>
        </w:tc>
        <w:tc>
          <w:tcPr>
            <w:tcW w:w="750" w:type="dxa"/>
            <w:tcBorders>
              <w:bottom w:val="single" w:sz="4" w:space="0" w:color="auto"/>
            </w:tcBorders>
            <w:shd w:val="clear" w:color="auto" w:fill="auto"/>
            <w:noWrap/>
            <w:vAlign w:val="bottom"/>
            <w:hideMark/>
          </w:tcPr>
          <w:p w14:paraId="49EF4955"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1</w:t>
            </w:r>
          </w:p>
        </w:tc>
        <w:tc>
          <w:tcPr>
            <w:tcW w:w="714" w:type="dxa"/>
            <w:tcBorders>
              <w:bottom w:val="single" w:sz="4" w:space="0" w:color="auto"/>
            </w:tcBorders>
            <w:shd w:val="clear" w:color="000000" w:fill="000000"/>
            <w:noWrap/>
            <w:vAlign w:val="bottom"/>
            <w:hideMark/>
          </w:tcPr>
          <w:p w14:paraId="7BDD0E27"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w:t>
            </w:r>
          </w:p>
        </w:tc>
        <w:tc>
          <w:tcPr>
            <w:tcW w:w="662" w:type="dxa"/>
            <w:tcBorders>
              <w:bottom w:val="single" w:sz="4" w:space="0" w:color="auto"/>
            </w:tcBorders>
            <w:shd w:val="clear" w:color="auto" w:fill="auto"/>
            <w:noWrap/>
            <w:vAlign w:val="bottom"/>
            <w:hideMark/>
          </w:tcPr>
          <w:p w14:paraId="6A74EAEC"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3,16</w:t>
            </w:r>
          </w:p>
        </w:tc>
      </w:tr>
      <w:tr w:rsidR="0096266C" w:rsidRPr="00892158" w14:paraId="48F23B53" w14:textId="77777777" w:rsidTr="0096266C">
        <w:trPr>
          <w:trHeight w:val="288"/>
        </w:trPr>
        <w:tc>
          <w:tcPr>
            <w:tcW w:w="2410" w:type="dxa"/>
            <w:tcBorders>
              <w:top w:val="single" w:sz="4" w:space="0" w:color="auto"/>
              <w:bottom w:val="single" w:sz="4" w:space="0" w:color="auto"/>
            </w:tcBorders>
            <w:shd w:val="clear" w:color="auto" w:fill="auto"/>
            <w:noWrap/>
            <w:vAlign w:val="bottom"/>
            <w:hideMark/>
          </w:tcPr>
          <w:p w14:paraId="22DCB15E"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Threat Factors</w:t>
            </w:r>
          </w:p>
        </w:tc>
        <w:tc>
          <w:tcPr>
            <w:tcW w:w="750" w:type="dxa"/>
            <w:tcBorders>
              <w:top w:val="single" w:sz="4" w:space="0" w:color="auto"/>
              <w:bottom w:val="single" w:sz="4" w:space="0" w:color="auto"/>
            </w:tcBorders>
            <w:shd w:val="clear" w:color="auto" w:fill="auto"/>
            <w:noWrap/>
            <w:vAlign w:val="bottom"/>
            <w:hideMark/>
          </w:tcPr>
          <w:p w14:paraId="078D1C06"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Weight</w:t>
            </w:r>
          </w:p>
        </w:tc>
        <w:tc>
          <w:tcPr>
            <w:tcW w:w="714" w:type="dxa"/>
            <w:tcBorders>
              <w:top w:val="single" w:sz="4" w:space="0" w:color="auto"/>
              <w:bottom w:val="single" w:sz="4" w:space="0" w:color="auto"/>
            </w:tcBorders>
            <w:shd w:val="clear" w:color="auto" w:fill="auto"/>
            <w:noWrap/>
            <w:vAlign w:val="bottom"/>
            <w:hideMark/>
          </w:tcPr>
          <w:p w14:paraId="4B78C07C"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xml:space="preserve">Rating </w:t>
            </w:r>
          </w:p>
        </w:tc>
        <w:tc>
          <w:tcPr>
            <w:tcW w:w="662" w:type="dxa"/>
            <w:tcBorders>
              <w:top w:val="single" w:sz="4" w:space="0" w:color="auto"/>
              <w:bottom w:val="single" w:sz="4" w:space="0" w:color="auto"/>
            </w:tcBorders>
            <w:shd w:val="clear" w:color="auto" w:fill="auto"/>
            <w:noWrap/>
            <w:vAlign w:val="bottom"/>
            <w:hideMark/>
          </w:tcPr>
          <w:p w14:paraId="727D38A0" w14:textId="77777777" w:rsidR="0096266C" w:rsidRPr="00892158" w:rsidRDefault="0096266C" w:rsidP="00953AE5">
            <w:pPr>
              <w:spacing w:after="0" w:line="240" w:lineRule="auto"/>
              <w:ind w:left="0" w:hanging="2"/>
              <w:jc w:val="center"/>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Score</w:t>
            </w:r>
          </w:p>
        </w:tc>
      </w:tr>
      <w:tr w:rsidR="0096266C" w:rsidRPr="00892158" w14:paraId="509DA07E" w14:textId="77777777" w:rsidTr="0096266C">
        <w:trPr>
          <w:trHeight w:val="288"/>
        </w:trPr>
        <w:tc>
          <w:tcPr>
            <w:tcW w:w="2410" w:type="dxa"/>
            <w:tcBorders>
              <w:top w:val="single" w:sz="4" w:space="0" w:color="auto"/>
            </w:tcBorders>
            <w:shd w:val="clear" w:color="auto" w:fill="auto"/>
            <w:noWrap/>
            <w:hideMark/>
          </w:tcPr>
          <w:p w14:paraId="0FDAB9E5"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Changes in strategy and policy</w:t>
            </w:r>
          </w:p>
        </w:tc>
        <w:tc>
          <w:tcPr>
            <w:tcW w:w="750" w:type="dxa"/>
            <w:tcBorders>
              <w:top w:val="single" w:sz="4" w:space="0" w:color="auto"/>
            </w:tcBorders>
            <w:shd w:val="clear" w:color="auto" w:fill="auto"/>
            <w:noWrap/>
            <w:vAlign w:val="bottom"/>
            <w:hideMark/>
          </w:tcPr>
          <w:p w14:paraId="551A3864"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0,26</w:t>
            </w:r>
          </w:p>
        </w:tc>
        <w:tc>
          <w:tcPr>
            <w:tcW w:w="714" w:type="dxa"/>
            <w:tcBorders>
              <w:top w:val="single" w:sz="4" w:space="0" w:color="auto"/>
            </w:tcBorders>
            <w:shd w:val="clear" w:color="auto" w:fill="auto"/>
            <w:noWrap/>
            <w:vAlign w:val="bottom"/>
            <w:hideMark/>
          </w:tcPr>
          <w:p w14:paraId="69F248FD"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w:t>
            </w:r>
          </w:p>
        </w:tc>
        <w:tc>
          <w:tcPr>
            <w:tcW w:w="662" w:type="dxa"/>
            <w:tcBorders>
              <w:top w:val="single" w:sz="4" w:space="0" w:color="auto"/>
            </w:tcBorders>
            <w:shd w:val="clear" w:color="auto" w:fill="auto"/>
            <w:noWrap/>
            <w:vAlign w:val="bottom"/>
            <w:hideMark/>
          </w:tcPr>
          <w:p w14:paraId="0EE70AFF"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0,26</w:t>
            </w:r>
          </w:p>
        </w:tc>
      </w:tr>
      <w:tr w:rsidR="0096266C" w:rsidRPr="00892158" w14:paraId="37790E68" w14:textId="77777777" w:rsidTr="0096266C">
        <w:trPr>
          <w:trHeight w:val="288"/>
        </w:trPr>
        <w:tc>
          <w:tcPr>
            <w:tcW w:w="2410" w:type="dxa"/>
            <w:shd w:val="clear" w:color="auto" w:fill="auto"/>
            <w:noWrap/>
            <w:hideMark/>
          </w:tcPr>
          <w:p w14:paraId="4A22E308"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High potential for conflict of interest</w:t>
            </w:r>
          </w:p>
        </w:tc>
        <w:tc>
          <w:tcPr>
            <w:tcW w:w="750" w:type="dxa"/>
            <w:shd w:val="clear" w:color="auto" w:fill="auto"/>
            <w:noWrap/>
            <w:vAlign w:val="bottom"/>
            <w:hideMark/>
          </w:tcPr>
          <w:p w14:paraId="376C7AE8"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0,22</w:t>
            </w:r>
          </w:p>
        </w:tc>
        <w:tc>
          <w:tcPr>
            <w:tcW w:w="714" w:type="dxa"/>
            <w:shd w:val="clear" w:color="auto" w:fill="auto"/>
            <w:noWrap/>
            <w:vAlign w:val="bottom"/>
            <w:hideMark/>
          </w:tcPr>
          <w:p w14:paraId="57B3D751"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3</w:t>
            </w:r>
          </w:p>
        </w:tc>
        <w:tc>
          <w:tcPr>
            <w:tcW w:w="662" w:type="dxa"/>
            <w:shd w:val="clear" w:color="auto" w:fill="auto"/>
            <w:noWrap/>
            <w:vAlign w:val="bottom"/>
            <w:hideMark/>
          </w:tcPr>
          <w:p w14:paraId="295831BE"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0,66</w:t>
            </w:r>
          </w:p>
        </w:tc>
      </w:tr>
      <w:tr w:rsidR="0096266C" w:rsidRPr="00892158" w14:paraId="0C07DB68" w14:textId="77777777" w:rsidTr="0096266C">
        <w:trPr>
          <w:trHeight w:val="288"/>
        </w:trPr>
        <w:tc>
          <w:tcPr>
            <w:tcW w:w="2410" w:type="dxa"/>
            <w:shd w:val="clear" w:color="auto" w:fill="auto"/>
            <w:noWrap/>
            <w:hideMark/>
          </w:tcPr>
          <w:p w14:paraId="3A2A7117"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Weak coordination between stakeholders</w:t>
            </w:r>
          </w:p>
        </w:tc>
        <w:tc>
          <w:tcPr>
            <w:tcW w:w="750" w:type="dxa"/>
            <w:shd w:val="clear" w:color="auto" w:fill="auto"/>
            <w:noWrap/>
            <w:vAlign w:val="bottom"/>
            <w:hideMark/>
          </w:tcPr>
          <w:p w14:paraId="094159DF"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0,21</w:t>
            </w:r>
          </w:p>
        </w:tc>
        <w:tc>
          <w:tcPr>
            <w:tcW w:w="714" w:type="dxa"/>
            <w:shd w:val="clear" w:color="auto" w:fill="auto"/>
            <w:noWrap/>
            <w:vAlign w:val="bottom"/>
            <w:hideMark/>
          </w:tcPr>
          <w:p w14:paraId="2B2183AC"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2</w:t>
            </w:r>
          </w:p>
        </w:tc>
        <w:tc>
          <w:tcPr>
            <w:tcW w:w="662" w:type="dxa"/>
            <w:shd w:val="clear" w:color="auto" w:fill="auto"/>
            <w:noWrap/>
            <w:vAlign w:val="bottom"/>
            <w:hideMark/>
          </w:tcPr>
          <w:p w14:paraId="3FC53826"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0,42</w:t>
            </w:r>
          </w:p>
        </w:tc>
      </w:tr>
      <w:tr w:rsidR="0096266C" w:rsidRPr="00892158" w14:paraId="4F0C210D" w14:textId="77777777" w:rsidTr="0096266C">
        <w:trPr>
          <w:trHeight w:val="288"/>
        </w:trPr>
        <w:tc>
          <w:tcPr>
            <w:tcW w:w="2410" w:type="dxa"/>
            <w:shd w:val="clear" w:color="auto" w:fill="auto"/>
            <w:noWrap/>
            <w:hideMark/>
          </w:tcPr>
          <w:p w14:paraId="2478D0D7" w14:textId="77777777" w:rsidR="0096266C" w:rsidRPr="00892158" w:rsidRDefault="0096266C" w:rsidP="00953AE5">
            <w:pPr>
              <w:spacing w:after="0" w:line="240" w:lineRule="auto"/>
              <w:ind w:left="0" w:hanging="2"/>
              <w:rPr>
                <w:rFonts w:ascii="Arial" w:eastAsia="Times New Roman" w:hAnsi="Arial" w:cs="Arial"/>
                <w:color w:val="000000"/>
                <w:sz w:val="16"/>
                <w:szCs w:val="16"/>
              </w:rPr>
            </w:pPr>
            <w:r w:rsidRPr="00892158">
              <w:rPr>
                <w:rFonts w:ascii="Arial" w:eastAsia="Times New Roman" w:hAnsi="Arial" w:cs="Arial"/>
                <w:color w:val="000000"/>
                <w:sz w:val="16"/>
                <w:szCs w:val="16"/>
              </w:rPr>
              <w:t>Weak financial support</w:t>
            </w:r>
          </w:p>
        </w:tc>
        <w:tc>
          <w:tcPr>
            <w:tcW w:w="750" w:type="dxa"/>
            <w:shd w:val="clear" w:color="auto" w:fill="auto"/>
            <w:noWrap/>
            <w:vAlign w:val="bottom"/>
            <w:hideMark/>
          </w:tcPr>
          <w:p w14:paraId="49F09A74"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0,31</w:t>
            </w:r>
          </w:p>
        </w:tc>
        <w:tc>
          <w:tcPr>
            <w:tcW w:w="714" w:type="dxa"/>
            <w:shd w:val="clear" w:color="auto" w:fill="auto"/>
            <w:noWrap/>
            <w:vAlign w:val="bottom"/>
            <w:hideMark/>
          </w:tcPr>
          <w:p w14:paraId="2E621F85"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4</w:t>
            </w:r>
          </w:p>
        </w:tc>
        <w:tc>
          <w:tcPr>
            <w:tcW w:w="662" w:type="dxa"/>
            <w:shd w:val="clear" w:color="auto" w:fill="auto"/>
            <w:noWrap/>
            <w:vAlign w:val="bottom"/>
            <w:hideMark/>
          </w:tcPr>
          <w:p w14:paraId="056000D2" w14:textId="77777777" w:rsidR="0096266C" w:rsidRPr="00892158" w:rsidRDefault="0096266C" w:rsidP="00953AE5">
            <w:pPr>
              <w:spacing w:after="0" w:line="240" w:lineRule="auto"/>
              <w:ind w:left="0" w:hanging="2"/>
              <w:jc w:val="right"/>
              <w:rPr>
                <w:rFonts w:ascii="Arial" w:eastAsia="Times New Roman" w:hAnsi="Arial" w:cs="Arial"/>
                <w:color w:val="000000"/>
                <w:sz w:val="16"/>
                <w:szCs w:val="16"/>
              </w:rPr>
            </w:pPr>
            <w:r w:rsidRPr="00892158">
              <w:rPr>
                <w:rFonts w:ascii="Arial" w:eastAsia="Times New Roman" w:hAnsi="Arial" w:cs="Arial"/>
                <w:color w:val="000000"/>
                <w:sz w:val="16"/>
                <w:szCs w:val="16"/>
              </w:rPr>
              <w:t>1,24</w:t>
            </w:r>
          </w:p>
        </w:tc>
      </w:tr>
      <w:tr w:rsidR="0096266C" w:rsidRPr="00892158" w14:paraId="0DDD09D7" w14:textId="77777777" w:rsidTr="0096266C">
        <w:trPr>
          <w:trHeight w:val="288"/>
        </w:trPr>
        <w:tc>
          <w:tcPr>
            <w:tcW w:w="2410" w:type="dxa"/>
            <w:tcBorders>
              <w:bottom w:val="single" w:sz="4" w:space="0" w:color="auto"/>
            </w:tcBorders>
            <w:shd w:val="clear" w:color="auto" w:fill="auto"/>
            <w:noWrap/>
            <w:vAlign w:val="bottom"/>
            <w:hideMark/>
          </w:tcPr>
          <w:p w14:paraId="1F5CC25F"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Total</w:t>
            </w:r>
          </w:p>
        </w:tc>
        <w:tc>
          <w:tcPr>
            <w:tcW w:w="750" w:type="dxa"/>
            <w:tcBorders>
              <w:bottom w:val="single" w:sz="4" w:space="0" w:color="auto"/>
            </w:tcBorders>
            <w:shd w:val="clear" w:color="auto" w:fill="auto"/>
            <w:noWrap/>
            <w:vAlign w:val="bottom"/>
            <w:hideMark/>
          </w:tcPr>
          <w:p w14:paraId="44997766"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1</w:t>
            </w:r>
          </w:p>
        </w:tc>
        <w:tc>
          <w:tcPr>
            <w:tcW w:w="714" w:type="dxa"/>
            <w:tcBorders>
              <w:bottom w:val="single" w:sz="4" w:space="0" w:color="auto"/>
            </w:tcBorders>
            <w:shd w:val="clear" w:color="000000" w:fill="000000"/>
            <w:noWrap/>
            <w:vAlign w:val="bottom"/>
            <w:hideMark/>
          </w:tcPr>
          <w:p w14:paraId="4E86696F" w14:textId="77777777" w:rsidR="0096266C" w:rsidRPr="00892158" w:rsidRDefault="0096266C" w:rsidP="00953AE5">
            <w:pPr>
              <w:spacing w:after="0" w:line="240" w:lineRule="auto"/>
              <w:ind w:left="0" w:hanging="2"/>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 </w:t>
            </w:r>
          </w:p>
        </w:tc>
        <w:tc>
          <w:tcPr>
            <w:tcW w:w="662" w:type="dxa"/>
            <w:tcBorders>
              <w:bottom w:val="single" w:sz="4" w:space="0" w:color="auto"/>
            </w:tcBorders>
            <w:shd w:val="clear" w:color="auto" w:fill="auto"/>
            <w:noWrap/>
            <w:vAlign w:val="bottom"/>
            <w:hideMark/>
          </w:tcPr>
          <w:p w14:paraId="158797F3" w14:textId="77777777" w:rsidR="0096266C" w:rsidRPr="00892158" w:rsidRDefault="0096266C" w:rsidP="00953AE5">
            <w:pPr>
              <w:spacing w:after="0" w:line="240" w:lineRule="auto"/>
              <w:ind w:left="0" w:hanging="2"/>
              <w:jc w:val="right"/>
              <w:rPr>
                <w:rFonts w:ascii="Arial" w:eastAsia="Times New Roman" w:hAnsi="Arial" w:cs="Arial"/>
                <w:b/>
                <w:bCs/>
                <w:color w:val="000000"/>
                <w:sz w:val="16"/>
                <w:szCs w:val="16"/>
              </w:rPr>
            </w:pPr>
            <w:r w:rsidRPr="00892158">
              <w:rPr>
                <w:rFonts w:ascii="Arial" w:eastAsia="Times New Roman" w:hAnsi="Arial" w:cs="Arial"/>
                <w:b/>
                <w:bCs/>
                <w:color w:val="000000"/>
                <w:sz w:val="16"/>
                <w:szCs w:val="16"/>
              </w:rPr>
              <w:t>2,58</w:t>
            </w:r>
          </w:p>
        </w:tc>
      </w:tr>
    </w:tbl>
    <w:p w14:paraId="217818E3" w14:textId="77777777" w:rsidR="00164614" w:rsidRPr="00892158" w:rsidRDefault="00164614"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Table 5 provides information related to the results of expert assessments related to strengths, weaknesses, opportunities, and threats. Furthermore, based on the table, it is obtained that the strength value has the highest total of around 3.29, and the lowest total value is the threat of around 2.58. The factor strength </w:t>
      </w:r>
      <w:r>
        <w:rPr>
          <w:rFonts w:ascii="Arial" w:hAnsi="Arial" w:cs="Arial"/>
          <w:sz w:val="20"/>
          <w:szCs w:val="20"/>
        </w:rPr>
        <w:t xml:space="preserve">with the highest </w:t>
      </w:r>
      <w:r>
        <w:rPr>
          <w:rFonts w:ascii="Arial" w:hAnsi="Arial" w:cs="Arial"/>
          <w:sz w:val="20"/>
          <w:szCs w:val="20"/>
        </w:rPr>
        <w:lastRenderedPageBreak/>
        <w:t>value is environmental awareness, around 1.52, and the highest weakness is the high investment cos</w:t>
      </w:r>
      <w:r w:rsidRPr="00892158">
        <w:rPr>
          <w:rFonts w:ascii="Arial" w:hAnsi="Arial" w:cs="Arial"/>
          <w:sz w:val="20"/>
          <w:szCs w:val="20"/>
        </w:rPr>
        <w:t>t, with a score of around 1.32. Meanwhile, the opportunity and threat factors with the highest values ​​are the factors of Being an environmentally friendly energy solution and weak financial support, with scores of around 1.32 and 1.24, respectively.</w:t>
      </w:r>
    </w:p>
    <w:p w14:paraId="106EE8C7" w14:textId="070BC89E" w:rsidR="0096266C" w:rsidRDefault="0096266C" w:rsidP="00953AE5">
      <w:pPr>
        <w:spacing w:after="0" w:line="240" w:lineRule="auto"/>
        <w:ind w:left="0" w:hanging="2"/>
        <w:jc w:val="both"/>
        <w:rPr>
          <w:rFonts w:ascii="Arial" w:hAnsi="Arial" w:cs="Arial"/>
          <w:sz w:val="20"/>
          <w:szCs w:val="20"/>
        </w:rPr>
      </w:pPr>
    </w:p>
    <w:p w14:paraId="17DF31F2" w14:textId="3C8AC722" w:rsidR="00164614" w:rsidRDefault="00AB52E8" w:rsidP="00953AE5">
      <w:pPr>
        <w:spacing w:after="0" w:line="240" w:lineRule="auto"/>
        <w:ind w:left="0" w:hanging="2"/>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9611536" wp14:editId="33062D3B">
                <wp:simplePos x="0" y="0"/>
                <wp:positionH relativeFrom="margin">
                  <wp:align>left</wp:align>
                </wp:positionH>
                <wp:positionV relativeFrom="paragraph">
                  <wp:posOffset>96520</wp:posOffset>
                </wp:positionV>
                <wp:extent cx="5810250" cy="288734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5810250" cy="2887345"/>
                        </a:xfrm>
                        <a:prstGeom prst="rect">
                          <a:avLst/>
                        </a:prstGeom>
                        <a:solidFill>
                          <a:schemeClr val="lt1"/>
                        </a:solidFill>
                        <a:ln w="6350">
                          <a:noFill/>
                        </a:ln>
                      </wps:spPr>
                      <wps:txbx>
                        <w:txbxContent>
                          <w:p w14:paraId="4CBF416C" w14:textId="4C986BBC" w:rsidR="0096266C" w:rsidRDefault="0096266C" w:rsidP="0096266C">
                            <w:pPr>
                              <w:spacing w:after="0" w:line="240" w:lineRule="auto"/>
                              <w:ind w:left="0" w:hanging="2"/>
                              <w:jc w:val="both"/>
                              <w:rPr>
                                <w:rFonts w:ascii="Arial" w:hAnsi="Arial" w:cs="Arial"/>
                                <w:sz w:val="20"/>
                                <w:szCs w:val="20"/>
                              </w:rPr>
                            </w:pPr>
                            <w:r w:rsidRPr="00892158">
                              <w:rPr>
                                <w:rFonts w:ascii="Arial" w:hAnsi="Arial" w:cs="Arial"/>
                                <w:sz w:val="20"/>
                                <w:szCs w:val="20"/>
                              </w:rPr>
                              <w:t>Table 6 paired comparison results</w:t>
                            </w:r>
                          </w:p>
                          <w:p w14:paraId="0E69ED15" w14:textId="77777777" w:rsidR="0096266C" w:rsidRPr="00892158" w:rsidRDefault="0096266C" w:rsidP="0096266C">
                            <w:pPr>
                              <w:spacing w:after="0" w:line="240" w:lineRule="auto"/>
                              <w:ind w:left="0" w:hanging="2"/>
                              <w:jc w:val="both"/>
                              <w:rPr>
                                <w:rFonts w:ascii="Arial" w:hAnsi="Arial" w:cs="Arial"/>
                                <w:sz w:val="20"/>
                                <w:szCs w:val="20"/>
                              </w:rPr>
                            </w:pP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1"/>
                              <w:gridCol w:w="721"/>
                              <w:gridCol w:w="721"/>
                              <w:gridCol w:w="721"/>
                              <w:gridCol w:w="721"/>
                              <w:gridCol w:w="721"/>
                              <w:gridCol w:w="721"/>
                              <w:gridCol w:w="721"/>
                              <w:gridCol w:w="721"/>
                              <w:gridCol w:w="810"/>
                              <w:gridCol w:w="810"/>
                            </w:tblGrid>
                            <w:tr w:rsidR="0096266C" w:rsidRPr="00892158" w14:paraId="661EC389" w14:textId="77777777" w:rsidTr="00C258C2">
                              <w:trPr>
                                <w:trHeight w:val="288"/>
                              </w:trPr>
                              <w:tc>
                                <w:tcPr>
                                  <w:tcW w:w="709" w:type="dxa"/>
                                  <w:tcBorders>
                                    <w:top w:val="single" w:sz="4" w:space="0" w:color="auto"/>
                                    <w:bottom w:val="single" w:sz="4" w:space="0" w:color="auto"/>
                                  </w:tcBorders>
                                  <w:noWrap/>
                                  <w:hideMark/>
                                </w:tcPr>
                                <w:p w14:paraId="147A2240"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Criteria</w:t>
                                  </w:r>
                                </w:p>
                              </w:tc>
                              <w:tc>
                                <w:tcPr>
                                  <w:tcW w:w="715" w:type="dxa"/>
                                  <w:tcBorders>
                                    <w:top w:val="single" w:sz="4" w:space="0" w:color="auto"/>
                                    <w:bottom w:val="single" w:sz="4" w:space="0" w:color="auto"/>
                                  </w:tcBorders>
                                  <w:noWrap/>
                                  <w:hideMark/>
                                </w:tcPr>
                                <w:p w14:paraId="2C80AEEB"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w:t>
                                  </w:r>
                                </w:p>
                              </w:tc>
                              <w:tc>
                                <w:tcPr>
                                  <w:tcW w:w="715" w:type="dxa"/>
                                  <w:tcBorders>
                                    <w:top w:val="single" w:sz="4" w:space="0" w:color="auto"/>
                                    <w:bottom w:val="single" w:sz="4" w:space="0" w:color="auto"/>
                                  </w:tcBorders>
                                  <w:noWrap/>
                                  <w:hideMark/>
                                </w:tcPr>
                                <w:p w14:paraId="5FC333A7"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CRT_2</w:t>
                                  </w:r>
                                </w:p>
                              </w:tc>
                              <w:tc>
                                <w:tcPr>
                                  <w:tcW w:w="716" w:type="dxa"/>
                                  <w:tcBorders>
                                    <w:top w:val="single" w:sz="4" w:space="0" w:color="auto"/>
                                    <w:bottom w:val="single" w:sz="4" w:space="0" w:color="auto"/>
                                  </w:tcBorders>
                                  <w:noWrap/>
                                  <w:hideMark/>
                                </w:tcPr>
                                <w:p w14:paraId="5EA1760B"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CRT_3</w:t>
                                  </w:r>
                                </w:p>
                              </w:tc>
                              <w:tc>
                                <w:tcPr>
                                  <w:tcW w:w="716" w:type="dxa"/>
                                  <w:tcBorders>
                                    <w:top w:val="single" w:sz="4" w:space="0" w:color="auto"/>
                                    <w:bottom w:val="single" w:sz="4" w:space="0" w:color="auto"/>
                                  </w:tcBorders>
                                  <w:noWrap/>
                                  <w:hideMark/>
                                </w:tcPr>
                                <w:p w14:paraId="733A5ECE"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CRT_4</w:t>
                                  </w:r>
                                </w:p>
                              </w:tc>
                              <w:tc>
                                <w:tcPr>
                                  <w:tcW w:w="716" w:type="dxa"/>
                                  <w:tcBorders>
                                    <w:top w:val="single" w:sz="4" w:space="0" w:color="auto"/>
                                    <w:bottom w:val="single" w:sz="4" w:space="0" w:color="auto"/>
                                  </w:tcBorders>
                                  <w:noWrap/>
                                  <w:hideMark/>
                                </w:tcPr>
                                <w:p w14:paraId="21540ABC"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CRT_5</w:t>
                                  </w:r>
                                </w:p>
                              </w:tc>
                              <w:tc>
                                <w:tcPr>
                                  <w:tcW w:w="716" w:type="dxa"/>
                                  <w:tcBorders>
                                    <w:top w:val="single" w:sz="4" w:space="0" w:color="auto"/>
                                    <w:bottom w:val="single" w:sz="4" w:space="0" w:color="auto"/>
                                  </w:tcBorders>
                                  <w:noWrap/>
                                  <w:hideMark/>
                                </w:tcPr>
                                <w:p w14:paraId="302C988D"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CRT_6</w:t>
                                  </w:r>
                                </w:p>
                              </w:tc>
                              <w:tc>
                                <w:tcPr>
                                  <w:tcW w:w="716" w:type="dxa"/>
                                  <w:tcBorders>
                                    <w:top w:val="single" w:sz="4" w:space="0" w:color="auto"/>
                                    <w:bottom w:val="single" w:sz="4" w:space="0" w:color="auto"/>
                                  </w:tcBorders>
                                  <w:noWrap/>
                                  <w:hideMark/>
                                </w:tcPr>
                                <w:p w14:paraId="39E5334A"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CRT_7</w:t>
                                  </w:r>
                                </w:p>
                              </w:tc>
                              <w:tc>
                                <w:tcPr>
                                  <w:tcW w:w="716" w:type="dxa"/>
                                  <w:tcBorders>
                                    <w:top w:val="single" w:sz="4" w:space="0" w:color="auto"/>
                                    <w:bottom w:val="single" w:sz="4" w:space="0" w:color="auto"/>
                                  </w:tcBorders>
                                  <w:noWrap/>
                                  <w:hideMark/>
                                </w:tcPr>
                                <w:p w14:paraId="28ED5E19"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CRT_8</w:t>
                                  </w:r>
                                </w:p>
                              </w:tc>
                              <w:tc>
                                <w:tcPr>
                                  <w:tcW w:w="716" w:type="dxa"/>
                                  <w:tcBorders>
                                    <w:top w:val="single" w:sz="4" w:space="0" w:color="auto"/>
                                    <w:bottom w:val="single" w:sz="4" w:space="0" w:color="auto"/>
                                  </w:tcBorders>
                                  <w:noWrap/>
                                  <w:hideMark/>
                                </w:tcPr>
                                <w:p w14:paraId="353FB21C"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CRT_9</w:t>
                                  </w:r>
                                </w:p>
                              </w:tc>
                              <w:tc>
                                <w:tcPr>
                                  <w:tcW w:w="804" w:type="dxa"/>
                                  <w:tcBorders>
                                    <w:top w:val="single" w:sz="4" w:space="0" w:color="auto"/>
                                    <w:bottom w:val="single" w:sz="4" w:space="0" w:color="auto"/>
                                  </w:tcBorders>
                                  <w:noWrap/>
                                  <w:hideMark/>
                                </w:tcPr>
                                <w:p w14:paraId="67A0AB85"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CRT_10</w:t>
                                  </w:r>
                                </w:p>
                              </w:tc>
                              <w:tc>
                                <w:tcPr>
                                  <w:tcW w:w="804" w:type="dxa"/>
                                  <w:tcBorders>
                                    <w:top w:val="single" w:sz="4" w:space="0" w:color="auto"/>
                                    <w:bottom w:val="single" w:sz="4" w:space="0" w:color="auto"/>
                                  </w:tcBorders>
                                  <w:noWrap/>
                                  <w:hideMark/>
                                </w:tcPr>
                                <w:p w14:paraId="19E0F4DF"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CRT_11</w:t>
                                  </w:r>
                                </w:p>
                              </w:tc>
                            </w:tr>
                            <w:tr w:rsidR="0096266C" w:rsidRPr="00892158" w14:paraId="184747FC" w14:textId="77777777" w:rsidTr="00C258C2">
                              <w:trPr>
                                <w:trHeight w:val="288"/>
                              </w:trPr>
                              <w:tc>
                                <w:tcPr>
                                  <w:tcW w:w="709" w:type="dxa"/>
                                  <w:tcBorders>
                                    <w:top w:val="single" w:sz="4" w:space="0" w:color="auto"/>
                                  </w:tcBorders>
                                  <w:noWrap/>
                                  <w:hideMark/>
                                </w:tcPr>
                                <w:p w14:paraId="45404545"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w:t>
                                  </w:r>
                                </w:p>
                              </w:tc>
                              <w:tc>
                                <w:tcPr>
                                  <w:tcW w:w="715" w:type="dxa"/>
                                  <w:tcBorders>
                                    <w:top w:val="single" w:sz="4" w:space="0" w:color="auto"/>
                                  </w:tcBorders>
                                  <w:noWrap/>
                                  <w:hideMark/>
                                </w:tcPr>
                                <w:p w14:paraId="4DAE547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5" w:type="dxa"/>
                                  <w:tcBorders>
                                    <w:top w:val="single" w:sz="4" w:space="0" w:color="auto"/>
                                  </w:tcBorders>
                                  <w:noWrap/>
                                  <w:hideMark/>
                                </w:tcPr>
                                <w:p w14:paraId="33EC12E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2,646</w:t>
                                  </w:r>
                                </w:p>
                              </w:tc>
                              <w:tc>
                                <w:tcPr>
                                  <w:tcW w:w="716" w:type="dxa"/>
                                  <w:tcBorders>
                                    <w:top w:val="single" w:sz="4" w:space="0" w:color="auto"/>
                                  </w:tcBorders>
                                  <w:noWrap/>
                                  <w:hideMark/>
                                </w:tcPr>
                                <w:p w14:paraId="029D28E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6237776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04ED189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16D6409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c>
                                <w:tcPr>
                                  <w:tcW w:w="716" w:type="dxa"/>
                                  <w:tcBorders>
                                    <w:top w:val="single" w:sz="4" w:space="0" w:color="auto"/>
                                  </w:tcBorders>
                                  <w:noWrap/>
                                  <w:hideMark/>
                                </w:tcPr>
                                <w:p w14:paraId="3478968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1132AEC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6068C37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804" w:type="dxa"/>
                                  <w:tcBorders>
                                    <w:top w:val="single" w:sz="4" w:space="0" w:color="auto"/>
                                  </w:tcBorders>
                                  <w:noWrap/>
                                  <w:hideMark/>
                                </w:tcPr>
                                <w:p w14:paraId="2E1E9F2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804" w:type="dxa"/>
                                  <w:tcBorders>
                                    <w:top w:val="single" w:sz="4" w:space="0" w:color="auto"/>
                                  </w:tcBorders>
                                  <w:noWrap/>
                                  <w:hideMark/>
                                </w:tcPr>
                                <w:p w14:paraId="67CC00C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1,823</w:t>
                                  </w:r>
                                </w:p>
                              </w:tc>
                            </w:tr>
                            <w:tr w:rsidR="0096266C" w:rsidRPr="00892158" w14:paraId="18BCC247" w14:textId="77777777" w:rsidTr="00C258C2">
                              <w:trPr>
                                <w:trHeight w:val="288"/>
                              </w:trPr>
                              <w:tc>
                                <w:tcPr>
                                  <w:tcW w:w="709" w:type="dxa"/>
                                  <w:noWrap/>
                                  <w:hideMark/>
                                </w:tcPr>
                                <w:p w14:paraId="01A15908"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CRT_2</w:t>
                                  </w:r>
                                </w:p>
                              </w:tc>
                              <w:tc>
                                <w:tcPr>
                                  <w:tcW w:w="715" w:type="dxa"/>
                                  <w:noWrap/>
                                  <w:hideMark/>
                                </w:tcPr>
                                <w:p w14:paraId="25E12A2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0,378</w:t>
                                  </w:r>
                                </w:p>
                              </w:tc>
                              <w:tc>
                                <w:tcPr>
                                  <w:tcW w:w="715" w:type="dxa"/>
                                  <w:noWrap/>
                                  <w:hideMark/>
                                </w:tcPr>
                                <w:p w14:paraId="4A1ACE0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015E6F7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1EE7221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2412A6F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0,520</w:t>
                                  </w:r>
                                </w:p>
                              </w:tc>
                              <w:tc>
                                <w:tcPr>
                                  <w:tcW w:w="716" w:type="dxa"/>
                                  <w:noWrap/>
                                  <w:hideMark/>
                                </w:tcPr>
                                <w:p w14:paraId="7A9D21D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c>
                                <w:tcPr>
                                  <w:tcW w:w="716" w:type="dxa"/>
                                  <w:noWrap/>
                                  <w:hideMark/>
                                </w:tcPr>
                                <w:p w14:paraId="792758A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7581F64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c>
                                <w:tcPr>
                                  <w:tcW w:w="716" w:type="dxa"/>
                                  <w:noWrap/>
                                  <w:hideMark/>
                                </w:tcPr>
                                <w:p w14:paraId="15D217B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c>
                                <w:tcPr>
                                  <w:tcW w:w="804" w:type="dxa"/>
                                  <w:noWrap/>
                                  <w:hideMark/>
                                </w:tcPr>
                                <w:p w14:paraId="37E4FFE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c>
                                <w:tcPr>
                                  <w:tcW w:w="804" w:type="dxa"/>
                                  <w:noWrap/>
                                  <w:hideMark/>
                                </w:tcPr>
                                <w:p w14:paraId="6739354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r>
                            <w:tr w:rsidR="0096266C" w:rsidRPr="00892158" w14:paraId="5DEAF086" w14:textId="77777777" w:rsidTr="00C258C2">
                              <w:trPr>
                                <w:trHeight w:val="288"/>
                              </w:trPr>
                              <w:tc>
                                <w:tcPr>
                                  <w:tcW w:w="709" w:type="dxa"/>
                                  <w:noWrap/>
                                  <w:hideMark/>
                                </w:tcPr>
                                <w:p w14:paraId="1C75D218"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CRT_3</w:t>
                                  </w:r>
                                </w:p>
                              </w:tc>
                              <w:tc>
                                <w:tcPr>
                                  <w:tcW w:w="715" w:type="dxa"/>
                                  <w:noWrap/>
                                  <w:hideMark/>
                                </w:tcPr>
                                <w:p w14:paraId="6F09B45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625759D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4C1EAC2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4FC02C1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1A683DD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2C19C9A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745B113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716" w:type="dxa"/>
                                  <w:noWrap/>
                                  <w:hideMark/>
                                </w:tcPr>
                                <w:p w14:paraId="64B0789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610F44B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804" w:type="dxa"/>
                                  <w:noWrap/>
                                  <w:hideMark/>
                                </w:tcPr>
                                <w:p w14:paraId="21CD31F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2,088</w:t>
                                  </w:r>
                                </w:p>
                              </w:tc>
                              <w:tc>
                                <w:tcPr>
                                  <w:tcW w:w="804" w:type="dxa"/>
                                  <w:noWrap/>
                                  <w:hideMark/>
                                </w:tcPr>
                                <w:p w14:paraId="5801F39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r>
                            <w:tr w:rsidR="0096266C" w:rsidRPr="00892158" w14:paraId="03C07696" w14:textId="77777777" w:rsidTr="00C258C2">
                              <w:trPr>
                                <w:trHeight w:val="288"/>
                              </w:trPr>
                              <w:tc>
                                <w:tcPr>
                                  <w:tcW w:w="709" w:type="dxa"/>
                                  <w:noWrap/>
                                  <w:hideMark/>
                                </w:tcPr>
                                <w:p w14:paraId="191A2A83"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CRT_4</w:t>
                                  </w:r>
                                </w:p>
                              </w:tc>
                              <w:tc>
                                <w:tcPr>
                                  <w:tcW w:w="715" w:type="dxa"/>
                                  <w:noWrap/>
                                  <w:hideMark/>
                                </w:tcPr>
                                <w:p w14:paraId="1BDD914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1E1BE2C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2ED8DCA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5095575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0C43B32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1C3D2BF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716" w:type="dxa"/>
                                  <w:noWrap/>
                                  <w:hideMark/>
                                </w:tcPr>
                                <w:p w14:paraId="71CBCD0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716" w:type="dxa"/>
                                  <w:noWrap/>
                                  <w:hideMark/>
                                </w:tcPr>
                                <w:p w14:paraId="3284CDB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0,477</w:t>
                                  </w:r>
                                </w:p>
                              </w:tc>
                              <w:tc>
                                <w:tcPr>
                                  <w:tcW w:w="716" w:type="dxa"/>
                                  <w:noWrap/>
                                  <w:hideMark/>
                                </w:tcPr>
                                <w:p w14:paraId="2BD4FFC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2,019</w:t>
                                  </w:r>
                                </w:p>
                              </w:tc>
                              <w:tc>
                                <w:tcPr>
                                  <w:tcW w:w="804" w:type="dxa"/>
                                  <w:noWrap/>
                                  <w:hideMark/>
                                </w:tcPr>
                                <w:p w14:paraId="25648F3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804" w:type="dxa"/>
                                  <w:noWrap/>
                                  <w:hideMark/>
                                </w:tcPr>
                                <w:p w14:paraId="1DD8083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r>
                            <w:tr w:rsidR="0096266C" w:rsidRPr="00892158" w14:paraId="0369EEB1" w14:textId="77777777" w:rsidTr="00C258C2">
                              <w:trPr>
                                <w:trHeight w:val="288"/>
                              </w:trPr>
                              <w:tc>
                                <w:tcPr>
                                  <w:tcW w:w="709" w:type="dxa"/>
                                  <w:noWrap/>
                                  <w:hideMark/>
                                </w:tcPr>
                                <w:p w14:paraId="0991FFFC"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CRT_5</w:t>
                                  </w:r>
                                </w:p>
                              </w:tc>
                              <w:tc>
                                <w:tcPr>
                                  <w:tcW w:w="715" w:type="dxa"/>
                                  <w:noWrap/>
                                  <w:hideMark/>
                                </w:tcPr>
                                <w:p w14:paraId="41160F7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065BDC1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1,924</w:t>
                                  </w:r>
                                </w:p>
                              </w:tc>
                              <w:tc>
                                <w:tcPr>
                                  <w:tcW w:w="716" w:type="dxa"/>
                                  <w:noWrap/>
                                  <w:hideMark/>
                                </w:tcPr>
                                <w:p w14:paraId="0D17170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49DA412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5501589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2FAF9AC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1,540</w:t>
                                  </w:r>
                                </w:p>
                              </w:tc>
                              <w:tc>
                                <w:tcPr>
                                  <w:tcW w:w="716" w:type="dxa"/>
                                  <w:noWrap/>
                                  <w:hideMark/>
                                </w:tcPr>
                                <w:p w14:paraId="7ED09D0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2,019</w:t>
                                  </w:r>
                                </w:p>
                              </w:tc>
                              <w:tc>
                                <w:tcPr>
                                  <w:tcW w:w="716" w:type="dxa"/>
                                  <w:noWrap/>
                                  <w:hideMark/>
                                </w:tcPr>
                                <w:p w14:paraId="2425EBB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1,918</w:t>
                                  </w:r>
                                </w:p>
                              </w:tc>
                              <w:tc>
                                <w:tcPr>
                                  <w:tcW w:w="716" w:type="dxa"/>
                                  <w:noWrap/>
                                  <w:hideMark/>
                                </w:tcPr>
                                <w:p w14:paraId="5DD1A0C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2,197</w:t>
                                  </w:r>
                                </w:p>
                              </w:tc>
                              <w:tc>
                                <w:tcPr>
                                  <w:tcW w:w="804" w:type="dxa"/>
                                  <w:noWrap/>
                                  <w:hideMark/>
                                </w:tcPr>
                                <w:p w14:paraId="4E11DA7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2,197</w:t>
                                  </w:r>
                                </w:p>
                              </w:tc>
                              <w:tc>
                                <w:tcPr>
                                  <w:tcW w:w="804" w:type="dxa"/>
                                  <w:noWrap/>
                                  <w:hideMark/>
                                </w:tcPr>
                                <w:p w14:paraId="1DF60D5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r>
                            <w:tr w:rsidR="0096266C" w:rsidRPr="00892158" w14:paraId="56BAB1B9" w14:textId="77777777" w:rsidTr="00C258C2">
                              <w:trPr>
                                <w:trHeight w:val="288"/>
                              </w:trPr>
                              <w:tc>
                                <w:tcPr>
                                  <w:tcW w:w="709" w:type="dxa"/>
                                  <w:noWrap/>
                                  <w:hideMark/>
                                </w:tcPr>
                                <w:p w14:paraId="11F69EFF"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CRT_6</w:t>
                                  </w:r>
                                </w:p>
                              </w:tc>
                              <w:tc>
                                <w:tcPr>
                                  <w:tcW w:w="715" w:type="dxa"/>
                                  <w:noWrap/>
                                  <w:hideMark/>
                                </w:tcPr>
                                <w:p w14:paraId="3D3E53E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5" w:type="dxa"/>
                                  <w:noWrap/>
                                  <w:hideMark/>
                                </w:tcPr>
                                <w:p w14:paraId="1B26D39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6" w:type="dxa"/>
                                  <w:noWrap/>
                                  <w:hideMark/>
                                </w:tcPr>
                                <w:p w14:paraId="3B90F51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43166E8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4E9A493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0,649</w:t>
                                  </w:r>
                                </w:p>
                              </w:tc>
                              <w:tc>
                                <w:tcPr>
                                  <w:tcW w:w="716" w:type="dxa"/>
                                  <w:noWrap/>
                                  <w:hideMark/>
                                </w:tcPr>
                                <w:p w14:paraId="0FF6C016"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0833B2F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2,273</w:t>
                                  </w:r>
                                </w:p>
                              </w:tc>
                              <w:tc>
                                <w:tcPr>
                                  <w:tcW w:w="716" w:type="dxa"/>
                                  <w:noWrap/>
                                  <w:hideMark/>
                                </w:tcPr>
                                <w:p w14:paraId="426525D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2,197</w:t>
                                  </w:r>
                                </w:p>
                              </w:tc>
                              <w:tc>
                                <w:tcPr>
                                  <w:tcW w:w="716" w:type="dxa"/>
                                  <w:noWrap/>
                                  <w:hideMark/>
                                </w:tcPr>
                                <w:p w14:paraId="3D6A665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2,474</w:t>
                                  </w:r>
                                </w:p>
                              </w:tc>
                              <w:tc>
                                <w:tcPr>
                                  <w:tcW w:w="804" w:type="dxa"/>
                                  <w:noWrap/>
                                  <w:hideMark/>
                                </w:tcPr>
                                <w:p w14:paraId="35E5671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2,392</w:t>
                                  </w:r>
                                </w:p>
                              </w:tc>
                              <w:tc>
                                <w:tcPr>
                                  <w:tcW w:w="804" w:type="dxa"/>
                                  <w:noWrap/>
                                  <w:hideMark/>
                                </w:tcPr>
                                <w:p w14:paraId="3CB0690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2,474</w:t>
                                  </w:r>
                                </w:p>
                              </w:tc>
                            </w:tr>
                            <w:tr w:rsidR="0096266C" w:rsidRPr="00892158" w14:paraId="72580D53" w14:textId="77777777" w:rsidTr="00C258C2">
                              <w:trPr>
                                <w:trHeight w:val="288"/>
                              </w:trPr>
                              <w:tc>
                                <w:tcPr>
                                  <w:tcW w:w="709" w:type="dxa"/>
                                  <w:noWrap/>
                                  <w:hideMark/>
                                </w:tcPr>
                                <w:p w14:paraId="5340E12B"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CRT_7</w:t>
                                  </w:r>
                                </w:p>
                              </w:tc>
                              <w:tc>
                                <w:tcPr>
                                  <w:tcW w:w="715" w:type="dxa"/>
                                  <w:noWrap/>
                                  <w:hideMark/>
                                </w:tcPr>
                                <w:p w14:paraId="7B0B1C1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744186A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10D7AEE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3D5CAB1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271CFB9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0,495</w:t>
                                  </w:r>
                                </w:p>
                              </w:tc>
                              <w:tc>
                                <w:tcPr>
                                  <w:tcW w:w="716" w:type="dxa"/>
                                  <w:noWrap/>
                                  <w:hideMark/>
                                </w:tcPr>
                                <w:p w14:paraId="1DEC55A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0,440</w:t>
                                  </w:r>
                                </w:p>
                              </w:tc>
                              <w:tc>
                                <w:tcPr>
                                  <w:tcW w:w="716" w:type="dxa"/>
                                  <w:noWrap/>
                                  <w:hideMark/>
                                </w:tcPr>
                                <w:p w14:paraId="0E9DB47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53201A4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716" w:type="dxa"/>
                                  <w:noWrap/>
                                  <w:hideMark/>
                                </w:tcPr>
                                <w:p w14:paraId="119E189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804" w:type="dxa"/>
                                  <w:noWrap/>
                                  <w:hideMark/>
                                </w:tcPr>
                                <w:p w14:paraId="79218B0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804" w:type="dxa"/>
                                  <w:noWrap/>
                                  <w:hideMark/>
                                </w:tcPr>
                                <w:p w14:paraId="16DE89C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r>
                            <w:tr w:rsidR="0096266C" w:rsidRPr="00892158" w14:paraId="1CDA4E57" w14:textId="77777777" w:rsidTr="00C258C2">
                              <w:trPr>
                                <w:trHeight w:val="288"/>
                              </w:trPr>
                              <w:tc>
                                <w:tcPr>
                                  <w:tcW w:w="709" w:type="dxa"/>
                                  <w:noWrap/>
                                  <w:hideMark/>
                                </w:tcPr>
                                <w:p w14:paraId="37042349"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CRT_8</w:t>
                                  </w:r>
                                </w:p>
                              </w:tc>
                              <w:tc>
                                <w:tcPr>
                                  <w:tcW w:w="715" w:type="dxa"/>
                                  <w:noWrap/>
                                  <w:hideMark/>
                                </w:tcPr>
                                <w:p w14:paraId="34CA845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584472E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54F995B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05F22A8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2,096</w:t>
                                  </w:r>
                                </w:p>
                              </w:tc>
                              <w:tc>
                                <w:tcPr>
                                  <w:tcW w:w="716" w:type="dxa"/>
                                  <w:noWrap/>
                                  <w:hideMark/>
                                </w:tcPr>
                                <w:p w14:paraId="3655959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0,521</w:t>
                                  </w:r>
                                </w:p>
                              </w:tc>
                              <w:tc>
                                <w:tcPr>
                                  <w:tcW w:w="716" w:type="dxa"/>
                                  <w:noWrap/>
                                  <w:hideMark/>
                                </w:tcPr>
                                <w:p w14:paraId="0C57BB7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0,455</w:t>
                                  </w:r>
                                </w:p>
                              </w:tc>
                              <w:tc>
                                <w:tcPr>
                                  <w:tcW w:w="716" w:type="dxa"/>
                                  <w:noWrap/>
                                  <w:hideMark/>
                                </w:tcPr>
                                <w:p w14:paraId="1CBE706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50EB32E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6A0BA73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2,474</w:t>
                                  </w:r>
                                </w:p>
                              </w:tc>
                              <w:tc>
                                <w:tcPr>
                                  <w:tcW w:w="804" w:type="dxa"/>
                                  <w:noWrap/>
                                  <w:hideMark/>
                                </w:tcPr>
                                <w:p w14:paraId="5C1A119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2,392</w:t>
                                  </w:r>
                                </w:p>
                              </w:tc>
                              <w:tc>
                                <w:tcPr>
                                  <w:tcW w:w="804" w:type="dxa"/>
                                  <w:noWrap/>
                                  <w:hideMark/>
                                </w:tcPr>
                                <w:p w14:paraId="6F2295D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r>
                            <w:tr w:rsidR="0096266C" w:rsidRPr="00892158" w14:paraId="07A45013" w14:textId="77777777" w:rsidTr="00C258C2">
                              <w:trPr>
                                <w:trHeight w:val="288"/>
                              </w:trPr>
                              <w:tc>
                                <w:tcPr>
                                  <w:tcW w:w="709" w:type="dxa"/>
                                  <w:noWrap/>
                                  <w:hideMark/>
                                </w:tcPr>
                                <w:p w14:paraId="7DFC2A28"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CRT_9</w:t>
                                  </w:r>
                                </w:p>
                              </w:tc>
                              <w:tc>
                                <w:tcPr>
                                  <w:tcW w:w="715" w:type="dxa"/>
                                  <w:noWrap/>
                                  <w:hideMark/>
                                </w:tcPr>
                                <w:p w14:paraId="4DEA367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2D386FD6"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6927413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21FD474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0,495</w:t>
                                  </w:r>
                                </w:p>
                              </w:tc>
                              <w:tc>
                                <w:tcPr>
                                  <w:tcW w:w="716" w:type="dxa"/>
                                  <w:noWrap/>
                                  <w:hideMark/>
                                </w:tcPr>
                                <w:p w14:paraId="0CA42B0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0,455</w:t>
                                  </w:r>
                                </w:p>
                              </w:tc>
                              <w:tc>
                                <w:tcPr>
                                  <w:tcW w:w="716" w:type="dxa"/>
                                  <w:noWrap/>
                                  <w:hideMark/>
                                </w:tcPr>
                                <w:p w14:paraId="1113D39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0,404</w:t>
                                  </w:r>
                                </w:p>
                              </w:tc>
                              <w:tc>
                                <w:tcPr>
                                  <w:tcW w:w="716" w:type="dxa"/>
                                  <w:noWrap/>
                                  <w:hideMark/>
                                </w:tcPr>
                                <w:p w14:paraId="40A9CB4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4CE776A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0,404</w:t>
                                  </w:r>
                                </w:p>
                              </w:tc>
                              <w:tc>
                                <w:tcPr>
                                  <w:tcW w:w="716" w:type="dxa"/>
                                  <w:noWrap/>
                                  <w:hideMark/>
                                </w:tcPr>
                                <w:p w14:paraId="66C07A3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804" w:type="dxa"/>
                                  <w:noWrap/>
                                  <w:hideMark/>
                                </w:tcPr>
                                <w:p w14:paraId="011CEEF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804" w:type="dxa"/>
                                  <w:noWrap/>
                                  <w:hideMark/>
                                </w:tcPr>
                                <w:p w14:paraId="4E07430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r>
                            <w:tr w:rsidR="0096266C" w:rsidRPr="00892158" w14:paraId="2F3891A8" w14:textId="77777777" w:rsidTr="00C258C2">
                              <w:trPr>
                                <w:trHeight w:val="288"/>
                              </w:trPr>
                              <w:tc>
                                <w:tcPr>
                                  <w:tcW w:w="709" w:type="dxa"/>
                                  <w:noWrap/>
                                  <w:hideMark/>
                                </w:tcPr>
                                <w:p w14:paraId="45A09BA1"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CRT_10</w:t>
                                  </w:r>
                                </w:p>
                              </w:tc>
                              <w:tc>
                                <w:tcPr>
                                  <w:tcW w:w="715" w:type="dxa"/>
                                  <w:noWrap/>
                                  <w:hideMark/>
                                </w:tcPr>
                                <w:p w14:paraId="3D7F483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5" w:type="dxa"/>
                                  <w:noWrap/>
                                  <w:hideMark/>
                                </w:tcPr>
                                <w:p w14:paraId="5701CF2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7B73EF7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0,479</w:t>
                                  </w:r>
                                </w:p>
                              </w:tc>
                              <w:tc>
                                <w:tcPr>
                                  <w:tcW w:w="716" w:type="dxa"/>
                                  <w:noWrap/>
                                  <w:hideMark/>
                                </w:tcPr>
                                <w:p w14:paraId="29B6973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5CD359D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0,455</w:t>
                                  </w:r>
                                </w:p>
                              </w:tc>
                              <w:tc>
                                <w:tcPr>
                                  <w:tcW w:w="716" w:type="dxa"/>
                                  <w:noWrap/>
                                  <w:hideMark/>
                                </w:tcPr>
                                <w:p w14:paraId="33297C0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0,418</w:t>
                                  </w:r>
                                </w:p>
                              </w:tc>
                              <w:tc>
                                <w:tcPr>
                                  <w:tcW w:w="716" w:type="dxa"/>
                                  <w:noWrap/>
                                  <w:hideMark/>
                                </w:tcPr>
                                <w:p w14:paraId="5988990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68634BA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0,418</w:t>
                                  </w:r>
                                </w:p>
                              </w:tc>
                              <w:tc>
                                <w:tcPr>
                                  <w:tcW w:w="716" w:type="dxa"/>
                                  <w:noWrap/>
                                  <w:hideMark/>
                                </w:tcPr>
                                <w:p w14:paraId="445A22A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804" w:type="dxa"/>
                                  <w:noWrap/>
                                  <w:hideMark/>
                                </w:tcPr>
                                <w:p w14:paraId="50F04A7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804" w:type="dxa"/>
                                  <w:noWrap/>
                                  <w:hideMark/>
                                </w:tcPr>
                                <w:p w14:paraId="2D65A35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r>
                            <w:tr w:rsidR="0096266C" w:rsidRPr="00892158" w14:paraId="3EF910D6" w14:textId="77777777" w:rsidTr="00C258C2">
                              <w:trPr>
                                <w:trHeight w:val="288"/>
                              </w:trPr>
                              <w:tc>
                                <w:tcPr>
                                  <w:tcW w:w="709" w:type="dxa"/>
                                  <w:noWrap/>
                                  <w:hideMark/>
                                </w:tcPr>
                                <w:p w14:paraId="2838AB55"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CRT11</w:t>
                                  </w:r>
                                </w:p>
                              </w:tc>
                              <w:tc>
                                <w:tcPr>
                                  <w:tcW w:w="715" w:type="dxa"/>
                                  <w:noWrap/>
                                  <w:hideMark/>
                                </w:tcPr>
                                <w:p w14:paraId="2111926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0,549</w:t>
                                  </w:r>
                                </w:p>
                              </w:tc>
                              <w:tc>
                                <w:tcPr>
                                  <w:tcW w:w="715" w:type="dxa"/>
                                  <w:noWrap/>
                                  <w:hideMark/>
                                </w:tcPr>
                                <w:p w14:paraId="3A2B426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28A03FD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26BDF8B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6" w:type="dxa"/>
                                  <w:noWrap/>
                                  <w:hideMark/>
                                </w:tcPr>
                                <w:p w14:paraId="60FA731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6" w:type="dxa"/>
                                  <w:noWrap/>
                                  <w:hideMark/>
                                </w:tcPr>
                                <w:p w14:paraId="031F376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0,404</w:t>
                                  </w:r>
                                </w:p>
                              </w:tc>
                              <w:tc>
                                <w:tcPr>
                                  <w:tcW w:w="716" w:type="dxa"/>
                                  <w:noWrap/>
                                  <w:hideMark/>
                                </w:tcPr>
                                <w:p w14:paraId="5F9DBE7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41A0B6B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6" w:type="dxa"/>
                                  <w:noWrap/>
                                  <w:hideMark/>
                                </w:tcPr>
                                <w:p w14:paraId="4D8E995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804" w:type="dxa"/>
                                  <w:noWrap/>
                                  <w:hideMark/>
                                </w:tcPr>
                                <w:p w14:paraId="729E93E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804" w:type="dxa"/>
                                  <w:noWrap/>
                                  <w:hideMark/>
                                </w:tcPr>
                                <w:p w14:paraId="489CB5D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r>
                            <w:tr w:rsidR="0096266C" w:rsidRPr="00892158" w14:paraId="7A588B02" w14:textId="77777777" w:rsidTr="00C258C2">
                              <w:trPr>
                                <w:trHeight w:val="288"/>
                              </w:trPr>
                              <w:tc>
                                <w:tcPr>
                                  <w:tcW w:w="709" w:type="dxa"/>
                                  <w:tcBorders>
                                    <w:bottom w:val="single" w:sz="4" w:space="0" w:color="auto"/>
                                  </w:tcBorders>
                                  <w:noWrap/>
                                  <w:hideMark/>
                                </w:tcPr>
                                <w:p w14:paraId="7407B4C3"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Total</w:t>
                                  </w:r>
                                </w:p>
                              </w:tc>
                              <w:tc>
                                <w:tcPr>
                                  <w:tcW w:w="715" w:type="dxa"/>
                                  <w:tcBorders>
                                    <w:bottom w:val="single" w:sz="4" w:space="0" w:color="auto"/>
                                  </w:tcBorders>
                                  <w:noWrap/>
                                  <w:hideMark/>
                                </w:tcPr>
                                <w:p w14:paraId="66AE8091"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19,440</w:t>
                                  </w:r>
                                </w:p>
                              </w:tc>
                              <w:tc>
                                <w:tcPr>
                                  <w:tcW w:w="715" w:type="dxa"/>
                                  <w:tcBorders>
                                    <w:bottom w:val="single" w:sz="4" w:space="0" w:color="auto"/>
                                  </w:tcBorders>
                                  <w:noWrap/>
                                  <w:hideMark/>
                                </w:tcPr>
                                <w:p w14:paraId="4F8731E3"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22,998</w:t>
                                  </w:r>
                                </w:p>
                              </w:tc>
                              <w:tc>
                                <w:tcPr>
                                  <w:tcW w:w="716" w:type="dxa"/>
                                  <w:tcBorders>
                                    <w:bottom w:val="single" w:sz="4" w:space="0" w:color="auto"/>
                                  </w:tcBorders>
                                  <w:noWrap/>
                                  <w:hideMark/>
                                </w:tcPr>
                                <w:p w14:paraId="1091AAEF"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10,581</w:t>
                                  </w:r>
                                </w:p>
                              </w:tc>
                              <w:tc>
                                <w:tcPr>
                                  <w:tcW w:w="716" w:type="dxa"/>
                                  <w:tcBorders>
                                    <w:bottom w:val="single" w:sz="4" w:space="0" w:color="auto"/>
                                  </w:tcBorders>
                                  <w:noWrap/>
                                  <w:hideMark/>
                                </w:tcPr>
                                <w:p w14:paraId="3F5741A8"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18,597</w:t>
                                  </w:r>
                                </w:p>
                              </w:tc>
                              <w:tc>
                                <w:tcPr>
                                  <w:tcW w:w="716" w:type="dxa"/>
                                  <w:tcBorders>
                                    <w:bottom w:val="single" w:sz="4" w:space="0" w:color="auto"/>
                                  </w:tcBorders>
                                  <w:noWrap/>
                                  <w:hideMark/>
                                </w:tcPr>
                                <w:p w14:paraId="117E91AA"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9,715</w:t>
                                  </w:r>
                                </w:p>
                              </w:tc>
                              <w:tc>
                                <w:tcPr>
                                  <w:tcW w:w="716" w:type="dxa"/>
                                  <w:tcBorders>
                                    <w:bottom w:val="single" w:sz="4" w:space="0" w:color="auto"/>
                                  </w:tcBorders>
                                  <w:noWrap/>
                                  <w:hideMark/>
                                </w:tcPr>
                                <w:p w14:paraId="3FA6F31C"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8,032</w:t>
                                  </w:r>
                                </w:p>
                              </w:tc>
                              <w:tc>
                                <w:tcPr>
                                  <w:tcW w:w="716" w:type="dxa"/>
                                  <w:tcBorders>
                                    <w:bottom w:val="single" w:sz="4" w:space="0" w:color="auto"/>
                                  </w:tcBorders>
                                  <w:noWrap/>
                                  <w:hideMark/>
                                </w:tcPr>
                                <w:p w14:paraId="02C95689"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15,109</w:t>
                                  </w:r>
                                </w:p>
                              </w:tc>
                              <w:tc>
                                <w:tcPr>
                                  <w:tcW w:w="716" w:type="dxa"/>
                                  <w:tcBorders>
                                    <w:bottom w:val="single" w:sz="4" w:space="0" w:color="auto"/>
                                  </w:tcBorders>
                                  <w:noWrap/>
                                  <w:hideMark/>
                                </w:tcPr>
                                <w:p w14:paraId="010985B0"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12,433</w:t>
                                  </w:r>
                                </w:p>
                              </w:tc>
                              <w:tc>
                                <w:tcPr>
                                  <w:tcW w:w="716" w:type="dxa"/>
                                  <w:tcBorders>
                                    <w:bottom w:val="single" w:sz="4" w:space="0" w:color="auto"/>
                                  </w:tcBorders>
                                  <w:noWrap/>
                                  <w:hideMark/>
                                </w:tcPr>
                                <w:p w14:paraId="655A6217"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16,499</w:t>
                                  </w:r>
                                </w:p>
                              </w:tc>
                              <w:tc>
                                <w:tcPr>
                                  <w:tcW w:w="804" w:type="dxa"/>
                                  <w:tcBorders>
                                    <w:bottom w:val="single" w:sz="4" w:space="0" w:color="auto"/>
                                  </w:tcBorders>
                                  <w:noWrap/>
                                  <w:hideMark/>
                                </w:tcPr>
                                <w:p w14:paraId="5772032F"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16,567</w:t>
                                  </w:r>
                                </w:p>
                              </w:tc>
                              <w:tc>
                                <w:tcPr>
                                  <w:tcW w:w="804" w:type="dxa"/>
                                  <w:tcBorders>
                                    <w:bottom w:val="single" w:sz="4" w:space="0" w:color="auto"/>
                                  </w:tcBorders>
                                  <w:noWrap/>
                                  <w:hideMark/>
                                </w:tcPr>
                                <w:p w14:paraId="4BF11251"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8,838</w:t>
                                  </w:r>
                                </w:p>
                              </w:tc>
                            </w:tr>
                          </w:tbl>
                          <w:p w14:paraId="0E26CC05" w14:textId="77777777" w:rsidR="0096266C" w:rsidRDefault="0096266C">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11536" id="_x0000_t202" coordsize="21600,21600" o:spt="202" path="m,l,21600r21600,l21600,xe">
                <v:stroke joinstyle="miter"/>
                <v:path gradientshapeok="t" o:connecttype="rect"/>
              </v:shapetype>
              <v:shape id="Text Box 1" o:spid="_x0000_s1026" type="#_x0000_t202" style="position:absolute;left:0;text-align:left;margin-left:0;margin-top:7.6pt;width:457.5pt;height:22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" fillcolor="white [3201]" stroked="f" strokeweight=".5pt">
                <v:textbox>
                  <w:txbxContent>
                    <w:p w14:paraId="4CBF416C" w14:textId="4C986BBC" w:rsidR="0096266C" w:rsidRDefault="0096266C" w:rsidP="0096266C">
                      <w:pPr>
                        <w:spacing w:after="0" w:line="240" w:lineRule="auto"/>
                        <w:ind w:left="0" w:hanging="2"/>
                        <w:jc w:val="both"/>
                        <w:rPr>
                          <w:rFonts w:ascii="Arial" w:hAnsi="Arial" w:cs="Arial"/>
                          <w:sz w:val="20"/>
                          <w:szCs w:val="20"/>
                        </w:rPr>
                      </w:pPr>
                      <w:r w:rsidRPr="00892158">
                        <w:rPr>
                          <w:rFonts w:ascii="Arial" w:hAnsi="Arial" w:cs="Arial"/>
                          <w:sz w:val="20"/>
                          <w:szCs w:val="20"/>
                        </w:rPr>
                        <w:t>Table 6 paired comparison results</w:t>
                      </w:r>
                    </w:p>
                    <w:p w14:paraId="0E69ED15" w14:textId="77777777" w:rsidR="0096266C" w:rsidRPr="00892158" w:rsidRDefault="0096266C" w:rsidP="0096266C">
                      <w:pPr>
                        <w:spacing w:after="0" w:line="240" w:lineRule="auto"/>
                        <w:ind w:left="0" w:hanging="2"/>
                        <w:jc w:val="both"/>
                        <w:rPr>
                          <w:rFonts w:ascii="Arial" w:hAnsi="Arial" w:cs="Arial"/>
                          <w:sz w:val="20"/>
                          <w:szCs w:val="20"/>
                        </w:rPr>
                      </w:pP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1"/>
                        <w:gridCol w:w="721"/>
                        <w:gridCol w:w="721"/>
                        <w:gridCol w:w="721"/>
                        <w:gridCol w:w="721"/>
                        <w:gridCol w:w="721"/>
                        <w:gridCol w:w="721"/>
                        <w:gridCol w:w="721"/>
                        <w:gridCol w:w="721"/>
                        <w:gridCol w:w="810"/>
                        <w:gridCol w:w="810"/>
                      </w:tblGrid>
                      <w:tr w:rsidR="0096266C" w:rsidRPr="00892158" w14:paraId="661EC389" w14:textId="77777777" w:rsidTr="00C258C2">
                        <w:trPr>
                          <w:trHeight w:val="288"/>
                        </w:trPr>
                        <w:tc>
                          <w:tcPr>
                            <w:tcW w:w="709" w:type="dxa"/>
                            <w:tcBorders>
                              <w:top w:val="single" w:sz="4" w:space="0" w:color="auto"/>
                              <w:bottom w:val="single" w:sz="4" w:space="0" w:color="auto"/>
                            </w:tcBorders>
                            <w:noWrap/>
                            <w:hideMark/>
                          </w:tcPr>
                          <w:p w14:paraId="147A2240"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Criteria</w:t>
                            </w:r>
                          </w:p>
                        </w:tc>
                        <w:tc>
                          <w:tcPr>
                            <w:tcW w:w="715" w:type="dxa"/>
                            <w:tcBorders>
                              <w:top w:val="single" w:sz="4" w:space="0" w:color="auto"/>
                              <w:bottom w:val="single" w:sz="4" w:space="0" w:color="auto"/>
                            </w:tcBorders>
                            <w:noWrap/>
                            <w:hideMark/>
                          </w:tcPr>
                          <w:p w14:paraId="2C80AEEB"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w:t>
                            </w:r>
                          </w:p>
                        </w:tc>
                        <w:tc>
                          <w:tcPr>
                            <w:tcW w:w="715" w:type="dxa"/>
                            <w:tcBorders>
                              <w:top w:val="single" w:sz="4" w:space="0" w:color="auto"/>
                              <w:bottom w:val="single" w:sz="4" w:space="0" w:color="auto"/>
                            </w:tcBorders>
                            <w:noWrap/>
                            <w:hideMark/>
                          </w:tcPr>
                          <w:p w14:paraId="5FC333A7"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CRT_2</w:t>
                            </w:r>
                          </w:p>
                        </w:tc>
                        <w:tc>
                          <w:tcPr>
                            <w:tcW w:w="716" w:type="dxa"/>
                            <w:tcBorders>
                              <w:top w:val="single" w:sz="4" w:space="0" w:color="auto"/>
                              <w:bottom w:val="single" w:sz="4" w:space="0" w:color="auto"/>
                            </w:tcBorders>
                            <w:noWrap/>
                            <w:hideMark/>
                          </w:tcPr>
                          <w:p w14:paraId="5EA1760B"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CRT_3</w:t>
                            </w:r>
                          </w:p>
                        </w:tc>
                        <w:tc>
                          <w:tcPr>
                            <w:tcW w:w="716" w:type="dxa"/>
                            <w:tcBorders>
                              <w:top w:val="single" w:sz="4" w:space="0" w:color="auto"/>
                              <w:bottom w:val="single" w:sz="4" w:space="0" w:color="auto"/>
                            </w:tcBorders>
                            <w:noWrap/>
                            <w:hideMark/>
                          </w:tcPr>
                          <w:p w14:paraId="733A5ECE"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CRT_4</w:t>
                            </w:r>
                          </w:p>
                        </w:tc>
                        <w:tc>
                          <w:tcPr>
                            <w:tcW w:w="716" w:type="dxa"/>
                            <w:tcBorders>
                              <w:top w:val="single" w:sz="4" w:space="0" w:color="auto"/>
                              <w:bottom w:val="single" w:sz="4" w:space="0" w:color="auto"/>
                            </w:tcBorders>
                            <w:noWrap/>
                            <w:hideMark/>
                          </w:tcPr>
                          <w:p w14:paraId="21540ABC"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CRT_5</w:t>
                            </w:r>
                          </w:p>
                        </w:tc>
                        <w:tc>
                          <w:tcPr>
                            <w:tcW w:w="716" w:type="dxa"/>
                            <w:tcBorders>
                              <w:top w:val="single" w:sz="4" w:space="0" w:color="auto"/>
                              <w:bottom w:val="single" w:sz="4" w:space="0" w:color="auto"/>
                            </w:tcBorders>
                            <w:noWrap/>
                            <w:hideMark/>
                          </w:tcPr>
                          <w:p w14:paraId="302C988D"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CRT_6</w:t>
                            </w:r>
                          </w:p>
                        </w:tc>
                        <w:tc>
                          <w:tcPr>
                            <w:tcW w:w="716" w:type="dxa"/>
                            <w:tcBorders>
                              <w:top w:val="single" w:sz="4" w:space="0" w:color="auto"/>
                              <w:bottom w:val="single" w:sz="4" w:space="0" w:color="auto"/>
                            </w:tcBorders>
                            <w:noWrap/>
                            <w:hideMark/>
                          </w:tcPr>
                          <w:p w14:paraId="39E5334A"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CRT_7</w:t>
                            </w:r>
                          </w:p>
                        </w:tc>
                        <w:tc>
                          <w:tcPr>
                            <w:tcW w:w="716" w:type="dxa"/>
                            <w:tcBorders>
                              <w:top w:val="single" w:sz="4" w:space="0" w:color="auto"/>
                              <w:bottom w:val="single" w:sz="4" w:space="0" w:color="auto"/>
                            </w:tcBorders>
                            <w:noWrap/>
                            <w:hideMark/>
                          </w:tcPr>
                          <w:p w14:paraId="28ED5E19"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CRT_8</w:t>
                            </w:r>
                          </w:p>
                        </w:tc>
                        <w:tc>
                          <w:tcPr>
                            <w:tcW w:w="716" w:type="dxa"/>
                            <w:tcBorders>
                              <w:top w:val="single" w:sz="4" w:space="0" w:color="auto"/>
                              <w:bottom w:val="single" w:sz="4" w:space="0" w:color="auto"/>
                            </w:tcBorders>
                            <w:noWrap/>
                            <w:hideMark/>
                          </w:tcPr>
                          <w:p w14:paraId="353FB21C"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CRT_9</w:t>
                            </w:r>
                          </w:p>
                        </w:tc>
                        <w:tc>
                          <w:tcPr>
                            <w:tcW w:w="804" w:type="dxa"/>
                            <w:tcBorders>
                              <w:top w:val="single" w:sz="4" w:space="0" w:color="auto"/>
                              <w:bottom w:val="single" w:sz="4" w:space="0" w:color="auto"/>
                            </w:tcBorders>
                            <w:noWrap/>
                            <w:hideMark/>
                          </w:tcPr>
                          <w:p w14:paraId="67A0AB85"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CRT_10</w:t>
                            </w:r>
                          </w:p>
                        </w:tc>
                        <w:tc>
                          <w:tcPr>
                            <w:tcW w:w="804" w:type="dxa"/>
                            <w:tcBorders>
                              <w:top w:val="single" w:sz="4" w:space="0" w:color="auto"/>
                              <w:bottom w:val="single" w:sz="4" w:space="0" w:color="auto"/>
                            </w:tcBorders>
                            <w:noWrap/>
                            <w:hideMark/>
                          </w:tcPr>
                          <w:p w14:paraId="19E0F4DF" w14:textId="77777777" w:rsidR="0096266C" w:rsidRPr="00892158" w:rsidRDefault="0096266C" w:rsidP="0096266C">
                            <w:pPr>
                              <w:ind w:left="0" w:hanging="2"/>
                              <w:jc w:val="center"/>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CRT_11</w:t>
                            </w:r>
                          </w:p>
                        </w:tc>
                      </w:tr>
                      <w:tr w:rsidR="0096266C" w:rsidRPr="00892158" w14:paraId="184747FC" w14:textId="77777777" w:rsidTr="00C258C2">
                        <w:trPr>
                          <w:trHeight w:val="288"/>
                        </w:trPr>
                        <w:tc>
                          <w:tcPr>
                            <w:tcW w:w="709" w:type="dxa"/>
                            <w:tcBorders>
                              <w:top w:val="single" w:sz="4" w:space="0" w:color="auto"/>
                            </w:tcBorders>
                            <w:noWrap/>
                            <w:hideMark/>
                          </w:tcPr>
                          <w:p w14:paraId="45404545"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w:t>
                            </w:r>
                          </w:p>
                        </w:tc>
                        <w:tc>
                          <w:tcPr>
                            <w:tcW w:w="715" w:type="dxa"/>
                            <w:tcBorders>
                              <w:top w:val="single" w:sz="4" w:space="0" w:color="auto"/>
                            </w:tcBorders>
                            <w:noWrap/>
                            <w:hideMark/>
                          </w:tcPr>
                          <w:p w14:paraId="4DAE547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5" w:type="dxa"/>
                            <w:tcBorders>
                              <w:top w:val="single" w:sz="4" w:space="0" w:color="auto"/>
                            </w:tcBorders>
                            <w:noWrap/>
                            <w:hideMark/>
                          </w:tcPr>
                          <w:p w14:paraId="33EC12E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2,646</w:t>
                            </w:r>
                          </w:p>
                        </w:tc>
                        <w:tc>
                          <w:tcPr>
                            <w:tcW w:w="716" w:type="dxa"/>
                            <w:tcBorders>
                              <w:top w:val="single" w:sz="4" w:space="0" w:color="auto"/>
                            </w:tcBorders>
                            <w:noWrap/>
                            <w:hideMark/>
                          </w:tcPr>
                          <w:p w14:paraId="029D28E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6237776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04ED189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16D6409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c>
                          <w:tcPr>
                            <w:tcW w:w="716" w:type="dxa"/>
                            <w:tcBorders>
                              <w:top w:val="single" w:sz="4" w:space="0" w:color="auto"/>
                            </w:tcBorders>
                            <w:noWrap/>
                            <w:hideMark/>
                          </w:tcPr>
                          <w:p w14:paraId="3478968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1132AEC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716" w:type="dxa"/>
                            <w:tcBorders>
                              <w:top w:val="single" w:sz="4" w:space="0" w:color="auto"/>
                            </w:tcBorders>
                            <w:noWrap/>
                            <w:hideMark/>
                          </w:tcPr>
                          <w:p w14:paraId="6068C37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c>
                          <w:tcPr>
                            <w:tcW w:w="804" w:type="dxa"/>
                            <w:tcBorders>
                              <w:top w:val="single" w:sz="4" w:space="0" w:color="auto"/>
                            </w:tcBorders>
                            <w:noWrap/>
                            <w:hideMark/>
                          </w:tcPr>
                          <w:p w14:paraId="2E1E9F2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804" w:type="dxa"/>
                            <w:tcBorders>
                              <w:top w:val="single" w:sz="4" w:space="0" w:color="auto"/>
                            </w:tcBorders>
                            <w:noWrap/>
                            <w:hideMark/>
                          </w:tcPr>
                          <w:p w14:paraId="67CC00C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1,823</w:t>
                            </w:r>
                          </w:p>
                        </w:tc>
                      </w:tr>
                      <w:tr w:rsidR="0096266C" w:rsidRPr="00892158" w14:paraId="18BCC247" w14:textId="77777777" w:rsidTr="00C258C2">
                        <w:trPr>
                          <w:trHeight w:val="288"/>
                        </w:trPr>
                        <w:tc>
                          <w:tcPr>
                            <w:tcW w:w="709" w:type="dxa"/>
                            <w:noWrap/>
                            <w:hideMark/>
                          </w:tcPr>
                          <w:p w14:paraId="01A15908"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CRT_2</w:t>
                            </w:r>
                          </w:p>
                        </w:tc>
                        <w:tc>
                          <w:tcPr>
                            <w:tcW w:w="715" w:type="dxa"/>
                            <w:noWrap/>
                            <w:hideMark/>
                          </w:tcPr>
                          <w:p w14:paraId="25E12A2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0,378</w:t>
                            </w:r>
                          </w:p>
                        </w:tc>
                        <w:tc>
                          <w:tcPr>
                            <w:tcW w:w="715" w:type="dxa"/>
                            <w:noWrap/>
                            <w:hideMark/>
                          </w:tcPr>
                          <w:p w14:paraId="4A1ACE0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015E6F7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1EE7221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2412A6F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0,520</w:t>
                            </w:r>
                          </w:p>
                        </w:tc>
                        <w:tc>
                          <w:tcPr>
                            <w:tcW w:w="716" w:type="dxa"/>
                            <w:noWrap/>
                            <w:hideMark/>
                          </w:tcPr>
                          <w:p w14:paraId="7A9D21D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c>
                          <w:tcPr>
                            <w:tcW w:w="716" w:type="dxa"/>
                            <w:noWrap/>
                            <w:hideMark/>
                          </w:tcPr>
                          <w:p w14:paraId="792758A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7581F64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c>
                          <w:tcPr>
                            <w:tcW w:w="716" w:type="dxa"/>
                            <w:noWrap/>
                            <w:hideMark/>
                          </w:tcPr>
                          <w:p w14:paraId="15D217B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c>
                          <w:tcPr>
                            <w:tcW w:w="804" w:type="dxa"/>
                            <w:noWrap/>
                            <w:hideMark/>
                          </w:tcPr>
                          <w:p w14:paraId="37E4FFE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c>
                          <w:tcPr>
                            <w:tcW w:w="804" w:type="dxa"/>
                            <w:noWrap/>
                            <w:hideMark/>
                          </w:tcPr>
                          <w:p w14:paraId="6739354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0,546</w:t>
                            </w:r>
                          </w:p>
                        </w:tc>
                      </w:tr>
                      <w:tr w:rsidR="0096266C" w:rsidRPr="00892158" w14:paraId="5DEAF086" w14:textId="77777777" w:rsidTr="00C258C2">
                        <w:trPr>
                          <w:trHeight w:val="288"/>
                        </w:trPr>
                        <w:tc>
                          <w:tcPr>
                            <w:tcW w:w="709" w:type="dxa"/>
                            <w:noWrap/>
                            <w:hideMark/>
                          </w:tcPr>
                          <w:p w14:paraId="1C75D218"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CRT_3</w:t>
                            </w:r>
                          </w:p>
                        </w:tc>
                        <w:tc>
                          <w:tcPr>
                            <w:tcW w:w="715" w:type="dxa"/>
                            <w:noWrap/>
                            <w:hideMark/>
                          </w:tcPr>
                          <w:p w14:paraId="6F09B45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625759D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4C1EAC2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4FC02C1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1A683DD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2C19C9A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745B113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716" w:type="dxa"/>
                            <w:noWrap/>
                            <w:hideMark/>
                          </w:tcPr>
                          <w:p w14:paraId="64B0789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2,159</w:t>
                            </w:r>
                          </w:p>
                        </w:tc>
                        <w:tc>
                          <w:tcPr>
                            <w:tcW w:w="716" w:type="dxa"/>
                            <w:noWrap/>
                            <w:hideMark/>
                          </w:tcPr>
                          <w:p w14:paraId="610F44B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804" w:type="dxa"/>
                            <w:noWrap/>
                            <w:hideMark/>
                          </w:tcPr>
                          <w:p w14:paraId="21CD31F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2,088</w:t>
                            </w:r>
                          </w:p>
                        </w:tc>
                        <w:tc>
                          <w:tcPr>
                            <w:tcW w:w="804" w:type="dxa"/>
                            <w:noWrap/>
                            <w:hideMark/>
                          </w:tcPr>
                          <w:p w14:paraId="5801F39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r>
                      <w:tr w:rsidR="0096266C" w:rsidRPr="00892158" w14:paraId="03C07696" w14:textId="77777777" w:rsidTr="00C258C2">
                        <w:trPr>
                          <w:trHeight w:val="288"/>
                        </w:trPr>
                        <w:tc>
                          <w:tcPr>
                            <w:tcW w:w="709" w:type="dxa"/>
                            <w:noWrap/>
                            <w:hideMark/>
                          </w:tcPr>
                          <w:p w14:paraId="191A2A83"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CRT_4</w:t>
                            </w:r>
                          </w:p>
                        </w:tc>
                        <w:tc>
                          <w:tcPr>
                            <w:tcW w:w="715" w:type="dxa"/>
                            <w:noWrap/>
                            <w:hideMark/>
                          </w:tcPr>
                          <w:p w14:paraId="1BDD914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1E1BE2C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2ED8DCA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5095575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0C43B32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716" w:type="dxa"/>
                            <w:noWrap/>
                            <w:hideMark/>
                          </w:tcPr>
                          <w:p w14:paraId="1C3D2BF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716" w:type="dxa"/>
                            <w:noWrap/>
                            <w:hideMark/>
                          </w:tcPr>
                          <w:p w14:paraId="71CBCD0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0,454</w:t>
                            </w:r>
                          </w:p>
                        </w:tc>
                        <w:tc>
                          <w:tcPr>
                            <w:tcW w:w="716" w:type="dxa"/>
                            <w:noWrap/>
                            <w:hideMark/>
                          </w:tcPr>
                          <w:p w14:paraId="3284CDB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0,477</w:t>
                            </w:r>
                          </w:p>
                        </w:tc>
                        <w:tc>
                          <w:tcPr>
                            <w:tcW w:w="716" w:type="dxa"/>
                            <w:noWrap/>
                            <w:hideMark/>
                          </w:tcPr>
                          <w:p w14:paraId="2BD4FFC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2,019</w:t>
                            </w:r>
                          </w:p>
                        </w:tc>
                        <w:tc>
                          <w:tcPr>
                            <w:tcW w:w="804" w:type="dxa"/>
                            <w:noWrap/>
                            <w:hideMark/>
                          </w:tcPr>
                          <w:p w14:paraId="25648F3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0,402</w:t>
                            </w:r>
                          </w:p>
                        </w:tc>
                        <w:tc>
                          <w:tcPr>
                            <w:tcW w:w="804" w:type="dxa"/>
                            <w:noWrap/>
                            <w:hideMark/>
                          </w:tcPr>
                          <w:p w14:paraId="1DD8083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r>
                      <w:tr w:rsidR="0096266C" w:rsidRPr="00892158" w14:paraId="0369EEB1" w14:textId="77777777" w:rsidTr="00C258C2">
                        <w:trPr>
                          <w:trHeight w:val="288"/>
                        </w:trPr>
                        <w:tc>
                          <w:tcPr>
                            <w:tcW w:w="709" w:type="dxa"/>
                            <w:noWrap/>
                            <w:hideMark/>
                          </w:tcPr>
                          <w:p w14:paraId="0991FFFC"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CRT_5</w:t>
                            </w:r>
                          </w:p>
                        </w:tc>
                        <w:tc>
                          <w:tcPr>
                            <w:tcW w:w="715" w:type="dxa"/>
                            <w:noWrap/>
                            <w:hideMark/>
                          </w:tcPr>
                          <w:p w14:paraId="41160F7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065BDC1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1,924</w:t>
                            </w:r>
                          </w:p>
                        </w:tc>
                        <w:tc>
                          <w:tcPr>
                            <w:tcW w:w="716" w:type="dxa"/>
                            <w:noWrap/>
                            <w:hideMark/>
                          </w:tcPr>
                          <w:p w14:paraId="0D17170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49DA412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5501589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2FAF9AC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1,540</w:t>
                            </w:r>
                          </w:p>
                        </w:tc>
                        <w:tc>
                          <w:tcPr>
                            <w:tcW w:w="716" w:type="dxa"/>
                            <w:noWrap/>
                            <w:hideMark/>
                          </w:tcPr>
                          <w:p w14:paraId="7ED09D0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2,019</w:t>
                            </w:r>
                          </w:p>
                        </w:tc>
                        <w:tc>
                          <w:tcPr>
                            <w:tcW w:w="716" w:type="dxa"/>
                            <w:noWrap/>
                            <w:hideMark/>
                          </w:tcPr>
                          <w:p w14:paraId="2425EBB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1,918</w:t>
                            </w:r>
                          </w:p>
                        </w:tc>
                        <w:tc>
                          <w:tcPr>
                            <w:tcW w:w="716" w:type="dxa"/>
                            <w:noWrap/>
                            <w:hideMark/>
                          </w:tcPr>
                          <w:p w14:paraId="5DD1A0C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2,197</w:t>
                            </w:r>
                          </w:p>
                        </w:tc>
                        <w:tc>
                          <w:tcPr>
                            <w:tcW w:w="804" w:type="dxa"/>
                            <w:noWrap/>
                            <w:hideMark/>
                          </w:tcPr>
                          <w:p w14:paraId="4E11DA7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2,197</w:t>
                            </w:r>
                          </w:p>
                        </w:tc>
                        <w:tc>
                          <w:tcPr>
                            <w:tcW w:w="804" w:type="dxa"/>
                            <w:noWrap/>
                            <w:hideMark/>
                          </w:tcPr>
                          <w:p w14:paraId="1DF60D5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0,379</w:t>
                            </w:r>
                          </w:p>
                        </w:tc>
                      </w:tr>
                      <w:tr w:rsidR="0096266C" w:rsidRPr="00892158" w14:paraId="56BAB1B9" w14:textId="77777777" w:rsidTr="00C258C2">
                        <w:trPr>
                          <w:trHeight w:val="288"/>
                        </w:trPr>
                        <w:tc>
                          <w:tcPr>
                            <w:tcW w:w="709" w:type="dxa"/>
                            <w:noWrap/>
                            <w:hideMark/>
                          </w:tcPr>
                          <w:p w14:paraId="11F69EFF"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CRT_6</w:t>
                            </w:r>
                          </w:p>
                        </w:tc>
                        <w:tc>
                          <w:tcPr>
                            <w:tcW w:w="715" w:type="dxa"/>
                            <w:noWrap/>
                            <w:hideMark/>
                          </w:tcPr>
                          <w:p w14:paraId="3D3E53E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5" w:type="dxa"/>
                            <w:noWrap/>
                            <w:hideMark/>
                          </w:tcPr>
                          <w:p w14:paraId="1B26D39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6" w:type="dxa"/>
                            <w:noWrap/>
                            <w:hideMark/>
                          </w:tcPr>
                          <w:p w14:paraId="3B90F51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43166E8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4E9A493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0,649</w:t>
                            </w:r>
                          </w:p>
                        </w:tc>
                        <w:tc>
                          <w:tcPr>
                            <w:tcW w:w="716" w:type="dxa"/>
                            <w:noWrap/>
                            <w:hideMark/>
                          </w:tcPr>
                          <w:p w14:paraId="0FF6C016"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0833B2F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2,273</w:t>
                            </w:r>
                          </w:p>
                        </w:tc>
                        <w:tc>
                          <w:tcPr>
                            <w:tcW w:w="716" w:type="dxa"/>
                            <w:noWrap/>
                            <w:hideMark/>
                          </w:tcPr>
                          <w:p w14:paraId="426525D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2,197</w:t>
                            </w:r>
                          </w:p>
                        </w:tc>
                        <w:tc>
                          <w:tcPr>
                            <w:tcW w:w="716" w:type="dxa"/>
                            <w:noWrap/>
                            <w:hideMark/>
                          </w:tcPr>
                          <w:p w14:paraId="3D6A665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2,474</w:t>
                            </w:r>
                          </w:p>
                        </w:tc>
                        <w:tc>
                          <w:tcPr>
                            <w:tcW w:w="804" w:type="dxa"/>
                            <w:noWrap/>
                            <w:hideMark/>
                          </w:tcPr>
                          <w:p w14:paraId="35E5671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2,392</w:t>
                            </w:r>
                          </w:p>
                        </w:tc>
                        <w:tc>
                          <w:tcPr>
                            <w:tcW w:w="804" w:type="dxa"/>
                            <w:noWrap/>
                            <w:hideMark/>
                          </w:tcPr>
                          <w:p w14:paraId="3CB0690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2,474</w:t>
                            </w:r>
                          </w:p>
                        </w:tc>
                      </w:tr>
                      <w:tr w:rsidR="0096266C" w:rsidRPr="00892158" w14:paraId="72580D53" w14:textId="77777777" w:rsidTr="00C258C2">
                        <w:trPr>
                          <w:trHeight w:val="288"/>
                        </w:trPr>
                        <w:tc>
                          <w:tcPr>
                            <w:tcW w:w="709" w:type="dxa"/>
                            <w:noWrap/>
                            <w:hideMark/>
                          </w:tcPr>
                          <w:p w14:paraId="5340E12B"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CRT_7</w:t>
                            </w:r>
                          </w:p>
                        </w:tc>
                        <w:tc>
                          <w:tcPr>
                            <w:tcW w:w="715" w:type="dxa"/>
                            <w:noWrap/>
                            <w:hideMark/>
                          </w:tcPr>
                          <w:p w14:paraId="7B0B1C1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744186A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10D7AEE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3D5CAB1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271CFB9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0,495</w:t>
                            </w:r>
                          </w:p>
                        </w:tc>
                        <w:tc>
                          <w:tcPr>
                            <w:tcW w:w="716" w:type="dxa"/>
                            <w:noWrap/>
                            <w:hideMark/>
                          </w:tcPr>
                          <w:p w14:paraId="1DEC55A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0,440</w:t>
                            </w:r>
                          </w:p>
                        </w:tc>
                        <w:tc>
                          <w:tcPr>
                            <w:tcW w:w="716" w:type="dxa"/>
                            <w:noWrap/>
                            <w:hideMark/>
                          </w:tcPr>
                          <w:p w14:paraId="0E9DB47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53201A4F"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716" w:type="dxa"/>
                            <w:noWrap/>
                            <w:hideMark/>
                          </w:tcPr>
                          <w:p w14:paraId="119E189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804" w:type="dxa"/>
                            <w:noWrap/>
                            <w:hideMark/>
                          </w:tcPr>
                          <w:p w14:paraId="79218B0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804" w:type="dxa"/>
                            <w:noWrap/>
                            <w:hideMark/>
                          </w:tcPr>
                          <w:p w14:paraId="16DE89C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r>
                      <w:tr w:rsidR="0096266C" w:rsidRPr="00892158" w14:paraId="1CDA4E57" w14:textId="77777777" w:rsidTr="00C258C2">
                        <w:trPr>
                          <w:trHeight w:val="288"/>
                        </w:trPr>
                        <w:tc>
                          <w:tcPr>
                            <w:tcW w:w="709" w:type="dxa"/>
                            <w:noWrap/>
                            <w:hideMark/>
                          </w:tcPr>
                          <w:p w14:paraId="37042349"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CRT_8</w:t>
                            </w:r>
                          </w:p>
                        </w:tc>
                        <w:tc>
                          <w:tcPr>
                            <w:tcW w:w="715" w:type="dxa"/>
                            <w:noWrap/>
                            <w:hideMark/>
                          </w:tcPr>
                          <w:p w14:paraId="34CA845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584472E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54F995B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6" w:type="dxa"/>
                            <w:noWrap/>
                            <w:hideMark/>
                          </w:tcPr>
                          <w:p w14:paraId="05F22A8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2,096</w:t>
                            </w:r>
                          </w:p>
                        </w:tc>
                        <w:tc>
                          <w:tcPr>
                            <w:tcW w:w="716" w:type="dxa"/>
                            <w:noWrap/>
                            <w:hideMark/>
                          </w:tcPr>
                          <w:p w14:paraId="3655959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0,521</w:t>
                            </w:r>
                          </w:p>
                        </w:tc>
                        <w:tc>
                          <w:tcPr>
                            <w:tcW w:w="716" w:type="dxa"/>
                            <w:noWrap/>
                            <w:hideMark/>
                          </w:tcPr>
                          <w:p w14:paraId="0C57BB7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0,455</w:t>
                            </w:r>
                          </w:p>
                        </w:tc>
                        <w:tc>
                          <w:tcPr>
                            <w:tcW w:w="716" w:type="dxa"/>
                            <w:noWrap/>
                            <w:hideMark/>
                          </w:tcPr>
                          <w:p w14:paraId="1CBE706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50EB32E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716" w:type="dxa"/>
                            <w:noWrap/>
                            <w:hideMark/>
                          </w:tcPr>
                          <w:p w14:paraId="6A0BA73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2,474</w:t>
                            </w:r>
                          </w:p>
                        </w:tc>
                        <w:tc>
                          <w:tcPr>
                            <w:tcW w:w="804" w:type="dxa"/>
                            <w:noWrap/>
                            <w:hideMark/>
                          </w:tcPr>
                          <w:p w14:paraId="5C1A119D"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2,392</w:t>
                            </w:r>
                          </w:p>
                        </w:tc>
                        <w:tc>
                          <w:tcPr>
                            <w:tcW w:w="804" w:type="dxa"/>
                            <w:noWrap/>
                            <w:hideMark/>
                          </w:tcPr>
                          <w:p w14:paraId="6F2295D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r>
                      <w:tr w:rsidR="0096266C" w:rsidRPr="00892158" w14:paraId="07A45013" w14:textId="77777777" w:rsidTr="00C258C2">
                        <w:trPr>
                          <w:trHeight w:val="288"/>
                        </w:trPr>
                        <w:tc>
                          <w:tcPr>
                            <w:tcW w:w="709" w:type="dxa"/>
                            <w:noWrap/>
                            <w:hideMark/>
                          </w:tcPr>
                          <w:p w14:paraId="7DFC2A28"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CRT_9</w:t>
                            </w:r>
                          </w:p>
                        </w:tc>
                        <w:tc>
                          <w:tcPr>
                            <w:tcW w:w="715" w:type="dxa"/>
                            <w:noWrap/>
                            <w:hideMark/>
                          </w:tcPr>
                          <w:p w14:paraId="4DEA367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5" w:type="dxa"/>
                            <w:noWrap/>
                            <w:hideMark/>
                          </w:tcPr>
                          <w:p w14:paraId="2D386FD6"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6927413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2,204</w:t>
                            </w:r>
                          </w:p>
                        </w:tc>
                        <w:tc>
                          <w:tcPr>
                            <w:tcW w:w="716" w:type="dxa"/>
                            <w:noWrap/>
                            <w:hideMark/>
                          </w:tcPr>
                          <w:p w14:paraId="21FD474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0,495</w:t>
                            </w:r>
                          </w:p>
                        </w:tc>
                        <w:tc>
                          <w:tcPr>
                            <w:tcW w:w="716" w:type="dxa"/>
                            <w:noWrap/>
                            <w:hideMark/>
                          </w:tcPr>
                          <w:p w14:paraId="0CA42B0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0,455</w:t>
                            </w:r>
                          </w:p>
                        </w:tc>
                        <w:tc>
                          <w:tcPr>
                            <w:tcW w:w="716" w:type="dxa"/>
                            <w:noWrap/>
                            <w:hideMark/>
                          </w:tcPr>
                          <w:p w14:paraId="1113D39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0,404</w:t>
                            </w:r>
                          </w:p>
                        </w:tc>
                        <w:tc>
                          <w:tcPr>
                            <w:tcW w:w="716" w:type="dxa"/>
                            <w:noWrap/>
                            <w:hideMark/>
                          </w:tcPr>
                          <w:p w14:paraId="40A9CB42"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4CE776A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0,404</w:t>
                            </w:r>
                          </w:p>
                        </w:tc>
                        <w:tc>
                          <w:tcPr>
                            <w:tcW w:w="716" w:type="dxa"/>
                            <w:noWrap/>
                            <w:hideMark/>
                          </w:tcPr>
                          <w:p w14:paraId="66C07A3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804" w:type="dxa"/>
                            <w:noWrap/>
                            <w:hideMark/>
                          </w:tcPr>
                          <w:p w14:paraId="011CEEF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0,494</w:t>
                            </w:r>
                          </w:p>
                        </w:tc>
                        <w:tc>
                          <w:tcPr>
                            <w:tcW w:w="804" w:type="dxa"/>
                            <w:noWrap/>
                            <w:hideMark/>
                          </w:tcPr>
                          <w:p w14:paraId="4E07430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r>
                      <w:tr w:rsidR="0096266C" w:rsidRPr="00892158" w14:paraId="2F3891A8" w14:textId="77777777" w:rsidTr="00C258C2">
                        <w:trPr>
                          <w:trHeight w:val="288"/>
                        </w:trPr>
                        <w:tc>
                          <w:tcPr>
                            <w:tcW w:w="709" w:type="dxa"/>
                            <w:noWrap/>
                            <w:hideMark/>
                          </w:tcPr>
                          <w:p w14:paraId="45A09BA1"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CRT_10</w:t>
                            </w:r>
                          </w:p>
                        </w:tc>
                        <w:tc>
                          <w:tcPr>
                            <w:tcW w:w="715" w:type="dxa"/>
                            <w:noWrap/>
                            <w:hideMark/>
                          </w:tcPr>
                          <w:p w14:paraId="3D7F4834"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0,463</w:t>
                            </w:r>
                          </w:p>
                        </w:tc>
                        <w:tc>
                          <w:tcPr>
                            <w:tcW w:w="715" w:type="dxa"/>
                            <w:noWrap/>
                            <w:hideMark/>
                          </w:tcPr>
                          <w:p w14:paraId="5701CF20"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7B73EF7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0,479</w:t>
                            </w:r>
                          </w:p>
                        </w:tc>
                        <w:tc>
                          <w:tcPr>
                            <w:tcW w:w="716" w:type="dxa"/>
                            <w:noWrap/>
                            <w:hideMark/>
                          </w:tcPr>
                          <w:p w14:paraId="29B69733"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2,489</w:t>
                            </w:r>
                          </w:p>
                        </w:tc>
                        <w:tc>
                          <w:tcPr>
                            <w:tcW w:w="716" w:type="dxa"/>
                            <w:noWrap/>
                            <w:hideMark/>
                          </w:tcPr>
                          <w:p w14:paraId="5CD359D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0,455</w:t>
                            </w:r>
                          </w:p>
                        </w:tc>
                        <w:tc>
                          <w:tcPr>
                            <w:tcW w:w="716" w:type="dxa"/>
                            <w:noWrap/>
                            <w:hideMark/>
                          </w:tcPr>
                          <w:p w14:paraId="33297C0C"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0,418</w:t>
                            </w:r>
                          </w:p>
                        </w:tc>
                        <w:tc>
                          <w:tcPr>
                            <w:tcW w:w="716" w:type="dxa"/>
                            <w:noWrap/>
                            <w:hideMark/>
                          </w:tcPr>
                          <w:p w14:paraId="5988990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68634BA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0,418</w:t>
                            </w:r>
                          </w:p>
                        </w:tc>
                        <w:tc>
                          <w:tcPr>
                            <w:tcW w:w="716" w:type="dxa"/>
                            <w:noWrap/>
                            <w:hideMark/>
                          </w:tcPr>
                          <w:p w14:paraId="445A22A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804" w:type="dxa"/>
                            <w:noWrap/>
                            <w:hideMark/>
                          </w:tcPr>
                          <w:p w14:paraId="50F04A7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c>
                          <w:tcPr>
                            <w:tcW w:w="804" w:type="dxa"/>
                            <w:noWrap/>
                            <w:hideMark/>
                          </w:tcPr>
                          <w:p w14:paraId="2D65A35A"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0,416</w:t>
                            </w:r>
                          </w:p>
                        </w:tc>
                      </w:tr>
                      <w:tr w:rsidR="0096266C" w:rsidRPr="00892158" w14:paraId="3EF910D6" w14:textId="77777777" w:rsidTr="00C258C2">
                        <w:trPr>
                          <w:trHeight w:val="288"/>
                        </w:trPr>
                        <w:tc>
                          <w:tcPr>
                            <w:tcW w:w="709" w:type="dxa"/>
                            <w:noWrap/>
                            <w:hideMark/>
                          </w:tcPr>
                          <w:p w14:paraId="2838AB55"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CRT11</w:t>
                            </w:r>
                          </w:p>
                        </w:tc>
                        <w:tc>
                          <w:tcPr>
                            <w:tcW w:w="715" w:type="dxa"/>
                            <w:noWrap/>
                            <w:hideMark/>
                          </w:tcPr>
                          <w:p w14:paraId="2111926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0,549</w:t>
                            </w:r>
                          </w:p>
                        </w:tc>
                        <w:tc>
                          <w:tcPr>
                            <w:tcW w:w="715" w:type="dxa"/>
                            <w:noWrap/>
                            <w:hideMark/>
                          </w:tcPr>
                          <w:p w14:paraId="3A2B426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1,830</w:t>
                            </w:r>
                          </w:p>
                        </w:tc>
                        <w:tc>
                          <w:tcPr>
                            <w:tcW w:w="716" w:type="dxa"/>
                            <w:noWrap/>
                            <w:hideMark/>
                          </w:tcPr>
                          <w:p w14:paraId="28A03FD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26BDF8B1"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6" w:type="dxa"/>
                            <w:noWrap/>
                            <w:hideMark/>
                          </w:tcPr>
                          <w:p w14:paraId="60FA731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2,642</w:t>
                            </w:r>
                          </w:p>
                        </w:tc>
                        <w:tc>
                          <w:tcPr>
                            <w:tcW w:w="716" w:type="dxa"/>
                            <w:noWrap/>
                            <w:hideMark/>
                          </w:tcPr>
                          <w:p w14:paraId="031F376B"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0,404</w:t>
                            </w:r>
                          </w:p>
                        </w:tc>
                        <w:tc>
                          <w:tcPr>
                            <w:tcW w:w="716" w:type="dxa"/>
                            <w:noWrap/>
                            <w:hideMark/>
                          </w:tcPr>
                          <w:p w14:paraId="5F9DBE77"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2,023</w:t>
                            </w:r>
                          </w:p>
                        </w:tc>
                        <w:tc>
                          <w:tcPr>
                            <w:tcW w:w="716" w:type="dxa"/>
                            <w:noWrap/>
                            <w:hideMark/>
                          </w:tcPr>
                          <w:p w14:paraId="41A0B6B8"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716" w:type="dxa"/>
                            <w:noWrap/>
                            <w:hideMark/>
                          </w:tcPr>
                          <w:p w14:paraId="4D8E995E"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804" w:type="dxa"/>
                            <w:noWrap/>
                            <w:hideMark/>
                          </w:tcPr>
                          <w:p w14:paraId="729E93E5"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2,401</w:t>
                            </w:r>
                          </w:p>
                        </w:tc>
                        <w:tc>
                          <w:tcPr>
                            <w:tcW w:w="804" w:type="dxa"/>
                            <w:noWrap/>
                            <w:hideMark/>
                          </w:tcPr>
                          <w:p w14:paraId="489CB5D9" w14:textId="77777777" w:rsidR="0096266C" w:rsidRPr="00892158" w:rsidRDefault="0096266C" w:rsidP="0096266C">
                            <w:pPr>
                              <w:ind w:left="0" w:hanging="2"/>
                              <w:jc w:val="right"/>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1,000</w:t>
                            </w:r>
                          </w:p>
                        </w:tc>
                      </w:tr>
                      <w:tr w:rsidR="0096266C" w:rsidRPr="00892158" w14:paraId="7A588B02" w14:textId="77777777" w:rsidTr="00C258C2">
                        <w:trPr>
                          <w:trHeight w:val="288"/>
                        </w:trPr>
                        <w:tc>
                          <w:tcPr>
                            <w:tcW w:w="709" w:type="dxa"/>
                            <w:tcBorders>
                              <w:bottom w:val="single" w:sz="4" w:space="0" w:color="auto"/>
                            </w:tcBorders>
                            <w:noWrap/>
                            <w:hideMark/>
                          </w:tcPr>
                          <w:p w14:paraId="7407B4C3" w14:textId="77777777" w:rsidR="0096266C" w:rsidRPr="00892158" w:rsidRDefault="0096266C" w:rsidP="0096266C">
                            <w:pPr>
                              <w:ind w:left="0" w:hanging="2"/>
                              <w:rPr>
                                <w:rFonts w:ascii="Arial" w:eastAsia="Times New Roman" w:hAnsi="Arial" w:cs="Arial"/>
                                <w:color w:val="000000"/>
                                <w:sz w:val="16"/>
                                <w:szCs w:val="16"/>
                                <w:lang w:eastAsia="en-ID"/>
                              </w:rPr>
                            </w:pPr>
                            <w:r w:rsidRPr="00892158">
                              <w:rPr>
                                <w:rFonts w:ascii="Arial" w:eastAsia="Times New Roman" w:hAnsi="Arial" w:cs="Arial"/>
                                <w:color w:val="000000"/>
                                <w:sz w:val="16"/>
                                <w:szCs w:val="16"/>
                                <w:lang w:eastAsia="en-ID"/>
                              </w:rPr>
                              <w:t>Total</w:t>
                            </w:r>
                          </w:p>
                        </w:tc>
                        <w:tc>
                          <w:tcPr>
                            <w:tcW w:w="715" w:type="dxa"/>
                            <w:tcBorders>
                              <w:bottom w:val="single" w:sz="4" w:space="0" w:color="auto"/>
                            </w:tcBorders>
                            <w:noWrap/>
                            <w:hideMark/>
                          </w:tcPr>
                          <w:p w14:paraId="66AE8091"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19,440</w:t>
                            </w:r>
                          </w:p>
                        </w:tc>
                        <w:tc>
                          <w:tcPr>
                            <w:tcW w:w="715" w:type="dxa"/>
                            <w:tcBorders>
                              <w:bottom w:val="single" w:sz="4" w:space="0" w:color="auto"/>
                            </w:tcBorders>
                            <w:noWrap/>
                            <w:hideMark/>
                          </w:tcPr>
                          <w:p w14:paraId="4F8731E3"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22,998</w:t>
                            </w:r>
                          </w:p>
                        </w:tc>
                        <w:tc>
                          <w:tcPr>
                            <w:tcW w:w="716" w:type="dxa"/>
                            <w:tcBorders>
                              <w:bottom w:val="single" w:sz="4" w:space="0" w:color="auto"/>
                            </w:tcBorders>
                            <w:noWrap/>
                            <w:hideMark/>
                          </w:tcPr>
                          <w:p w14:paraId="1091AAEF"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10,581</w:t>
                            </w:r>
                          </w:p>
                        </w:tc>
                        <w:tc>
                          <w:tcPr>
                            <w:tcW w:w="716" w:type="dxa"/>
                            <w:tcBorders>
                              <w:bottom w:val="single" w:sz="4" w:space="0" w:color="auto"/>
                            </w:tcBorders>
                            <w:noWrap/>
                            <w:hideMark/>
                          </w:tcPr>
                          <w:p w14:paraId="3F5741A8"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18,597</w:t>
                            </w:r>
                          </w:p>
                        </w:tc>
                        <w:tc>
                          <w:tcPr>
                            <w:tcW w:w="716" w:type="dxa"/>
                            <w:tcBorders>
                              <w:bottom w:val="single" w:sz="4" w:space="0" w:color="auto"/>
                            </w:tcBorders>
                            <w:noWrap/>
                            <w:hideMark/>
                          </w:tcPr>
                          <w:p w14:paraId="117E91AA"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9,715</w:t>
                            </w:r>
                          </w:p>
                        </w:tc>
                        <w:tc>
                          <w:tcPr>
                            <w:tcW w:w="716" w:type="dxa"/>
                            <w:tcBorders>
                              <w:bottom w:val="single" w:sz="4" w:space="0" w:color="auto"/>
                            </w:tcBorders>
                            <w:noWrap/>
                            <w:hideMark/>
                          </w:tcPr>
                          <w:p w14:paraId="3FA6F31C"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8,032</w:t>
                            </w:r>
                          </w:p>
                        </w:tc>
                        <w:tc>
                          <w:tcPr>
                            <w:tcW w:w="716" w:type="dxa"/>
                            <w:tcBorders>
                              <w:bottom w:val="single" w:sz="4" w:space="0" w:color="auto"/>
                            </w:tcBorders>
                            <w:noWrap/>
                            <w:hideMark/>
                          </w:tcPr>
                          <w:p w14:paraId="02C95689"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15,109</w:t>
                            </w:r>
                          </w:p>
                        </w:tc>
                        <w:tc>
                          <w:tcPr>
                            <w:tcW w:w="716" w:type="dxa"/>
                            <w:tcBorders>
                              <w:bottom w:val="single" w:sz="4" w:space="0" w:color="auto"/>
                            </w:tcBorders>
                            <w:noWrap/>
                            <w:hideMark/>
                          </w:tcPr>
                          <w:p w14:paraId="010985B0"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12,433</w:t>
                            </w:r>
                          </w:p>
                        </w:tc>
                        <w:tc>
                          <w:tcPr>
                            <w:tcW w:w="716" w:type="dxa"/>
                            <w:tcBorders>
                              <w:bottom w:val="single" w:sz="4" w:space="0" w:color="auto"/>
                            </w:tcBorders>
                            <w:noWrap/>
                            <w:hideMark/>
                          </w:tcPr>
                          <w:p w14:paraId="655A6217"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16,499</w:t>
                            </w:r>
                          </w:p>
                        </w:tc>
                        <w:tc>
                          <w:tcPr>
                            <w:tcW w:w="804" w:type="dxa"/>
                            <w:tcBorders>
                              <w:bottom w:val="single" w:sz="4" w:space="0" w:color="auto"/>
                            </w:tcBorders>
                            <w:noWrap/>
                            <w:hideMark/>
                          </w:tcPr>
                          <w:p w14:paraId="5772032F"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16,567</w:t>
                            </w:r>
                          </w:p>
                        </w:tc>
                        <w:tc>
                          <w:tcPr>
                            <w:tcW w:w="804" w:type="dxa"/>
                            <w:tcBorders>
                              <w:bottom w:val="single" w:sz="4" w:space="0" w:color="auto"/>
                            </w:tcBorders>
                            <w:noWrap/>
                            <w:hideMark/>
                          </w:tcPr>
                          <w:p w14:paraId="4BF11251" w14:textId="77777777" w:rsidR="0096266C" w:rsidRPr="00892158" w:rsidRDefault="0096266C" w:rsidP="0096266C">
                            <w:pPr>
                              <w:ind w:left="0" w:hanging="2"/>
                              <w:jc w:val="right"/>
                              <w:rPr>
                                <w:rFonts w:ascii="Arial" w:eastAsia="Times New Roman" w:hAnsi="Arial" w:cs="Arial"/>
                                <w:b/>
                                <w:bCs/>
                                <w:color w:val="000000"/>
                                <w:sz w:val="16"/>
                                <w:szCs w:val="16"/>
                                <w:lang w:eastAsia="en-ID"/>
                              </w:rPr>
                            </w:pPr>
                            <w:r w:rsidRPr="00892158">
                              <w:rPr>
                                <w:rFonts w:ascii="Arial" w:eastAsia="Times New Roman" w:hAnsi="Arial" w:cs="Arial"/>
                                <w:b/>
                                <w:bCs/>
                                <w:color w:val="000000"/>
                                <w:sz w:val="16"/>
                                <w:szCs w:val="16"/>
                                <w:lang w:eastAsia="en-ID"/>
                              </w:rPr>
                              <w:t>8,838</w:t>
                            </w:r>
                          </w:p>
                        </w:tc>
                      </w:tr>
                    </w:tbl>
                    <w:p w14:paraId="0E26CC05" w14:textId="77777777" w:rsidR="0096266C" w:rsidRDefault="0096266C">
                      <w:pPr>
                        <w:ind w:left="0" w:hanging="2"/>
                      </w:pPr>
                    </w:p>
                  </w:txbxContent>
                </v:textbox>
                <w10:wrap anchorx="margin"/>
              </v:shape>
            </w:pict>
          </mc:Fallback>
        </mc:AlternateContent>
      </w:r>
    </w:p>
    <w:p w14:paraId="57332864" w14:textId="5A3EF6B1" w:rsidR="00164614" w:rsidRDefault="00164614" w:rsidP="00953AE5">
      <w:pPr>
        <w:spacing w:after="0" w:line="240" w:lineRule="auto"/>
        <w:ind w:left="0" w:hanging="2"/>
        <w:jc w:val="both"/>
        <w:rPr>
          <w:rFonts w:ascii="Arial" w:hAnsi="Arial" w:cs="Arial"/>
          <w:sz w:val="20"/>
          <w:szCs w:val="20"/>
        </w:rPr>
      </w:pPr>
    </w:p>
    <w:p w14:paraId="2DC839B4" w14:textId="32824852" w:rsidR="00164614" w:rsidRDefault="00164614" w:rsidP="00953AE5">
      <w:pPr>
        <w:spacing w:after="0" w:line="240" w:lineRule="auto"/>
        <w:ind w:left="0" w:hanging="2"/>
        <w:jc w:val="both"/>
        <w:rPr>
          <w:rFonts w:ascii="Arial" w:hAnsi="Arial" w:cs="Arial"/>
          <w:sz w:val="20"/>
          <w:szCs w:val="20"/>
        </w:rPr>
      </w:pPr>
    </w:p>
    <w:p w14:paraId="2A09F50F" w14:textId="6E9BA9BB" w:rsidR="00164614" w:rsidRDefault="00164614" w:rsidP="00953AE5">
      <w:pPr>
        <w:spacing w:after="0" w:line="240" w:lineRule="auto"/>
        <w:ind w:left="0" w:hanging="2"/>
        <w:jc w:val="both"/>
        <w:rPr>
          <w:rFonts w:ascii="Arial" w:hAnsi="Arial" w:cs="Arial"/>
          <w:sz w:val="20"/>
          <w:szCs w:val="20"/>
        </w:rPr>
      </w:pPr>
    </w:p>
    <w:p w14:paraId="5321E462" w14:textId="77777777" w:rsidR="00164614" w:rsidRDefault="00164614" w:rsidP="00953AE5">
      <w:pPr>
        <w:spacing w:after="0" w:line="240" w:lineRule="auto"/>
        <w:ind w:left="0" w:hanging="2"/>
        <w:jc w:val="both"/>
        <w:rPr>
          <w:rFonts w:ascii="Arial" w:hAnsi="Arial" w:cs="Arial"/>
          <w:sz w:val="20"/>
          <w:szCs w:val="20"/>
        </w:rPr>
      </w:pPr>
    </w:p>
    <w:p w14:paraId="5E92BDC0" w14:textId="4C19BCB7" w:rsidR="0096266C" w:rsidRDefault="0096266C" w:rsidP="00953AE5">
      <w:pPr>
        <w:spacing w:after="0" w:line="240" w:lineRule="auto"/>
        <w:ind w:left="0" w:hanging="2"/>
        <w:jc w:val="both"/>
        <w:rPr>
          <w:rFonts w:ascii="Arial" w:hAnsi="Arial" w:cs="Arial"/>
          <w:sz w:val="20"/>
          <w:szCs w:val="20"/>
        </w:rPr>
      </w:pPr>
    </w:p>
    <w:p w14:paraId="4111753A" w14:textId="1D1F265E" w:rsidR="0096266C" w:rsidRDefault="0096266C" w:rsidP="00953AE5">
      <w:pPr>
        <w:spacing w:after="0" w:line="240" w:lineRule="auto"/>
        <w:ind w:left="0" w:hanging="2"/>
        <w:jc w:val="both"/>
        <w:rPr>
          <w:rFonts w:ascii="Arial" w:hAnsi="Arial" w:cs="Arial"/>
          <w:sz w:val="20"/>
          <w:szCs w:val="20"/>
        </w:rPr>
      </w:pPr>
    </w:p>
    <w:p w14:paraId="673076DC" w14:textId="77777777" w:rsidR="0096266C" w:rsidRDefault="0096266C" w:rsidP="00953AE5">
      <w:pPr>
        <w:spacing w:after="0" w:line="240" w:lineRule="auto"/>
        <w:ind w:left="0" w:hanging="2"/>
        <w:jc w:val="both"/>
        <w:rPr>
          <w:rFonts w:ascii="Arial" w:hAnsi="Arial" w:cs="Arial"/>
          <w:sz w:val="20"/>
          <w:szCs w:val="20"/>
        </w:rPr>
      </w:pPr>
    </w:p>
    <w:p w14:paraId="22FEC3F7" w14:textId="4F130F80" w:rsidR="0096266C" w:rsidRDefault="0096266C" w:rsidP="00953AE5">
      <w:pPr>
        <w:spacing w:after="0" w:line="240" w:lineRule="auto"/>
        <w:ind w:left="0" w:hanging="2"/>
        <w:jc w:val="both"/>
        <w:rPr>
          <w:rFonts w:ascii="Arial" w:hAnsi="Arial" w:cs="Arial"/>
          <w:sz w:val="20"/>
          <w:szCs w:val="20"/>
        </w:rPr>
      </w:pPr>
    </w:p>
    <w:p w14:paraId="6B5D6CA3" w14:textId="77777777" w:rsidR="0096266C" w:rsidRDefault="0096266C" w:rsidP="00953AE5">
      <w:pPr>
        <w:spacing w:after="0" w:line="240" w:lineRule="auto"/>
        <w:ind w:left="0" w:hanging="2"/>
        <w:jc w:val="both"/>
        <w:rPr>
          <w:rFonts w:ascii="Arial" w:hAnsi="Arial" w:cs="Arial"/>
          <w:sz w:val="20"/>
          <w:szCs w:val="20"/>
        </w:rPr>
      </w:pPr>
    </w:p>
    <w:p w14:paraId="5DBA2DE6" w14:textId="77777777" w:rsidR="0096266C" w:rsidRDefault="0096266C" w:rsidP="00953AE5">
      <w:pPr>
        <w:spacing w:after="0" w:line="240" w:lineRule="auto"/>
        <w:ind w:left="0" w:hanging="2"/>
        <w:jc w:val="both"/>
        <w:rPr>
          <w:rFonts w:ascii="Arial" w:hAnsi="Arial" w:cs="Arial"/>
          <w:sz w:val="20"/>
          <w:szCs w:val="20"/>
        </w:rPr>
      </w:pPr>
    </w:p>
    <w:p w14:paraId="1E3A3C0E" w14:textId="632F31A9" w:rsidR="0096266C" w:rsidRDefault="0096266C" w:rsidP="00953AE5">
      <w:pPr>
        <w:spacing w:after="0" w:line="240" w:lineRule="auto"/>
        <w:ind w:left="0" w:hanging="2"/>
        <w:jc w:val="both"/>
        <w:rPr>
          <w:rFonts w:ascii="Arial" w:hAnsi="Arial" w:cs="Arial"/>
          <w:sz w:val="20"/>
          <w:szCs w:val="20"/>
        </w:rPr>
      </w:pPr>
    </w:p>
    <w:p w14:paraId="23EBAEA7" w14:textId="77777777" w:rsidR="0096266C" w:rsidRDefault="0096266C" w:rsidP="00953AE5">
      <w:pPr>
        <w:spacing w:after="0" w:line="240" w:lineRule="auto"/>
        <w:ind w:left="0" w:hanging="2"/>
        <w:jc w:val="both"/>
        <w:rPr>
          <w:rFonts w:ascii="Arial" w:hAnsi="Arial" w:cs="Arial"/>
          <w:sz w:val="20"/>
          <w:szCs w:val="20"/>
        </w:rPr>
      </w:pPr>
    </w:p>
    <w:p w14:paraId="1AC160A1" w14:textId="77777777" w:rsidR="0096266C" w:rsidRDefault="0096266C" w:rsidP="00953AE5">
      <w:pPr>
        <w:spacing w:after="0" w:line="240" w:lineRule="auto"/>
        <w:ind w:left="0" w:hanging="2"/>
        <w:jc w:val="both"/>
        <w:rPr>
          <w:rFonts w:ascii="Arial" w:hAnsi="Arial" w:cs="Arial"/>
          <w:sz w:val="20"/>
          <w:szCs w:val="20"/>
        </w:rPr>
      </w:pPr>
    </w:p>
    <w:p w14:paraId="54CC9A13" w14:textId="401B446C" w:rsidR="0096266C" w:rsidRDefault="0096266C" w:rsidP="00953AE5">
      <w:pPr>
        <w:spacing w:after="0" w:line="240" w:lineRule="auto"/>
        <w:ind w:left="0" w:hanging="2"/>
        <w:jc w:val="both"/>
        <w:rPr>
          <w:rFonts w:ascii="Arial" w:hAnsi="Arial" w:cs="Arial"/>
          <w:sz w:val="20"/>
          <w:szCs w:val="20"/>
        </w:rPr>
      </w:pPr>
    </w:p>
    <w:p w14:paraId="4CF05B13" w14:textId="1A8351DC" w:rsidR="0096266C" w:rsidRDefault="0096266C" w:rsidP="00953AE5">
      <w:pPr>
        <w:spacing w:after="0" w:line="240" w:lineRule="auto"/>
        <w:ind w:left="0" w:hanging="2"/>
        <w:jc w:val="both"/>
        <w:rPr>
          <w:rFonts w:ascii="Arial" w:hAnsi="Arial" w:cs="Arial"/>
          <w:sz w:val="20"/>
          <w:szCs w:val="20"/>
        </w:rPr>
      </w:pPr>
    </w:p>
    <w:p w14:paraId="0512A8FE" w14:textId="083CDEAB" w:rsidR="0096266C" w:rsidRDefault="0096266C" w:rsidP="00953AE5">
      <w:pPr>
        <w:spacing w:after="0" w:line="240" w:lineRule="auto"/>
        <w:ind w:left="0" w:hanging="2"/>
        <w:jc w:val="both"/>
        <w:rPr>
          <w:rFonts w:ascii="Arial" w:hAnsi="Arial" w:cs="Arial"/>
          <w:sz w:val="20"/>
          <w:szCs w:val="20"/>
        </w:rPr>
      </w:pPr>
    </w:p>
    <w:p w14:paraId="1F965249" w14:textId="77777777" w:rsidR="0096266C" w:rsidRDefault="0096266C" w:rsidP="00953AE5">
      <w:pPr>
        <w:spacing w:after="0" w:line="240" w:lineRule="auto"/>
        <w:ind w:left="0" w:hanging="2"/>
        <w:jc w:val="both"/>
        <w:rPr>
          <w:rFonts w:ascii="Arial" w:hAnsi="Arial" w:cs="Arial"/>
          <w:sz w:val="20"/>
          <w:szCs w:val="20"/>
        </w:rPr>
      </w:pPr>
    </w:p>
    <w:p w14:paraId="6DB63CD6" w14:textId="77777777" w:rsidR="0096266C" w:rsidRDefault="0096266C" w:rsidP="00953AE5">
      <w:pPr>
        <w:spacing w:after="0" w:line="240" w:lineRule="auto"/>
        <w:ind w:left="0" w:hanging="2"/>
        <w:jc w:val="both"/>
        <w:rPr>
          <w:rFonts w:ascii="Arial" w:hAnsi="Arial" w:cs="Arial"/>
          <w:sz w:val="20"/>
          <w:szCs w:val="20"/>
        </w:rPr>
      </w:pPr>
    </w:p>
    <w:p w14:paraId="1BB6F2D7" w14:textId="1EE053F8" w:rsidR="0096266C" w:rsidRDefault="00AB52E8" w:rsidP="00953AE5">
      <w:pPr>
        <w:spacing w:after="0" w:line="240" w:lineRule="auto"/>
        <w:ind w:left="0" w:hanging="2"/>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01AA69BB" wp14:editId="466E312B">
                <wp:simplePos x="0" y="0"/>
                <wp:positionH relativeFrom="margin">
                  <wp:posOffset>-63500</wp:posOffset>
                </wp:positionH>
                <wp:positionV relativeFrom="paragraph">
                  <wp:posOffset>169545</wp:posOffset>
                </wp:positionV>
                <wp:extent cx="6365875" cy="354584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65875" cy="3545840"/>
                        </a:xfrm>
                        <a:prstGeom prst="rect">
                          <a:avLst/>
                        </a:prstGeom>
                        <a:solidFill>
                          <a:schemeClr val="lt1"/>
                        </a:solidFill>
                        <a:ln w="6350">
                          <a:noFill/>
                        </a:ln>
                      </wps:spPr>
                      <wps:txbx>
                        <w:txbxContent>
                          <w:p w14:paraId="644729C3" w14:textId="77777777" w:rsidR="00164614" w:rsidRPr="008E12F7" w:rsidRDefault="00164614" w:rsidP="00164614">
                            <w:pPr>
                              <w:ind w:left="0" w:hanging="2"/>
                              <w:jc w:val="both"/>
                              <w:rPr>
                                <w:rFonts w:ascii="Arial" w:hAnsi="Arial" w:cs="Arial"/>
                                <w:sz w:val="20"/>
                                <w:szCs w:val="20"/>
                              </w:rPr>
                            </w:pPr>
                            <w:r w:rsidRPr="008E12F7">
                              <w:rPr>
                                <w:rFonts w:ascii="Arial" w:hAnsi="Arial" w:cs="Arial"/>
                                <w:sz w:val="20"/>
                                <w:szCs w:val="20"/>
                              </w:rPr>
                              <w:t>Table 7 Normalization assessment of pairwise comparisons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658"/>
                              <w:gridCol w:w="658"/>
                              <w:gridCol w:w="658"/>
                              <w:gridCol w:w="658"/>
                              <w:gridCol w:w="658"/>
                              <w:gridCol w:w="658"/>
                              <w:gridCol w:w="658"/>
                              <w:gridCol w:w="658"/>
                              <w:gridCol w:w="658"/>
                              <w:gridCol w:w="736"/>
                              <w:gridCol w:w="736"/>
                              <w:gridCol w:w="681"/>
                              <w:gridCol w:w="565"/>
                            </w:tblGrid>
                            <w:tr w:rsidR="00164614" w:rsidRPr="0096266C" w14:paraId="75076B66" w14:textId="77777777" w:rsidTr="008E12F7">
                              <w:trPr>
                                <w:trHeight w:val="404"/>
                              </w:trPr>
                              <w:tc>
                                <w:tcPr>
                                  <w:tcW w:w="736" w:type="dxa"/>
                                  <w:tcBorders>
                                    <w:top w:val="single" w:sz="4" w:space="0" w:color="auto"/>
                                    <w:bottom w:val="single" w:sz="4" w:space="0" w:color="auto"/>
                                  </w:tcBorders>
                                  <w:noWrap/>
                                  <w:hideMark/>
                                </w:tcPr>
                                <w:p w14:paraId="191A1521"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Criteria</w:t>
                                  </w:r>
                                </w:p>
                              </w:tc>
                              <w:tc>
                                <w:tcPr>
                                  <w:tcW w:w="658" w:type="dxa"/>
                                  <w:tcBorders>
                                    <w:top w:val="single" w:sz="4" w:space="0" w:color="auto"/>
                                    <w:bottom w:val="single" w:sz="4" w:space="0" w:color="auto"/>
                                  </w:tcBorders>
                                  <w:noWrap/>
                                  <w:hideMark/>
                                </w:tcPr>
                                <w:p w14:paraId="18A94D0F"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CRT_1</w:t>
                                  </w:r>
                                </w:p>
                              </w:tc>
                              <w:tc>
                                <w:tcPr>
                                  <w:tcW w:w="658" w:type="dxa"/>
                                  <w:tcBorders>
                                    <w:top w:val="single" w:sz="4" w:space="0" w:color="auto"/>
                                    <w:bottom w:val="single" w:sz="4" w:space="0" w:color="auto"/>
                                  </w:tcBorders>
                                  <w:noWrap/>
                                  <w:hideMark/>
                                </w:tcPr>
                                <w:p w14:paraId="31FE0986"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CRT_2</w:t>
                                  </w:r>
                                </w:p>
                              </w:tc>
                              <w:tc>
                                <w:tcPr>
                                  <w:tcW w:w="658" w:type="dxa"/>
                                  <w:tcBorders>
                                    <w:top w:val="single" w:sz="4" w:space="0" w:color="auto"/>
                                    <w:bottom w:val="single" w:sz="4" w:space="0" w:color="auto"/>
                                  </w:tcBorders>
                                  <w:noWrap/>
                                  <w:hideMark/>
                                </w:tcPr>
                                <w:p w14:paraId="79C021AF"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CRT_3</w:t>
                                  </w:r>
                                </w:p>
                              </w:tc>
                              <w:tc>
                                <w:tcPr>
                                  <w:tcW w:w="658" w:type="dxa"/>
                                  <w:tcBorders>
                                    <w:top w:val="single" w:sz="4" w:space="0" w:color="auto"/>
                                    <w:bottom w:val="single" w:sz="4" w:space="0" w:color="auto"/>
                                  </w:tcBorders>
                                  <w:noWrap/>
                                  <w:hideMark/>
                                </w:tcPr>
                                <w:p w14:paraId="5AD925C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CRT_4</w:t>
                                  </w:r>
                                </w:p>
                              </w:tc>
                              <w:tc>
                                <w:tcPr>
                                  <w:tcW w:w="658" w:type="dxa"/>
                                  <w:tcBorders>
                                    <w:top w:val="single" w:sz="4" w:space="0" w:color="auto"/>
                                    <w:bottom w:val="single" w:sz="4" w:space="0" w:color="auto"/>
                                  </w:tcBorders>
                                  <w:noWrap/>
                                  <w:hideMark/>
                                </w:tcPr>
                                <w:p w14:paraId="578ABF52"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CRT_5</w:t>
                                  </w:r>
                                </w:p>
                              </w:tc>
                              <w:tc>
                                <w:tcPr>
                                  <w:tcW w:w="658" w:type="dxa"/>
                                  <w:tcBorders>
                                    <w:top w:val="single" w:sz="4" w:space="0" w:color="auto"/>
                                    <w:bottom w:val="single" w:sz="4" w:space="0" w:color="auto"/>
                                  </w:tcBorders>
                                  <w:noWrap/>
                                  <w:hideMark/>
                                </w:tcPr>
                                <w:p w14:paraId="00DA94F2"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CRT_6</w:t>
                                  </w:r>
                                </w:p>
                              </w:tc>
                              <w:tc>
                                <w:tcPr>
                                  <w:tcW w:w="658" w:type="dxa"/>
                                  <w:tcBorders>
                                    <w:top w:val="single" w:sz="4" w:space="0" w:color="auto"/>
                                    <w:bottom w:val="single" w:sz="4" w:space="0" w:color="auto"/>
                                  </w:tcBorders>
                                  <w:noWrap/>
                                  <w:hideMark/>
                                </w:tcPr>
                                <w:p w14:paraId="5C90A775"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CRT_7</w:t>
                                  </w:r>
                                </w:p>
                              </w:tc>
                              <w:tc>
                                <w:tcPr>
                                  <w:tcW w:w="658" w:type="dxa"/>
                                  <w:tcBorders>
                                    <w:top w:val="single" w:sz="4" w:space="0" w:color="auto"/>
                                    <w:bottom w:val="single" w:sz="4" w:space="0" w:color="auto"/>
                                  </w:tcBorders>
                                  <w:noWrap/>
                                  <w:hideMark/>
                                </w:tcPr>
                                <w:p w14:paraId="34751F67"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CRT_8</w:t>
                                  </w:r>
                                </w:p>
                              </w:tc>
                              <w:tc>
                                <w:tcPr>
                                  <w:tcW w:w="658" w:type="dxa"/>
                                  <w:tcBorders>
                                    <w:top w:val="single" w:sz="4" w:space="0" w:color="auto"/>
                                    <w:bottom w:val="single" w:sz="4" w:space="0" w:color="auto"/>
                                  </w:tcBorders>
                                  <w:noWrap/>
                                  <w:hideMark/>
                                </w:tcPr>
                                <w:p w14:paraId="0C4286F1"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CRT_9</w:t>
                                  </w:r>
                                </w:p>
                              </w:tc>
                              <w:tc>
                                <w:tcPr>
                                  <w:tcW w:w="736" w:type="dxa"/>
                                  <w:tcBorders>
                                    <w:top w:val="single" w:sz="4" w:space="0" w:color="auto"/>
                                    <w:bottom w:val="single" w:sz="4" w:space="0" w:color="auto"/>
                                  </w:tcBorders>
                                  <w:noWrap/>
                                  <w:hideMark/>
                                </w:tcPr>
                                <w:p w14:paraId="6F3F7AD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CRT_10</w:t>
                                  </w:r>
                                </w:p>
                              </w:tc>
                              <w:tc>
                                <w:tcPr>
                                  <w:tcW w:w="736" w:type="dxa"/>
                                  <w:tcBorders>
                                    <w:top w:val="single" w:sz="4" w:space="0" w:color="auto"/>
                                    <w:bottom w:val="single" w:sz="4" w:space="0" w:color="auto"/>
                                  </w:tcBorders>
                                  <w:noWrap/>
                                  <w:hideMark/>
                                </w:tcPr>
                                <w:p w14:paraId="7158087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CRT_11</w:t>
                                  </w:r>
                                </w:p>
                              </w:tc>
                              <w:tc>
                                <w:tcPr>
                                  <w:tcW w:w="681" w:type="dxa"/>
                                  <w:tcBorders>
                                    <w:top w:val="single" w:sz="4" w:space="0" w:color="auto"/>
                                    <w:bottom w:val="single" w:sz="4" w:space="0" w:color="auto"/>
                                  </w:tcBorders>
                                  <w:noWrap/>
                                  <w:hideMark/>
                                </w:tcPr>
                                <w:p w14:paraId="59494AA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TOTAL</w:t>
                                  </w:r>
                                </w:p>
                              </w:tc>
                              <w:tc>
                                <w:tcPr>
                                  <w:tcW w:w="545" w:type="dxa"/>
                                  <w:tcBorders>
                                    <w:top w:val="single" w:sz="4" w:space="0" w:color="auto"/>
                                    <w:bottom w:val="single" w:sz="4" w:space="0" w:color="auto"/>
                                  </w:tcBorders>
                                  <w:noWrap/>
                                  <w:hideMark/>
                                </w:tcPr>
                                <w:p w14:paraId="6BC16332" w14:textId="77777777" w:rsidR="00164614" w:rsidRPr="0096266C" w:rsidRDefault="00164614" w:rsidP="0096266C">
                                  <w:pPr>
                                    <w:rPr>
                                      <w:rFonts w:ascii="Arial" w:eastAsia="Times New Roman" w:hAnsi="Arial" w:cs="Arial"/>
                                      <w:color w:val="000000"/>
                                      <w:sz w:val="14"/>
                                      <w:szCs w:val="14"/>
                                      <w:lang w:eastAsia="en-ID"/>
                                    </w:rPr>
                                  </w:pPr>
                                </w:p>
                              </w:tc>
                            </w:tr>
                            <w:tr w:rsidR="00164614" w:rsidRPr="0096266C" w14:paraId="6CCB8921" w14:textId="77777777" w:rsidTr="008E12F7">
                              <w:trPr>
                                <w:trHeight w:val="404"/>
                              </w:trPr>
                              <w:tc>
                                <w:tcPr>
                                  <w:tcW w:w="736" w:type="dxa"/>
                                  <w:tcBorders>
                                    <w:top w:val="single" w:sz="4" w:space="0" w:color="auto"/>
                                  </w:tcBorders>
                                  <w:noWrap/>
                                  <w:hideMark/>
                                </w:tcPr>
                                <w:p w14:paraId="38B01A2C"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CRT_1</w:t>
                                  </w:r>
                                </w:p>
                              </w:tc>
                              <w:tc>
                                <w:tcPr>
                                  <w:tcW w:w="658" w:type="dxa"/>
                                  <w:tcBorders>
                                    <w:top w:val="single" w:sz="4" w:space="0" w:color="auto"/>
                                  </w:tcBorders>
                                  <w:noWrap/>
                                  <w:hideMark/>
                                </w:tcPr>
                                <w:p w14:paraId="56E8D60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0,051</w:t>
                                  </w:r>
                                </w:p>
                              </w:tc>
                              <w:tc>
                                <w:tcPr>
                                  <w:tcW w:w="658" w:type="dxa"/>
                                  <w:tcBorders>
                                    <w:top w:val="single" w:sz="4" w:space="0" w:color="auto"/>
                                  </w:tcBorders>
                                  <w:noWrap/>
                                  <w:hideMark/>
                                </w:tcPr>
                                <w:p w14:paraId="3D67FF1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0,115</w:t>
                                  </w:r>
                                </w:p>
                              </w:tc>
                              <w:tc>
                                <w:tcPr>
                                  <w:tcW w:w="658" w:type="dxa"/>
                                  <w:tcBorders>
                                    <w:top w:val="single" w:sz="4" w:space="0" w:color="auto"/>
                                  </w:tcBorders>
                                  <w:noWrap/>
                                  <w:hideMark/>
                                </w:tcPr>
                                <w:p w14:paraId="59B318A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0,039</w:t>
                                  </w:r>
                                </w:p>
                              </w:tc>
                              <w:tc>
                                <w:tcPr>
                                  <w:tcW w:w="658" w:type="dxa"/>
                                  <w:tcBorders>
                                    <w:top w:val="single" w:sz="4" w:space="0" w:color="auto"/>
                                  </w:tcBorders>
                                  <w:noWrap/>
                                  <w:hideMark/>
                                </w:tcPr>
                                <w:p w14:paraId="46C5E16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0,022</w:t>
                                  </w:r>
                                </w:p>
                              </w:tc>
                              <w:tc>
                                <w:tcPr>
                                  <w:tcW w:w="658" w:type="dxa"/>
                                  <w:tcBorders>
                                    <w:top w:val="single" w:sz="4" w:space="0" w:color="auto"/>
                                  </w:tcBorders>
                                  <w:noWrap/>
                                  <w:hideMark/>
                                </w:tcPr>
                                <w:p w14:paraId="3065671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58" w:type="dxa"/>
                                  <w:tcBorders>
                                    <w:top w:val="single" w:sz="4" w:space="0" w:color="auto"/>
                                  </w:tcBorders>
                                  <w:noWrap/>
                                  <w:hideMark/>
                                </w:tcPr>
                                <w:p w14:paraId="3D2FBC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tcBorders>
                                    <w:top w:val="single" w:sz="4" w:space="0" w:color="auto"/>
                                  </w:tcBorders>
                                  <w:noWrap/>
                                  <w:hideMark/>
                                </w:tcPr>
                                <w:p w14:paraId="6B619B6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0,028</w:t>
                                  </w:r>
                                </w:p>
                              </w:tc>
                              <w:tc>
                                <w:tcPr>
                                  <w:tcW w:w="658" w:type="dxa"/>
                                  <w:tcBorders>
                                    <w:top w:val="single" w:sz="4" w:space="0" w:color="auto"/>
                                  </w:tcBorders>
                                  <w:noWrap/>
                                  <w:hideMark/>
                                </w:tcPr>
                                <w:p w14:paraId="1A94B0D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658" w:type="dxa"/>
                                  <w:tcBorders>
                                    <w:top w:val="single" w:sz="4" w:space="0" w:color="auto"/>
                                  </w:tcBorders>
                                  <w:noWrap/>
                                  <w:hideMark/>
                                </w:tcPr>
                                <w:p w14:paraId="5551E95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0,025</w:t>
                                  </w:r>
                                </w:p>
                              </w:tc>
                              <w:tc>
                                <w:tcPr>
                                  <w:tcW w:w="736" w:type="dxa"/>
                                  <w:tcBorders>
                                    <w:top w:val="single" w:sz="4" w:space="0" w:color="auto"/>
                                  </w:tcBorders>
                                  <w:noWrap/>
                                  <w:hideMark/>
                                </w:tcPr>
                                <w:p w14:paraId="4270E33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0,130</w:t>
                                  </w:r>
                                </w:p>
                              </w:tc>
                              <w:tc>
                                <w:tcPr>
                                  <w:tcW w:w="736" w:type="dxa"/>
                                  <w:tcBorders>
                                    <w:top w:val="single" w:sz="4" w:space="0" w:color="auto"/>
                                  </w:tcBorders>
                                  <w:noWrap/>
                                  <w:hideMark/>
                                </w:tcPr>
                                <w:p w14:paraId="7FCA0C3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0,206</w:t>
                                  </w:r>
                                </w:p>
                              </w:tc>
                              <w:tc>
                                <w:tcPr>
                                  <w:tcW w:w="681" w:type="dxa"/>
                                  <w:tcBorders>
                                    <w:top w:val="single" w:sz="4" w:space="0" w:color="auto"/>
                                  </w:tcBorders>
                                  <w:noWrap/>
                                  <w:hideMark/>
                                </w:tcPr>
                                <w:p w14:paraId="0544C77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0,741</w:t>
                                  </w:r>
                                </w:p>
                              </w:tc>
                              <w:tc>
                                <w:tcPr>
                                  <w:tcW w:w="545" w:type="dxa"/>
                                  <w:tcBorders>
                                    <w:top w:val="single" w:sz="4" w:space="0" w:color="auto"/>
                                  </w:tcBorders>
                                  <w:noWrap/>
                                  <w:hideMark/>
                                </w:tcPr>
                                <w:p w14:paraId="3AA526B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0,068</w:t>
                                  </w:r>
                                </w:p>
                              </w:tc>
                            </w:tr>
                            <w:tr w:rsidR="00164614" w:rsidRPr="0096266C" w14:paraId="229F23A8" w14:textId="77777777" w:rsidTr="008E12F7">
                              <w:trPr>
                                <w:trHeight w:val="404"/>
                              </w:trPr>
                              <w:tc>
                                <w:tcPr>
                                  <w:tcW w:w="736" w:type="dxa"/>
                                  <w:noWrap/>
                                  <w:hideMark/>
                                </w:tcPr>
                                <w:p w14:paraId="5758B5D7"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CRT_2</w:t>
                                  </w:r>
                                </w:p>
                              </w:tc>
                              <w:tc>
                                <w:tcPr>
                                  <w:tcW w:w="658" w:type="dxa"/>
                                  <w:noWrap/>
                                  <w:hideMark/>
                                </w:tcPr>
                                <w:p w14:paraId="0144E6E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0,019</w:t>
                                  </w:r>
                                </w:p>
                              </w:tc>
                              <w:tc>
                                <w:tcPr>
                                  <w:tcW w:w="658" w:type="dxa"/>
                                  <w:noWrap/>
                                  <w:hideMark/>
                                </w:tcPr>
                                <w:p w14:paraId="4B59FD2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58" w:type="dxa"/>
                                  <w:noWrap/>
                                  <w:hideMark/>
                                </w:tcPr>
                                <w:p w14:paraId="5652DDCC"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0,038</w:t>
                                  </w:r>
                                </w:p>
                              </w:tc>
                              <w:tc>
                                <w:tcPr>
                                  <w:tcW w:w="658" w:type="dxa"/>
                                  <w:noWrap/>
                                  <w:hideMark/>
                                </w:tcPr>
                                <w:p w14:paraId="4413CBB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0,022</w:t>
                                  </w:r>
                                </w:p>
                              </w:tc>
                              <w:tc>
                                <w:tcPr>
                                  <w:tcW w:w="658" w:type="dxa"/>
                                  <w:noWrap/>
                                  <w:hideMark/>
                                </w:tcPr>
                                <w:p w14:paraId="467B78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0,053</w:t>
                                  </w:r>
                                </w:p>
                              </w:tc>
                              <w:tc>
                                <w:tcPr>
                                  <w:tcW w:w="658" w:type="dxa"/>
                                  <w:noWrap/>
                                  <w:hideMark/>
                                </w:tcPr>
                                <w:p w14:paraId="09CFC56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noWrap/>
                                  <w:hideMark/>
                                </w:tcPr>
                                <w:p w14:paraId="02D5D9F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0,027</w:t>
                                  </w:r>
                                </w:p>
                              </w:tc>
                              <w:tc>
                                <w:tcPr>
                                  <w:tcW w:w="658" w:type="dxa"/>
                                  <w:noWrap/>
                                  <w:hideMark/>
                                </w:tcPr>
                                <w:p w14:paraId="61188E4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0616618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736" w:type="dxa"/>
                                  <w:noWrap/>
                                  <w:hideMark/>
                                </w:tcPr>
                                <w:p w14:paraId="23A869F0"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736" w:type="dxa"/>
                                  <w:noWrap/>
                                  <w:hideMark/>
                                </w:tcPr>
                                <w:p w14:paraId="0EF4D34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0,062</w:t>
                                  </w:r>
                                </w:p>
                              </w:tc>
                              <w:tc>
                                <w:tcPr>
                                  <w:tcW w:w="681" w:type="dxa"/>
                                  <w:noWrap/>
                                  <w:hideMark/>
                                </w:tcPr>
                                <w:p w14:paraId="6159783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0,422</w:t>
                                  </w:r>
                                </w:p>
                              </w:tc>
                              <w:tc>
                                <w:tcPr>
                                  <w:tcW w:w="545" w:type="dxa"/>
                                  <w:noWrap/>
                                  <w:hideMark/>
                                </w:tcPr>
                                <w:p w14:paraId="4065F61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0,038</w:t>
                                  </w:r>
                                </w:p>
                              </w:tc>
                            </w:tr>
                            <w:tr w:rsidR="00164614" w:rsidRPr="0096266C" w14:paraId="2C680B02" w14:textId="77777777" w:rsidTr="008E12F7">
                              <w:trPr>
                                <w:trHeight w:val="404"/>
                              </w:trPr>
                              <w:tc>
                                <w:tcPr>
                                  <w:tcW w:w="736" w:type="dxa"/>
                                  <w:noWrap/>
                                  <w:hideMark/>
                                </w:tcPr>
                                <w:p w14:paraId="4E27A033"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CRT_3</w:t>
                                  </w:r>
                                </w:p>
                              </w:tc>
                              <w:tc>
                                <w:tcPr>
                                  <w:tcW w:w="658" w:type="dxa"/>
                                  <w:noWrap/>
                                  <w:hideMark/>
                                </w:tcPr>
                                <w:p w14:paraId="613998E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79AB774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0,108</w:t>
                                  </w:r>
                                </w:p>
                              </w:tc>
                              <w:tc>
                                <w:tcPr>
                                  <w:tcW w:w="658" w:type="dxa"/>
                                  <w:noWrap/>
                                  <w:hideMark/>
                                </w:tcPr>
                                <w:p w14:paraId="420B18A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0,095</w:t>
                                  </w:r>
                                </w:p>
                              </w:tc>
                              <w:tc>
                                <w:tcPr>
                                  <w:tcW w:w="658" w:type="dxa"/>
                                  <w:noWrap/>
                                  <w:hideMark/>
                                </w:tcPr>
                                <w:p w14:paraId="3EBDE4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0,116</w:t>
                                  </w:r>
                                </w:p>
                              </w:tc>
                              <w:tc>
                                <w:tcPr>
                                  <w:tcW w:w="658" w:type="dxa"/>
                                  <w:noWrap/>
                                  <w:hideMark/>
                                </w:tcPr>
                                <w:p w14:paraId="15F9018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0,222</w:t>
                                  </w:r>
                                </w:p>
                              </w:tc>
                              <w:tc>
                                <w:tcPr>
                                  <w:tcW w:w="658" w:type="dxa"/>
                                  <w:noWrap/>
                                  <w:hideMark/>
                                </w:tcPr>
                                <w:p w14:paraId="0CBB85D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0,269</w:t>
                                  </w:r>
                                </w:p>
                              </w:tc>
                              <w:tc>
                                <w:tcPr>
                                  <w:tcW w:w="658" w:type="dxa"/>
                                  <w:noWrap/>
                                  <w:hideMark/>
                                </w:tcPr>
                                <w:p w14:paraId="110B142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658" w:type="dxa"/>
                                  <w:noWrap/>
                                  <w:hideMark/>
                                </w:tcPr>
                                <w:p w14:paraId="7110DDB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0,174</w:t>
                                  </w:r>
                                </w:p>
                              </w:tc>
                              <w:tc>
                                <w:tcPr>
                                  <w:tcW w:w="658" w:type="dxa"/>
                                  <w:noWrap/>
                                  <w:hideMark/>
                                </w:tcPr>
                                <w:p w14:paraId="2F17264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0,027</w:t>
                                  </w:r>
                                </w:p>
                              </w:tc>
                              <w:tc>
                                <w:tcPr>
                                  <w:tcW w:w="736" w:type="dxa"/>
                                  <w:noWrap/>
                                  <w:hideMark/>
                                </w:tcPr>
                                <w:p w14:paraId="26252A0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0,126</w:t>
                                  </w:r>
                                </w:p>
                              </w:tc>
                              <w:tc>
                                <w:tcPr>
                                  <w:tcW w:w="736" w:type="dxa"/>
                                  <w:noWrap/>
                                  <w:hideMark/>
                                </w:tcPr>
                                <w:p w14:paraId="7AC9D7A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0,056</w:t>
                                  </w:r>
                                </w:p>
                              </w:tc>
                              <w:tc>
                                <w:tcPr>
                                  <w:tcW w:w="681" w:type="dxa"/>
                                  <w:noWrap/>
                                  <w:hideMark/>
                                </w:tcPr>
                                <w:p w14:paraId="2C6434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1,347</w:t>
                                  </w:r>
                                </w:p>
                              </w:tc>
                              <w:tc>
                                <w:tcPr>
                                  <w:tcW w:w="545" w:type="dxa"/>
                                  <w:noWrap/>
                                  <w:hideMark/>
                                </w:tcPr>
                                <w:p w14:paraId="1B411FA7"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0,123</w:t>
                                  </w:r>
                                </w:p>
                              </w:tc>
                            </w:tr>
                            <w:tr w:rsidR="00164614" w:rsidRPr="0096266C" w14:paraId="25A0F164" w14:textId="77777777" w:rsidTr="008E12F7">
                              <w:trPr>
                                <w:trHeight w:val="404"/>
                              </w:trPr>
                              <w:tc>
                                <w:tcPr>
                                  <w:tcW w:w="736" w:type="dxa"/>
                                  <w:noWrap/>
                                  <w:hideMark/>
                                </w:tcPr>
                                <w:p w14:paraId="2E7B0E30"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CRT_4</w:t>
                                  </w:r>
                                </w:p>
                              </w:tc>
                              <w:tc>
                                <w:tcPr>
                                  <w:tcW w:w="658" w:type="dxa"/>
                                  <w:noWrap/>
                                  <w:hideMark/>
                                </w:tcPr>
                                <w:p w14:paraId="41DC25B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59F0AD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0,108</w:t>
                                  </w:r>
                                </w:p>
                              </w:tc>
                              <w:tc>
                                <w:tcPr>
                                  <w:tcW w:w="658" w:type="dxa"/>
                                  <w:noWrap/>
                                  <w:hideMark/>
                                </w:tcPr>
                                <w:p w14:paraId="316F802C"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1D94D5F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0,054</w:t>
                                  </w:r>
                                </w:p>
                              </w:tc>
                              <w:tc>
                                <w:tcPr>
                                  <w:tcW w:w="658" w:type="dxa"/>
                                  <w:noWrap/>
                                  <w:hideMark/>
                                </w:tcPr>
                                <w:p w14:paraId="71E0AD6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0,041</w:t>
                                  </w:r>
                                </w:p>
                              </w:tc>
                              <w:tc>
                                <w:tcPr>
                                  <w:tcW w:w="658" w:type="dxa"/>
                                  <w:noWrap/>
                                  <w:hideMark/>
                                </w:tcPr>
                                <w:p w14:paraId="536A533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0,056</w:t>
                                  </w:r>
                                </w:p>
                              </w:tc>
                              <w:tc>
                                <w:tcPr>
                                  <w:tcW w:w="658" w:type="dxa"/>
                                  <w:noWrap/>
                                  <w:hideMark/>
                                </w:tcPr>
                                <w:p w14:paraId="3107415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658" w:type="dxa"/>
                                  <w:noWrap/>
                                  <w:hideMark/>
                                </w:tcPr>
                                <w:p w14:paraId="7E638B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0,038</w:t>
                                  </w:r>
                                </w:p>
                              </w:tc>
                              <w:tc>
                                <w:tcPr>
                                  <w:tcW w:w="658" w:type="dxa"/>
                                  <w:noWrap/>
                                  <w:hideMark/>
                                </w:tcPr>
                                <w:p w14:paraId="4BEDFA0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0,122</w:t>
                                  </w:r>
                                </w:p>
                              </w:tc>
                              <w:tc>
                                <w:tcPr>
                                  <w:tcW w:w="736" w:type="dxa"/>
                                  <w:noWrap/>
                                  <w:hideMark/>
                                </w:tcPr>
                                <w:p w14:paraId="039E2CA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0,024</w:t>
                                  </w:r>
                                </w:p>
                              </w:tc>
                              <w:tc>
                                <w:tcPr>
                                  <w:tcW w:w="736" w:type="dxa"/>
                                  <w:noWrap/>
                                  <w:hideMark/>
                                </w:tcPr>
                                <w:p w14:paraId="662490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81" w:type="dxa"/>
                                  <w:noWrap/>
                                  <w:hideMark/>
                                </w:tcPr>
                                <w:p w14:paraId="23CAA22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0,685</w:t>
                                  </w:r>
                                </w:p>
                              </w:tc>
                              <w:tc>
                                <w:tcPr>
                                  <w:tcW w:w="545" w:type="dxa"/>
                                  <w:noWrap/>
                                  <w:hideMark/>
                                </w:tcPr>
                                <w:p w14:paraId="2FBAA036"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0,063</w:t>
                                  </w:r>
                                </w:p>
                              </w:tc>
                            </w:tr>
                            <w:tr w:rsidR="00164614" w:rsidRPr="0096266C" w14:paraId="1999DC2A" w14:textId="77777777" w:rsidTr="008E12F7">
                              <w:trPr>
                                <w:trHeight w:val="404"/>
                              </w:trPr>
                              <w:tc>
                                <w:tcPr>
                                  <w:tcW w:w="736" w:type="dxa"/>
                                  <w:noWrap/>
                                  <w:hideMark/>
                                </w:tcPr>
                                <w:p w14:paraId="2A593E87"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CRT_5</w:t>
                                  </w:r>
                                </w:p>
                              </w:tc>
                              <w:tc>
                                <w:tcPr>
                                  <w:tcW w:w="658" w:type="dxa"/>
                                  <w:noWrap/>
                                  <w:hideMark/>
                                </w:tcPr>
                                <w:p w14:paraId="3CC0998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43CEE41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7311904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03D92E5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0,103</w:t>
                                  </w:r>
                                </w:p>
                              </w:tc>
                              <w:tc>
                                <w:tcPr>
                                  <w:tcW w:w="658" w:type="dxa"/>
                                  <w:noWrap/>
                                  <w:hideMark/>
                                </w:tcPr>
                                <w:p w14:paraId="3DD48AB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0,192</w:t>
                                  </w:r>
                                </w:p>
                              </w:tc>
                              <w:tc>
                                <w:tcPr>
                                  <w:tcW w:w="658" w:type="dxa"/>
                                  <w:noWrap/>
                                  <w:hideMark/>
                                </w:tcPr>
                                <w:p w14:paraId="1DDA5BA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5CFB195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0,154</w:t>
                                  </w:r>
                                </w:p>
                              </w:tc>
                              <w:tc>
                                <w:tcPr>
                                  <w:tcW w:w="658" w:type="dxa"/>
                                  <w:noWrap/>
                                  <w:hideMark/>
                                </w:tcPr>
                                <w:p w14:paraId="280717B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0,133</w:t>
                                  </w:r>
                                </w:p>
                              </w:tc>
                              <w:tc>
                                <w:tcPr>
                                  <w:tcW w:w="658" w:type="dxa"/>
                                  <w:noWrap/>
                                  <w:hideMark/>
                                </w:tcPr>
                                <w:p w14:paraId="332662E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0,133</w:t>
                                  </w:r>
                                </w:p>
                              </w:tc>
                              <w:tc>
                                <w:tcPr>
                                  <w:tcW w:w="736" w:type="dxa"/>
                                  <w:noWrap/>
                                  <w:hideMark/>
                                </w:tcPr>
                                <w:p w14:paraId="62AE4A4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736" w:type="dxa"/>
                                  <w:noWrap/>
                                  <w:hideMark/>
                                </w:tcPr>
                                <w:p w14:paraId="536495B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81" w:type="dxa"/>
                                  <w:noWrap/>
                                  <w:hideMark/>
                                </w:tcPr>
                                <w:p w14:paraId="54D0FE2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1,235</w:t>
                                  </w:r>
                                </w:p>
                              </w:tc>
                              <w:tc>
                                <w:tcPr>
                                  <w:tcW w:w="545" w:type="dxa"/>
                                  <w:noWrap/>
                                  <w:hideMark/>
                                </w:tcPr>
                                <w:p w14:paraId="70B2E220"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0,113</w:t>
                                  </w:r>
                                </w:p>
                              </w:tc>
                            </w:tr>
                            <w:tr w:rsidR="00164614" w:rsidRPr="0096266C" w14:paraId="16E566F3" w14:textId="77777777" w:rsidTr="008E12F7">
                              <w:trPr>
                                <w:trHeight w:val="404"/>
                              </w:trPr>
                              <w:tc>
                                <w:tcPr>
                                  <w:tcW w:w="736" w:type="dxa"/>
                                  <w:noWrap/>
                                  <w:hideMark/>
                                </w:tcPr>
                                <w:p w14:paraId="3E9FF885"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CRT_6</w:t>
                                  </w:r>
                                </w:p>
                              </w:tc>
                              <w:tc>
                                <w:tcPr>
                                  <w:tcW w:w="658" w:type="dxa"/>
                                  <w:noWrap/>
                                  <w:hideMark/>
                                </w:tcPr>
                                <w:p w14:paraId="1A0DE82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0,136</w:t>
                                  </w:r>
                                </w:p>
                              </w:tc>
                              <w:tc>
                                <w:tcPr>
                                  <w:tcW w:w="658" w:type="dxa"/>
                                  <w:noWrap/>
                                  <w:hideMark/>
                                </w:tcPr>
                                <w:p w14:paraId="2290C25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0,115</w:t>
                                  </w:r>
                                </w:p>
                              </w:tc>
                              <w:tc>
                                <w:tcPr>
                                  <w:tcW w:w="658" w:type="dxa"/>
                                  <w:noWrap/>
                                  <w:hideMark/>
                                </w:tcPr>
                                <w:p w14:paraId="267D569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316F621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0,119</w:t>
                                  </w:r>
                                </w:p>
                              </w:tc>
                              <w:tc>
                                <w:tcPr>
                                  <w:tcW w:w="658" w:type="dxa"/>
                                  <w:noWrap/>
                                  <w:hideMark/>
                                </w:tcPr>
                                <w:p w14:paraId="19126BD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0,067</w:t>
                                  </w:r>
                                </w:p>
                              </w:tc>
                              <w:tc>
                                <w:tcPr>
                                  <w:tcW w:w="658" w:type="dxa"/>
                                  <w:noWrap/>
                                  <w:hideMark/>
                                </w:tcPr>
                                <w:p w14:paraId="72BFD10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0,125</w:t>
                                  </w:r>
                                </w:p>
                              </w:tc>
                              <w:tc>
                                <w:tcPr>
                                  <w:tcW w:w="658" w:type="dxa"/>
                                  <w:noWrap/>
                                  <w:hideMark/>
                                </w:tcPr>
                                <w:p w14:paraId="43C2BCA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0,150</w:t>
                                  </w:r>
                                </w:p>
                              </w:tc>
                              <w:tc>
                                <w:tcPr>
                                  <w:tcW w:w="658" w:type="dxa"/>
                                  <w:noWrap/>
                                  <w:hideMark/>
                                </w:tcPr>
                                <w:p w14:paraId="20CD2F7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0,177</w:t>
                                  </w:r>
                                </w:p>
                              </w:tc>
                              <w:tc>
                                <w:tcPr>
                                  <w:tcW w:w="658" w:type="dxa"/>
                                  <w:noWrap/>
                                  <w:hideMark/>
                                </w:tcPr>
                                <w:p w14:paraId="7AA289F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0,150</w:t>
                                  </w:r>
                                </w:p>
                              </w:tc>
                              <w:tc>
                                <w:tcPr>
                                  <w:tcW w:w="736" w:type="dxa"/>
                                  <w:noWrap/>
                                  <w:hideMark/>
                                </w:tcPr>
                                <w:p w14:paraId="4892FF1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0,144</w:t>
                                  </w:r>
                                </w:p>
                              </w:tc>
                              <w:tc>
                                <w:tcPr>
                                  <w:tcW w:w="736" w:type="dxa"/>
                                  <w:noWrap/>
                                  <w:hideMark/>
                                </w:tcPr>
                                <w:p w14:paraId="4A5066F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0,280</w:t>
                                  </w:r>
                                </w:p>
                              </w:tc>
                              <w:tc>
                                <w:tcPr>
                                  <w:tcW w:w="681" w:type="dxa"/>
                                  <w:noWrap/>
                                  <w:hideMark/>
                                </w:tcPr>
                                <w:p w14:paraId="098B4DF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1,506</w:t>
                                  </w:r>
                                </w:p>
                              </w:tc>
                              <w:tc>
                                <w:tcPr>
                                  <w:tcW w:w="545" w:type="dxa"/>
                                  <w:noWrap/>
                                  <w:hideMark/>
                                </w:tcPr>
                                <w:p w14:paraId="403A47E8"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0,137</w:t>
                                  </w:r>
                                </w:p>
                              </w:tc>
                            </w:tr>
                            <w:tr w:rsidR="00164614" w:rsidRPr="0096266C" w14:paraId="79BE3D71" w14:textId="77777777" w:rsidTr="008E12F7">
                              <w:trPr>
                                <w:trHeight w:val="404"/>
                              </w:trPr>
                              <w:tc>
                                <w:tcPr>
                                  <w:tcW w:w="736" w:type="dxa"/>
                                  <w:noWrap/>
                                  <w:hideMark/>
                                </w:tcPr>
                                <w:p w14:paraId="79AB3FAE"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CRT_7</w:t>
                                  </w:r>
                                </w:p>
                              </w:tc>
                              <w:tc>
                                <w:tcPr>
                                  <w:tcW w:w="658" w:type="dxa"/>
                                  <w:noWrap/>
                                  <w:hideMark/>
                                </w:tcPr>
                                <w:p w14:paraId="39B6FA6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BB06B5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0,108</w:t>
                                  </w:r>
                                </w:p>
                              </w:tc>
                              <w:tc>
                                <w:tcPr>
                                  <w:tcW w:w="658" w:type="dxa"/>
                                  <w:noWrap/>
                                  <w:hideMark/>
                                </w:tcPr>
                                <w:p w14:paraId="7A12344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0,208</w:t>
                                  </w:r>
                                </w:p>
                              </w:tc>
                              <w:tc>
                                <w:tcPr>
                                  <w:tcW w:w="658" w:type="dxa"/>
                                  <w:noWrap/>
                                  <w:hideMark/>
                                </w:tcPr>
                                <w:p w14:paraId="276D766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0,119</w:t>
                                  </w:r>
                                </w:p>
                              </w:tc>
                              <w:tc>
                                <w:tcPr>
                                  <w:tcW w:w="658" w:type="dxa"/>
                                  <w:noWrap/>
                                  <w:hideMark/>
                                </w:tcPr>
                                <w:p w14:paraId="2D64B7D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0,051</w:t>
                                  </w:r>
                                </w:p>
                              </w:tc>
                              <w:tc>
                                <w:tcPr>
                                  <w:tcW w:w="658" w:type="dxa"/>
                                  <w:noWrap/>
                                  <w:hideMark/>
                                </w:tcPr>
                                <w:p w14:paraId="0BEEA70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0,055</w:t>
                                  </w:r>
                                </w:p>
                              </w:tc>
                              <w:tc>
                                <w:tcPr>
                                  <w:tcW w:w="658" w:type="dxa"/>
                                  <w:noWrap/>
                                  <w:hideMark/>
                                </w:tcPr>
                                <w:p w14:paraId="5D8B6AAC"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0,066</w:t>
                                  </w:r>
                                </w:p>
                              </w:tc>
                              <w:tc>
                                <w:tcPr>
                                  <w:tcW w:w="658" w:type="dxa"/>
                                  <w:noWrap/>
                                  <w:hideMark/>
                                </w:tcPr>
                                <w:p w14:paraId="4888373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0,040</w:t>
                                  </w:r>
                                </w:p>
                              </w:tc>
                              <w:tc>
                                <w:tcPr>
                                  <w:tcW w:w="658" w:type="dxa"/>
                                  <w:noWrap/>
                                  <w:hideMark/>
                                </w:tcPr>
                                <w:p w14:paraId="2CBB97B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736" w:type="dxa"/>
                                  <w:noWrap/>
                                  <w:hideMark/>
                                </w:tcPr>
                                <w:p w14:paraId="33B92E8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736" w:type="dxa"/>
                                  <w:noWrap/>
                                  <w:hideMark/>
                                </w:tcPr>
                                <w:p w14:paraId="623B27C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0,056</w:t>
                                  </w:r>
                                </w:p>
                              </w:tc>
                              <w:tc>
                                <w:tcPr>
                                  <w:tcW w:w="681" w:type="dxa"/>
                                  <w:noWrap/>
                                  <w:hideMark/>
                                </w:tcPr>
                                <w:p w14:paraId="1272716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0,886</w:t>
                                  </w:r>
                                </w:p>
                              </w:tc>
                              <w:tc>
                                <w:tcPr>
                                  <w:tcW w:w="545" w:type="dxa"/>
                                  <w:noWrap/>
                                  <w:hideMark/>
                                </w:tcPr>
                                <w:p w14:paraId="4B759ABE"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0,081</w:t>
                                  </w:r>
                                </w:p>
                              </w:tc>
                            </w:tr>
                            <w:tr w:rsidR="00164614" w:rsidRPr="0096266C" w14:paraId="43F0D805" w14:textId="77777777" w:rsidTr="008E12F7">
                              <w:trPr>
                                <w:trHeight w:val="404"/>
                              </w:trPr>
                              <w:tc>
                                <w:tcPr>
                                  <w:tcW w:w="736" w:type="dxa"/>
                                  <w:noWrap/>
                                  <w:hideMark/>
                                </w:tcPr>
                                <w:p w14:paraId="124810C3"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CRT_8</w:t>
                                  </w:r>
                                </w:p>
                              </w:tc>
                              <w:tc>
                                <w:tcPr>
                                  <w:tcW w:w="658" w:type="dxa"/>
                                  <w:noWrap/>
                                  <w:hideMark/>
                                </w:tcPr>
                                <w:p w14:paraId="71B7D44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45817B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329292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3C1031C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0,113</w:t>
                                  </w:r>
                                </w:p>
                              </w:tc>
                              <w:tc>
                                <w:tcPr>
                                  <w:tcW w:w="658" w:type="dxa"/>
                                  <w:noWrap/>
                                  <w:hideMark/>
                                </w:tcPr>
                                <w:p w14:paraId="5453ADB0"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0,054</w:t>
                                  </w:r>
                                </w:p>
                              </w:tc>
                              <w:tc>
                                <w:tcPr>
                                  <w:tcW w:w="658" w:type="dxa"/>
                                  <w:noWrap/>
                                  <w:hideMark/>
                                </w:tcPr>
                                <w:p w14:paraId="293B0A7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0,057</w:t>
                                  </w:r>
                                </w:p>
                              </w:tc>
                              <w:tc>
                                <w:tcPr>
                                  <w:tcW w:w="658" w:type="dxa"/>
                                  <w:noWrap/>
                                  <w:hideMark/>
                                </w:tcPr>
                                <w:p w14:paraId="590D1C5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67044C4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2AEE4AF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0,150</w:t>
                                  </w:r>
                                </w:p>
                              </w:tc>
                              <w:tc>
                                <w:tcPr>
                                  <w:tcW w:w="736" w:type="dxa"/>
                                  <w:noWrap/>
                                  <w:hideMark/>
                                </w:tcPr>
                                <w:p w14:paraId="12BF523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0,144</w:t>
                                  </w:r>
                                </w:p>
                              </w:tc>
                              <w:tc>
                                <w:tcPr>
                                  <w:tcW w:w="736" w:type="dxa"/>
                                  <w:noWrap/>
                                  <w:hideMark/>
                                </w:tcPr>
                                <w:p w14:paraId="50C1789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81" w:type="dxa"/>
                                  <w:noWrap/>
                                  <w:hideMark/>
                                </w:tcPr>
                                <w:p w14:paraId="293D3C8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1,026</w:t>
                                  </w:r>
                                </w:p>
                              </w:tc>
                              <w:tc>
                                <w:tcPr>
                                  <w:tcW w:w="545" w:type="dxa"/>
                                  <w:noWrap/>
                                  <w:hideMark/>
                                </w:tcPr>
                                <w:p w14:paraId="2D482644"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0,094</w:t>
                                  </w:r>
                                </w:p>
                              </w:tc>
                            </w:tr>
                            <w:tr w:rsidR="00164614" w:rsidRPr="0096266C" w14:paraId="660A291C" w14:textId="77777777" w:rsidTr="008E12F7">
                              <w:trPr>
                                <w:trHeight w:val="404"/>
                              </w:trPr>
                              <w:tc>
                                <w:tcPr>
                                  <w:tcW w:w="736" w:type="dxa"/>
                                  <w:noWrap/>
                                  <w:hideMark/>
                                </w:tcPr>
                                <w:p w14:paraId="099BFF14"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CRT_9</w:t>
                                  </w:r>
                                </w:p>
                              </w:tc>
                              <w:tc>
                                <w:tcPr>
                                  <w:tcW w:w="658" w:type="dxa"/>
                                  <w:noWrap/>
                                  <w:hideMark/>
                                </w:tcPr>
                                <w:p w14:paraId="40954BC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A88DCE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2F8F219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0,208</w:t>
                                  </w:r>
                                </w:p>
                              </w:tc>
                              <w:tc>
                                <w:tcPr>
                                  <w:tcW w:w="658" w:type="dxa"/>
                                  <w:noWrap/>
                                  <w:hideMark/>
                                </w:tcPr>
                                <w:p w14:paraId="2108AD5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0,027</w:t>
                                  </w:r>
                                </w:p>
                              </w:tc>
                              <w:tc>
                                <w:tcPr>
                                  <w:tcW w:w="658" w:type="dxa"/>
                                  <w:noWrap/>
                                  <w:hideMark/>
                                </w:tcPr>
                                <w:p w14:paraId="64EEDCB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noWrap/>
                                  <w:hideMark/>
                                </w:tcPr>
                                <w:p w14:paraId="3A971B5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0,050</w:t>
                                  </w:r>
                                </w:p>
                              </w:tc>
                              <w:tc>
                                <w:tcPr>
                                  <w:tcW w:w="658" w:type="dxa"/>
                                  <w:noWrap/>
                                  <w:hideMark/>
                                </w:tcPr>
                                <w:p w14:paraId="5200F34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0981013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658" w:type="dxa"/>
                                  <w:noWrap/>
                                  <w:hideMark/>
                                </w:tcPr>
                                <w:p w14:paraId="35189DC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0,061</w:t>
                                  </w:r>
                                </w:p>
                              </w:tc>
                              <w:tc>
                                <w:tcPr>
                                  <w:tcW w:w="736" w:type="dxa"/>
                                  <w:noWrap/>
                                  <w:hideMark/>
                                </w:tcPr>
                                <w:p w14:paraId="0C6AC73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736" w:type="dxa"/>
                                  <w:noWrap/>
                                  <w:hideMark/>
                                </w:tcPr>
                                <w:p w14:paraId="776991F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81" w:type="dxa"/>
                                  <w:noWrap/>
                                  <w:hideMark/>
                                </w:tcPr>
                                <w:p w14:paraId="2810F29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0,839</w:t>
                                  </w:r>
                                </w:p>
                              </w:tc>
                              <w:tc>
                                <w:tcPr>
                                  <w:tcW w:w="545" w:type="dxa"/>
                                  <w:noWrap/>
                                  <w:hideMark/>
                                </w:tcPr>
                                <w:p w14:paraId="2D385B0F"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0,077</w:t>
                                  </w:r>
                                </w:p>
                              </w:tc>
                            </w:tr>
                            <w:tr w:rsidR="00164614" w:rsidRPr="0096266C" w14:paraId="438A7702" w14:textId="77777777" w:rsidTr="008E12F7">
                              <w:trPr>
                                <w:trHeight w:val="404"/>
                              </w:trPr>
                              <w:tc>
                                <w:tcPr>
                                  <w:tcW w:w="736" w:type="dxa"/>
                                  <w:noWrap/>
                                  <w:hideMark/>
                                </w:tcPr>
                                <w:p w14:paraId="2ED80F22"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CRT_10</w:t>
                                  </w:r>
                                </w:p>
                              </w:tc>
                              <w:tc>
                                <w:tcPr>
                                  <w:tcW w:w="658" w:type="dxa"/>
                                  <w:noWrap/>
                                  <w:hideMark/>
                                </w:tcPr>
                                <w:p w14:paraId="31C95DC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0,024</w:t>
                                  </w:r>
                                </w:p>
                              </w:tc>
                              <w:tc>
                                <w:tcPr>
                                  <w:tcW w:w="658" w:type="dxa"/>
                                  <w:noWrap/>
                                  <w:hideMark/>
                                </w:tcPr>
                                <w:p w14:paraId="151F474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6BFE3A2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0,045</w:t>
                                  </w:r>
                                </w:p>
                              </w:tc>
                              <w:tc>
                                <w:tcPr>
                                  <w:tcW w:w="658" w:type="dxa"/>
                                  <w:noWrap/>
                                  <w:hideMark/>
                                </w:tcPr>
                                <w:p w14:paraId="130A797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13E35940"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noWrap/>
                                  <w:hideMark/>
                                </w:tcPr>
                                <w:p w14:paraId="13E39F8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0,052</w:t>
                                  </w:r>
                                </w:p>
                              </w:tc>
                              <w:tc>
                                <w:tcPr>
                                  <w:tcW w:w="658" w:type="dxa"/>
                                  <w:noWrap/>
                                  <w:hideMark/>
                                </w:tcPr>
                                <w:p w14:paraId="1E6AD4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036C0A3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0,034</w:t>
                                  </w:r>
                                </w:p>
                              </w:tc>
                              <w:tc>
                                <w:tcPr>
                                  <w:tcW w:w="658" w:type="dxa"/>
                                  <w:noWrap/>
                                  <w:hideMark/>
                                </w:tcPr>
                                <w:p w14:paraId="62D1B99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0,123</w:t>
                                  </w:r>
                                </w:p>
                              </w:tc>
                              <w:tc>
                                <w:tcPr>
                                  <w:tcW w:w="736" w:type="dxa"/>
                                  <w:noWrap/>
                                  <w:hideMark/>
                                </w:tcPr>
                                <w:p w14:paraId="22CB057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0,060</w:t>
                                  </w:r>
                                </w:p>
                              </w:tc>
                              <w:tc>
                                <w:tcPr>
                                  <w:tcW w:w="736" w:type="dxa"/>
                                  <w:noWrap/>
                                  <w:hideMark/>
                                </w:tcPr>
                                <w:p w14:paraId="619CA37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81" w:type="dxa"/>
                                  <w:noWrap/>
                                  <w:hideMark/>
                                </w:tcPr>
                                <w:p w14:paraId="513880F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0,779</w:t>
                                  </w:r>
                                </w:p>
                              </w:tc>
                              <w:tc>
                                <w:tcPr>
                                  <w:tcW w:w="545" w:type="dxa"/>
                                  <w:noWrap/>
                                  <w:hideMark/>
                                </w:tcPr>
                                <w:p w14:paraId="7FB7A6E4"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0,071</w:t>
                                  </w:r>
                                </w:p>
                              </w:tc>
                            </w:tr>
                            <w:tr w:rsidR="00164614" w:rsidRPr="0096266C" w14:paraId="5A0E7D74" w14:textId="77777777" w:rsidTr="008E12F7">
                              <w:trPr>
                                <w:trHeight w:val="404"/>
                              </w:trPr>
                              <w:tc>
                                <w:tcPr>
                                  <w:tcW w:w="736" w:type="dxa"/>
                                  <w:tcBorders>
                                    <w:bottom w:val="single" w:sz="4" w:space="0" w:color="auto"/>
                                  </w:tcBorders>
                                  <w:noWrap/>
                                  <w:hideMark/>
                                </w:tcPr>
                                <w:p w14:paraId="32045D12"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CRT11</w:t>
                                  </w:r>
                                </w:p>
                              </w:tc>
                              <w:tc>
                                <w:tcPr>
                                  <w:tcW w:w="658" w:type="dxa"/>
                                  <w:tcBorders>
                                    <w:bottom w:val="single" w:sz="4" w:space="0" w:color="auto"/>
                                  </w:tcBorders>
                                  <w:noWrap/>
                                  <w:hideMark/>
                                </w:tcPr>
                                <w:p w14:paraId="6C73511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0,028</w:t>
                                  </w:r>
                                </w:p>
                              </w:tc>
                              <w:tc>
                                <w:tcPr>
                                  <w:tcW w:w="658" w:type="dxa"/>
                                  <w:tcBorders>
                                    <w:bottom w:val="single" w:sz="4" w:space="0" w:color="auto"/>
                                  </w:tcBorders>
                                  <w:noWrap/>
                                  <w:hideMark/>
                                </w:tcPr>
                                <w:p w14:paraId="1EFB634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tcBorders>
                                    <w:bottom w:val="single" w:sz="4" w:space="0" w:color="auto"/>
                                  </w:tcBorders>
                                  <w:noWrap/>
                                  <w:hideMark/>
                                </w:tcPr>
                                <w:p w14:paraId="2D1C9F5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0,191</w:t>
                                  </w:r>
                                </w:p>
                              </w:tc>
                              <w:tc>
                                <w:tcPr>
                                  <w:tcW w:w="658" w:type="dxa"/>
                                  <w:tcBorders>
                                    <w:bottom w:val="single" w:sz="4" w:space="0" w:color="auto"/>
                                  </w:tcBorders>
                                  <w:noWrap/>
                                  <w:hideMark/>
                                </w:tcPr>
                                <w:p w14:paraId="3E19B2C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0,142</w:t>
                                  </w:r>
                                </w:p>
                              </w:tc>
                              <w:tc>
                                <w:tcPr>
                                  <w:tcW w:w="658" w:type="dxa"/>
                                  <w:tcBorders>
                                    <w:bottom w:val="single" w:sz="4" w:space="0" w:color="auto"/>
                                  </w:tcBorders>
                                  <w:noWrap/>
                                  <w:hideMark/>
                                </w:tcPr>
                                <w:p w14:paraId="7AED7FB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0,272</w:t>
                                  </w:r>
                                </w:p>
                              </w:tc>
                              <w:tc>
                                <w:tcPr>
                                  <w:tcW w:w="658" w:type="dxa"/>
                                  <w:tcBorders>
                                    <w:bottom w:val="single" w:sz="4" w:space="0" w:color="auto"/>
                                  </w:tcBorders>
                                  <w:noWrap/>
                                  <w:hideMark/>
                                </w:tcPr>
                                <w:p w14:paraId="044AA65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0,050</w:t>
                                  </w:r>
                                </w:p>
                              </w:tc>
                              <w:tc>
                                <w:tcPr>
                                  <w:tcW w:w="658" w:type="dxa"/>
                                  <w:tcBorders>
                                    <w:bottom w:val="single" w:sz="4" w:space="0" w:color="auto"/>
                                  </w:tcBorders>
                                  <w:noWrap/>
                                  <w:hideMark/>
                                </w:tcPr>
                                <w:p w14:paraId="3EDC3D6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tcBorders>
                                    <w:bottom w:val="single" w:sz="4" w:space="0" w:color="auto"/>
                                  </w:tcBorders>
                                  <w:noWrap/>
                                  <w:hideMark/>
                                </w:tcPr>
                                <w:p w14:paraId="222D9F6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0,193</w:t>
                                  </w:r>
                                </w:p>
                              </w:tc>
                              <w:tc>
                                <w:tcPr>
                                  <w:tcW w:w="658" w:type="dxa"/>
                                  <w:tcBorders>
                                    <w:bottom w:val="single" w:sz="4" w:space="0" w:color="auto"/>
                                  </w:tcBorders>
                                  <w:noWrap/>
                                  <w:hideMark/>
                                </w:tcPr>
                                <w:p w14:paraId="4B48B7E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0,146</w:t>
                                  </w:r>
                                </w:p>
                              </w:tc>
                              <w:tc>
                                <w:tcPr>
                                  <w:tcW w:w="736" w:type="dxa"/>
                                  <w:tcBorders>
                                    <w:bottom w:val="single" w:sz="4" w:space="0" w:color="auto"/>
                                  </w:tcBorders>
                                  <w:noWrap/>
                                  <w:hideMark/>
                                </w:tcPr>
                                <w:p w14:paraId="3FC3634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0,145</w:t>
                                  </w:r>
                                </w:p>
                              </w:tc>
                              <w:tc>
                                <w:tcPr>
                                  <w:tcW w:w="736" w:type="dxa"/>
                                  <w:tcBorders>
                                    <w:bottom w:val="single" w:sz="4" w:space="0" w:color="auto"/>
                                  </w:tcBorders>
                                  <w:noWrap/>
                                  <w:hideMark/>
                                </w:tcPr>
                                <w:p w14:paraId="45C425C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0,113</w:t>
                                  </w:r>
                                </w:p>
                              </w:tc>
                              <w:tc>
                                <w:tcPr>
                                  <w:tcW w:w="681" w:type="dxa"/>
                                  <w:tcBorders>
                                    <w:bottom w:val="single" w:sz="4" w:space="0" w:color="auto"/>
                                  </w:tcBorders>
                                  <w:noWrap/>
                                  <w:hideMark/>
                                </w:tcPr>
                                <w:p w14:paraId="10EB449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1,494</w:t>
                                  </w:r>
                                </w:p>
                              </w:tc>
                              <w:tc>
                                <w:tcPr>
                                  <w:tcW w:w="545" w:type="dxa"/>
                                  <w:tcBorders>
                                    <w:bottom w:val="single" w:sz="4" w:space="0" w:color="auto"/>
                                  </w:tcBorders>
                                  <w:noWrap/>
                                  <w:hideMark/>
                                </w:tcPr>
                                <w:p w14:paraId="2CB29518"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0,136</w:t>
                                  </w:r>
                                </w:p>
                              </w:tc>
                            </w:tr>
                          </w:tbl>
                          <w:p w14:paraId="78EFACC5" w14:textId="77777777" w:rsidR="00164614" w:rsidRDefault="00164614" w:rsidP="00164614">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A69BB" id="Text Box 2" o:spid="_x0000_s1027" type="#_x0000_t202" style="position:absolute;left:0;text-align:left;margin-left:-5pt;margin-top:13.35pt;width:501.25pt;height:27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3QLwIAAFw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" fillcolor="white [3201]" stroked="f" strokeweight=".5pt">
                <v:textbox>
                  <w:txbxContent>
                    <w:p w14:paraId="644729C3" w14:textId="77777777" w:rsidR="00164614" w:rsidRPr="008E12F7" w:rsidRDefault="00164614" w:rsidP="00164614">
                      <w:pPr>
                        <w:ind w:left="0" w:hanging="2"/>
                        <w:jc w:val="both"/>
                        <w:rPr>
                          <w:rFonts w:ascii="Arial" w:hAnsi="Arial" w:cs="Arial"/>
                          <w:sz w:val="20"/>
                          <w:szCs w:val="20"/>
                        </w:rPr>
                      </w:pPr>
                      <w:r w:rsidRPr="008E12F7">
                        <w:rPr>
                          <w:rFonts w:ascii="Arial" w:hAnsi="Arial" w:cs="Arial"/>
                          <w:sz w:val="20"/>
                          <w:szCs w:val="20"/>
                        </w:rPr>
                        <w:t>Table 7 Normalization assessment of pairwise comparisons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658"/>
                        <w:gridCol w:w="658"/>
                        <w:gridCol w:w="658"/>
                        <w:gridCol w:w="658"/>
                        <w:gridCol w:w="658"/>
                        <w:gridCol w:w="658"/>
                        <w:gridCol w:w="658"/>
                        <w:gridCol w:w="658"/>
                        <w:gridCol w:w="658"/>
                        <w:gridCol w:w="736"/>
                        <w:gridCol w:w="736"/>
                        <w:gridCol w:w="681"/>
                        <w:gridCol w:w="565"/>
                      </w:tblGrid>
                      <w:tr w:rsidR="00164614" w:rsidRPr="0096266C" w14:paraId="75076B66" w14:textId="77777777" w:rsidTr="008E12F7">
                        <w:trPr>
                          <w:trHeight w:val="404"/>
                        </w:trPr>
                        <w:tc>
                          <w:tcPr>
                            <w:tcW w:w="736" w:type="dxa"/>
                            <w:tcBorders>
                              <w:top w:val="single" w:sz="4" w:space="0" w:color="auto"/>
                              <w:bottom w:val="single" w:sz="4" w:space="0" w:color="auto"/>
                            </w:tcBorders>
                            <w:noWrap/>
                            <w:hideMark/>
                          </w:tcPr>
                          <w:p w14:paraId="191A1521"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Criteria</w:t>
                            </w:r>
                          </w:p>
                        </w:tc>
                        <w:tc>
                          <w:tcPr>
                            <w:tcW w:w="658" w:type="dxa"/>
                            <w:tcBorders>
                              <w:top w:val="single" w:sz="4" w:space="0" w:color="auto"/>
                              <w:bottom w:val="single" w:sz="4" w:space="0" w:color="auto"/>
                            </w:tcBorders>
                            <w:noWrap/>
                            <w:hideMark/>
                          </w:tcPr>
                          <w:p w14:paraId="18A94D0F"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CRT_1</w:t>
                            </w:r>
                          </w:p>
                        </w:tc>
                        <w:tc>
                          <w:tcPr>
                            <w:tcW w:w="658" w:type="dxa"/>
                            <w:tcBorders>
                              <w:top w:val="single" w:sz="4" w:space="0" w:color="auto"/>
                              <w:bottom w:val="single" w:sz="4" w:space="0" w:color="auto"/>
                            </w:tcBorders>
                            <w:noWrap/>
                            <w:hideMark/>
                          </w:tcPr>
                          <w:p w14:paraId="31FE0986"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CRT_2</w:t>
                            </w:r>
                          </w:p>
                        </w:tc>
                        <w:tc>
                          <w:tcPr>
                            <w:tcW w:w="658" w:type="dxa"/>
                            <w:tcBorders>
                              <w:top w:val="single" w:sz="4" w:space="0" w:color="auto"/>
                              <w:bottom w:val="single" w:sz="4" w:space="0" w:color="auto"/>
                            </w:tcBorders>
                            <w:noWrap/>
                            <w:hideMark/>
                          </w:tcPr>
                          <w:p w14:paraId="79C021AF"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CRT_3</w:t>
                            </w:r>
                          </w:p>
                        </w:tc>
                        <w:tc>
                          <w:tcPr>
                            <w:tcW w:w="658" w:type="dxa"/>
                            <w:tcBorders>
                              <w:top w:val="single" w:sz="4" w:space="0" w:color="auto"/>
                              <w:bottom w:val="single" w:sz="4" w:space="0" w:color="auto"/>
                            </w:tcBorders>
                            <w:noWrap/>
                            <w:hideMark/>
                          </w:tcPr>
                          <w:p w14:paraId="5AD925C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CRT_4</w:t>
                            </w:r>
                          </w:p>
                        </w:tc>
                        <w:tc>
                          <w:tcPr>
                            <w:tcW w:w="658" w:type="dxa"/>
                            <w:tcBorders>
                              <w:top w:val="single" w:sz="4" w:space="0" w:color="auto"/>
                              <w:bottom w:val="single" w:sz="4" w:space="0" w:color="auto"/>
                            </w:tcBorders>
                            <w:noWrap/>
                            <w:hideMark/>
                          </w:tcPr>
                          <w:p w14:paraId="578ABF52"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CRT_5</w:t>
                            </w:r>
                          </w:p>
                        </w:tc>
                        <w:tc>
                          <w:tcPr>
                            <w:tcW w:w="658" w:type="dxa"/>
                            <w:tcBorders>
                              <w:top w:val="single" w:sz="4" w:space="0" w:color="auto"/>
                              <w:bottom w:val="single" w:sz="4" w:space="0" w:color="auto"/>
                            </w:tcBorders>
                            <w:noWrap/>
                            <w:hideMark/>
                          </w:tcPr>
                          <w:p w14:paraId="00DA94F2"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CRT_6</w:t>
                            </w:r>
                          </w:p>
                        </w:tc>
                        <w:tc>
                          <w:tcPr>
                            <w:tcW w:w="658" w:type="dxa"/>
                            <w:tcBorders>
                              <w:top w:val="single" w:sz="4" w:space="0" w:color="auto"/>
                              <w:bottom w:val="single" w:sz="4" w:space="0" w:color="auto"/>
                            </w:tcBorders>
                            <w:noWrap/>
                            <w:hideMark/>
                          </w:tcPr>
                          <w:p w14:paraId="5C90A775"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CRT_7</w:t>
                            </w:r>
                          </w:p>
                        </w:tc>
                        <w:tc>
                          <w:tcPr>
                            <w:tcW w:w="658" w:type="dxa"/>
                            <w:tcBorders>
                              <w:top w:val="single" w:sz="4" w:space="0" w:color="auto"/>
                              <w:bottom w:val="single" w:sz="4" w:space="0" w:color="auto"/>
                            </w:tcBorders>
                            <w:noWrap/>
                            <w:hideMark/>
                          </w:tcPr>
                          <w:p w14:paraId="34751F67"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CRT_8</w:t>
                            </w:r>
                          </w:p>
                        </w:tc>
                        <w:tc>
                          <w:tcPr>
                            <w:tcW w:w="658" w:type="dxa"/>
                            <w:tcBorders>
                              <w:top w:val="single" w:sz="4" w:space="0" w:color="auto"/>
                              <w:bottom w:val="single" w:sz="4" w:space="0" w:color="auto"/>
                            </w:tcBorders>
                            <w:noWrap/>
                            <w:hideMark/>
                          </w:tcPr>
                          <w:p w14:paraId="0C4286F1"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CRT_9</w:t>
                            </w:r>
                          </w:p>
                        </w:tc>
                        <w:tc>
                          <w:tcPr>
                            <w:tcW w:w="736" w:type="dxa"/>
                            <w:tcBorders>
                              <w:top w:val="single" w:sz="4" w:space="0" w:color="auto"/>
                              <w:bottom w:val="single" w:sz="4" w:space="0" w:color="auto"/>
                            </w:tcBorders>
                            <w:noWrap/>
                            <w:hideMark/>
                          </w:tcPr>
                          <w:p w14:paraId="6F3F7AD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CRT_10</w:t>
                            </w:r>
                          </w:p>
                        </w:tc>
                        <w:tc>
                          <w:tcPr>
                            <w:tcW w:w="736" w:type="dxa"/>
                            <w:tcBorders>
                              <w:top w:val="single" w:sz="4" w:space="0" w:color="auto"/>
                              <w:bottom w:val="single" w:sz="4" w:space="0" w:color="auto"/>
                            </w:tcBorders>
                            <w:noWrap/>
                            <w:hideMark/>
                          </w:tcPr>
                          <w:p w14:paraId="7158087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CRT_11</w:t>
                            </w:r>
                          </w:p>
                        </w:tc>
                        <w:tc>
                          <w:tcPr>
                            <w:tcW w:w="681" w:type="dxa"/>
                            <w:tcBorders>
                              <w:top w:val="single" w:sz="4" w:space="0" w:color="auto"/>
                              <w:bottom w:val="single" w:sz="4" w:space="0" w:color="auto"/>
                            </w:tcBorders>
                            <w:noWrap/>
                            <w:hideMark/>
                          </w:tcPr>
                          <w:p w14:paraId="59494AA4" w14:textId="77777777" w:rsidR="00164614" w:rsidRPr="0096266C" w:rsidRDefault="00164614" w:rsidP="0096266C">
                            <w:pPr>
                              <w:rPr>
                                <w:rFonts w:ascii="Arial" w:eastAsia="Times New Roman" w:hAnsi="Arial" w:cs="Arial"/>
                                <w:b/>
                                <w:bCs/>
                                <w:color w:val="000000"/>
                                <w:sz w:val="14"/>
                                <w:szCs w:val="14"/>
                                <w:lang w:eastAsia="en-ID"/>
                              </w:rPr>
                            </w:pPr>
                            <w:r w:rsidRPr="0096266C">
                              <w:rPr>
                                <w:rFonts w:ascii="Arial" w:eastAsia="Times New Roman" w:hAnsi="Arial" w:cs="Arial"/>
                                <w:b/>
                                <w:bCs/>
                                <w:color w:val="000000"/>
                                <w:sz w:val="14"/>
                                <w:szCs w:val="14"/>
                                <w:lang w:eastAsia="en-ID"/>
                              </w:rPr>
                              <w:t>TOTAL</w:t>
                            </w:r>
                          </w:p>
                        </w:tc>
                        <w:tc>
                          <w:tcPr>
                            <w:tcW w:w="545" w:type="dxa"/>
                            <w:tcBorders>
                              <w:top w:val="single" w:sz="4" w:space="0" w:color="auto"/>
                              <w:bottom w:val="single" w:sz="4" w:space="0" w:color="auto"/>
                            </w:tcBorders>
                            <w:noWrap/>
                            <w:hideMark/>
                          </w:tcPr>
                          <w:p w14:paraId="6BC16332" w14:textId="77777777" w:rsidR="00164614" w:rsidRPr="0096266C" w:rsidRDefault="00164614" w:rsidP="0096266C">
                            <w:pPr>
                              <w:rPr>
                                <w:rFonts w:ascii="Arial" w:eastAsia="Times New Roman" w:hAnsi="Arial" w:cs="Arial"/>
                                <w:color w:val="000000"/>
                                <w:sz w:val="14"/>
                                <w:szCs w:val="14"/>
                                <w:lang w:eastAsia="en-ID"/>
                              </w:rPr>
                            </w:pPr>
                          </w:p>
                        </w:tc>
                      </w:tr>
                      <w:tr w:rsidR="00164614" w:rsidRPr="0096266C" w14:paraId="6CCB8921" w14:textId="77777777" w:rsidTr="008E12F7">
                        <w:trPr>
                          <w:trHeight w:val="404"/>
                        </w:trPr>
                        <w:tc>
                          <w:tcPr>
                            <w:tcW w:w="736" w:type="dxa"/>
                            <w:tcBorders>
                              <w:top w:val="single" w:sz="4" w:space="0" w:color="auto"/>
                            </w:tcBorders>
                            <w:noWrap/>
                            <w:hideMark/>
                          </w:tcPr>
                          <w:p w14:paraId="38B01A2C"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CRT_1</w:t>
                            </w:r>
                          </w:p>
                        </w:tc>
                        <w:tc>
                          <w:tcPr>
                            <w:tcW w:w="658" w:type="dxa"/>
                            <w:tcBorders>
                              <w:top w:val="single" w:sz="4" w:space="0" w:color="auto"/>
                            </w:tcBorders>
                            <w:noWrap/>
                            <w:hideMark/>
                          </w:tcPr>
                          <w:p w14:paraId="56E8D60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0,051</w:t>
                            </w:r>
                          </w:p>
                        </w:tc>
                        <w:tc>
                          <w:tcPr>
                            <w:tcW w:w="658" w:type="dxa"/>
                            <w:tcBorders>
                              <w:top w:val="single" w:sz="4" w:space="0" w:color="auto"/>
                            </w:tcBorders>
                            <w:noWrap/>
                            <w:hideMark/>
                          </w:tcPr>
                          <w:p w14:paraId="3D67FF1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0,115</w:t>
                            </w:r>
                          </w:p>
                        </w:tc>
                        <w:tc>
                          <w:tcPr>
                            <w:tcW w:w="658" w:type="dxa"/>
                            <w:tcBorders>
                              <w:top w:val="single" w:sz="4" w:space="0" w:color="auto"/>
                            </w:tcBorders>
                            <w:noWrap/>
                            <w:hideMark/>
                          </w:tcPr>
                          <w:p w14:paraId="59B318A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0,039</w:t>
                            </w:r>
                          </w:p>
                        </w:tc>
                        <w:tc>
                          <w:tcPr>
                            <w:tcW w:w="658" w:type="dxa"/>
                            <w:tcBorders>
                              <w:top w:val="single" w:sz="4" w:space="0" w:color="auto"/>
                            </w:tcBorders>
                            <w:noWrap/>
                            <w:hideMark/>
                          </w:tcPr>
                          <w:p w14:paraId="46C5E16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0,022</w:t>
                            </w:r>
                          </w:p>
                        </w:tc>
                        <w:tc>
                          <w:tcPr>
                            <w:tcW w:w="658" w:type="dxa"/>
                            <w:tcBorders>
                              <w:top w:val="single" w:sz="4" w:space="0" w:color="auto"/>
                            </w:tcBorders>
                            <w:noWrap/>
                            <w:hideMark/>
                          </w:tcPr>
                          <w:p w14:paraId="3065671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58" w:type="dxa"/>
                            <w:tcBorders>
                              <w:top w:val="single" w:sz="4" w:space="0" w:color="auto"/>
                            </w:tcBorders>
                            <w:noWrap/>
                            <w:hideMark/>
                          </w:tcPr>
                          <w:p w14:paraId="3D2FBC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tcBorders>
                              <w:top w:val="single" w:sz="4" w:space="0" w:color="auto"/>
                            </w:tcBorders>
                            <w:noWrap/>
                            <w:hideMark/>
                          </w:tcPr>
                          <w:p w14:paraId="6B619B6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0,028</w:t>
                            </w:r>
                          </w:p>
                        </w:tc>
                        <w:tc>
                          <w:tcPr>
                            <w:tcW w:w="658" w:type="dxa"/>
                            <w:tcBorders>
                              <w:top w:val="single" w:sz="4" w:space="0" w:color="auto"/>
                            </w:tcBorders>
                            <w:noWrap/>
                            <w:hideMark/>
                          </w:tcPr>
                          <w:p w14:paraId="1A94B0D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658" w:type="dxa"/>
                            <w:tcBorders>
                              <w:top w:val="single" w:sz="4" w:space="0" w:color="auto"/>
                            </w:tcBorders>
                            <w:noWrap/>
                            <w:hideMark/>
                          </w:tcPr>
                          <w:p w14:paraId="5551E95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0,025</w:t>
                            </w:r>
                          </w:p>
                        </w:tc>
                        <w:tc>
                          <w:tcPr>
                            <w:tcW w:w="736" w:type="dxa"/>
                            <w:tcBorders>
                              <w:top w:val="single" w:sz="4" w:space="0" w:color="auto"/>
                            </w:tcBorders>
                            <w:noWrap/>
                            <w:hideMark/>
                          </w:tcPr>
                          <w:p w14:paraId="4270E33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0,130</w:t>
                            </w:r>
                          </w:p>
                        </w:tc>
                        <w:tc>
                          <w:tcPr>
                            <w:tcW w:w="736" w:type="dxa"/>
                            <w:tcBorders>
                              <w:top w:val="single" w:sz="4" w:space="0" w:color="auto"/>
                            </w:tcBorders>
                            <w:noWrap/>
                            <w:hideMark/>
                          </w:tcPr>
                          <w:p w14:paraId="7FCA0C3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0,206</w:t>
                            </w:r>
                          </w:p>
                        </w:tc>
                        <w:tc>
                          <w:tcPr>
                            <w:tcW w:w="681" w:type="dxa"/>
                            <w:tcBorders>
                              <w:top w:val="single" w:sz="4" w:space="0" w:color="auto"/>
                            </w:tcBorders>
                            <w:noWrap/>
                            <w:hideMark/>
                          </w:tcPr>
                          <w:p w14:paraId="0544C77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0,741</w:t>
                            </w:r>
                          </w:p>
                        </w:tc>
                        <w:tc>
                          <w:tcPr>
                            <w:tcW w:w="545" w:type="dxa"/>
                            <w:tcBorders>
                              <w:top w:val="single" w:sz="4" w:space="0" w:color="auto"/>
                            </w:tcBorders>
                            <w:noWrap/>
                            <w:hideMark/>
                          </w:tcPr>
                          <w:p w14:paraId="3AA526B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0,068</w:t>
                            </w:r>
                          </w:p>
                        </w:tc>
                      </w:tr>
                      <w:tr w:rsidR="00164614" w:rsidRPr="0096266C" w14:paraId="229F23A8" w14:textId="77777777" w:rsidTr="008E12F7">
                        <w:trPr>
                          <w:trHeight w:val="404"/>
                        </w:trPr>
                        <w:tc>
                          <w:tcPr>
                            <w:tcW w:w="736" w:type="dxa"/>
                            <w:noWrap/>
                            <w:hideMark/>
                          </w:tcPr>
                          <w:p w14:paraId="5758B5D7"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CRT_2</w:t>
                            </w:r>
                          </w:p>
                        </w:tc>
                        <w:tc>
                          <w:tcPr>
                            <w:tcW w:w="658" w:type="dxa"/>
                            <w:noWrap/>
                            <w:hideMark/>
                          </w:tcPr>
                          <w:p w14:paraId="0144E6E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0,019</w:t>
                            </w:r>
                          </w:p>
                        </w:tc>
                        <w:tc>
                          <w:tcPr>
                            <w:tcW w:w="658" w:type="dxa"/>
                            <w:noWrap/>
                            <w:hideMark/>
                          </w:tcPr>
                          <w:p w14:paraId="4B59FD2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58" w:type="dxa"/>
                            <w:noWrap/>
                            <w:hideMark/>
                          </w:tcPr>
                          <w:p w14:paraId="5652DDCC"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0,038</w:t>
                            </w:r>
                          </w:p>
                        </w:tc>
                        <w:tc>
                          <w:tcPr>
                            <w:tcW w:w="658" w:type="dxa"/>
                            <w:noWrap/>
                            <w:hideMark/>
                          </w:tcPr>
                          <w:p w14:paraId="4413CBB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0,022</w:t>
                            </w:r>
                          </w:p>
                        </w:tc>
                        <w:tc>
                          <w:tcPr>
                            <w:tcW w:w="658" w:type="dxa"/>
                            <w:noWrap/>
                            <w:hideMark/>
                          </w:tcPr>
                          <w:p w14:paraId="467B78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0,053</w:t>
                            </w:r>
                          </w:p>
                        </w:tc>
                        <w:tc>
                          <w:tcPr>
                            <w:tcW w:w="658" w:type="dxa"/>
                            <w:noWrap/>
                            <w:hideMark/>
                          </w:tcPr>
                          <w:p w14:paraId="09CFC56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noWrap/>
                            <w:hideMark/>
                          </w:tcPr>
                          <w:p w14:paraId="02D5D9F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0,027</w:t>
                            </w:r>
                          </w:p>
                        </w:tc>
                        <w:tc>
                          <w:tcPr>
                            <w:tcW w:w="658" w:type="dxa"/>
                            <w:noWrap/>
                            <w:hideMark/>
                          </w:tcPr>
                          <w:p w14:paraId="61188E4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0616618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736" w:type="dxa"/>
                            <w:noWrap/>
                            <w:hideMark/>
                          </w:tcPr>
                          <w:p w14:paraId="23A869F0"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736" w:type="dxa"/>
                            <w:noWrap/>
                            <w:hideMark/>
                          </w:tcPr>
                          <w:p w14:paraId="0EF4D34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0,062</w:t>
                            </w:r>
                          </w:p>
                        </w:tc>
                        <w:tc>
                          <w:tcPr>
                            <w:tcW w:w="681" w:type="dxa"/>
                            <w:noWrap/>
                            <w:hideMark/>
                          </w:tcPr>
                          <w:p w14:paraId="6159783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0,422</w:t>
                            </w:r>
                          </w:p>
                        </w:tc>
                        <w:tc>
                          <w:tcPr>
                            <w:tcW w:w="545" w:type="dxa"/>
                            <w:noWrap/>
                            <w:hideMark/>
                          </w:tcPr>
                          <w:p w14:paraId="4065F61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0,038</w:t>
                            </w:r>
                          </w:p>
                        </w:tc>
                      </w:tr>
                      <w:tr w:rsidR="00164614" w:rsidRPr="0096266C" w14:paraId="2C680B02" w14:textId="77777777" w:rsidTr="008E12F7">
                        <w:trPr>
                          <w:trHeight w:val="404"/>
                        </w:trPr>
                        <w:tc>
                          <w:tcPr>
                            <w:tcW w:w="736" w:type="dxa"/>
                            <w:noWrap/>
                            <w:hideMark/>
                          </w:tcPr>
                          <w:p w14:paraId="4E27A033"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CRT_3</w:t>
                            </w:r>
                          </w:p>
                        </w:tc>
                        <w:tc>
                          <w:tcPr>
                            <w:tcW w:w="658" w:type="dxa"/>
                            <w:noWrap/>
                            <w:hideMark/>
                          </w:tcPr>
                          <w:p w14:paraId="613998E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79AB774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0,108</w:t>
                            </w:r>
                          </w:p>
                        </w:tc>
                        <w:tc>
                          <w:tcPr>
                            <w:tcW w:w="658" w:type="dxa"/>
                            <w:noWrap/>
                            <w:hideMark/>
                          </w:tcPr>
                          <w:p w14:paraId="420B18A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0,095</w:t>
                            </w:r>
                          </w:p>
                        </w:tc>
                        <w:tc>
                          <w:tcPr>
                            <w:tcW w:w="658" w:type="dxa"/>
                            <w:noWrap/>
                            <w:hideMark/>
                          </w:tcPr>
                          <w:p w14:paraId="3EBDE4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0,116</w:t>
                            </w:r>
                          </w:p>
                        </w:tc>
                        <w:tc>
                          <w:tcPr>
                            <w:tcW w:w="658" w:type="dxa"/>
                            <w:noWrap/>
                            <w:hideMark/>
                          </w:tcPr>
                          <w:p w14:paraId="15F9018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0,222</w:t>
                            </w:r>
                          </w:p>
                        </w:tc>
                        <w:tc>
                          <w:tcPr>
                            <w:tcW w:w="658" w:type="dxa"/>
                            <w:noWrap/>
                            <w:hideMark/>
                          </w:tcPr>
                          <w:p w14:paraId="0CBB85D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0,269</w:t>
                            </w:r>
                          </w:p>
                        </w:tc>
                        <w:tc>
                          <w:tcPr>
                            <w:tcW w:w="658" w:type="dxa"/>
                            <w:noWrap/>
                            <w:hideMark/>
                          </w:tcPr>
                          <w:p w14:paraId="110B142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658" w:type="dxa"/>
                            <w:noWrap/>
                            <w:hideMark/>
                          </w:tcPr>
                          <w:p w14:paraId="7110DDB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0,174</w:t>
                            </w:r>
                          </w:p>
                        </w:tc>
                        <w:tc>
                          <w:tcPr>
                            <w:tcW w:w="658" w:type="dxa"/>
                            <w:noWrap/>
                            <w:hideMark/>
                          </w:tcPr>
                          <w:p w14:paraId="2F17264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0,027</w:t>
                            </w:r>
                          </w:p>
                        </w:tc>
                        <w:tc>
                          <w:tcPr>
                            <w:tcW w:w="736" w:type="dxa"/>
                            <w:noWrap/>
                            <w:hideMark/>
                          </w:tcPr>
                          <w:p w14:paraId="26252A0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0,126</w:t>
                            </w:r>
                          </w:p>
                        </w:tc>
                        <w:tc>
                          <w:tcPr>
                            <w:tcW w:w="736" w:type="dxa"/>
                            <w:noWrap/>
                            <w:hideMark/>
                          </w:tcPr>
                          <w:p w14:paraId="7AC9D7A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0,056</w:t>
                            </w:r>
                          </w:p>
                        </w:tc>
                        <w:tc>
                          <w:tcPr>
                            <w:tcW w:w="681" w:type="dxa"/>
                            <w:noWrap/>
                            <w:hideMark/>
                          </w:tcPr>
                          <w:p w14:paraId="2C6434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1,347</w:t>
                            </w:r>
                          </w:p>
                        </w:tc>
                        <w:tc>
                          <w:tcPr>
                            <w:tcW w:w="545" w:type="dxa"/>
                            <w:noWrap/>
                            <w:hideMark/>
                          </w:tcPr>
                          <w:p w14:paraId="1B411FA7"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0,123</w:t>
                            </w:r>
                          </w:p>
                        </w:tc>
                      </w:tr>
                      <w:tr w:rsidR="00164614" w:rsidRPr="0096266C" w14:paraId="25A0F164" w14:textId="77777777" w:rsidTr="008E12F7">
                        <w:trPr>
                          <w:trHeight w:val="404"/>
                        </w:trPr>
                        <w:tc>
                          <w:tcPr>
                            <w:tcW w:w="736" w:type="dxa"/>
                            <w:noWrap/>
                            <w:hideMark/>
                          </w:tcPr>
                          <w:p w14:paraId="2E7B0E30"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CRT_4</w:t>
                            </w:r>
                          </w:p>
                        </w:tc>
                        <w:tc>
                          <w:tcPr>
                            <w:tcW w:w="658" w:type="dxa"/>
                            <w:noWrap/>
                            <w:hideMark/>
                          </w:tcPr>
                          <w:p w14:paraId="41DC25B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59F0AD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0,108</w:t>
                            </w:r>
                          </w:p>
                        </w:tc>
                        <w:tc>
                          <w:tcPr>
                            <w:tcW w:w="658" w:type="dxa"/>
                            <w:noWrap/>
                            <w:hideMark/>
                          </w:tcPr>
                          <w:p w14:paraId="316F802C"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1D94D5F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0,054</w:t>
                            </w:r>
                          </w:p>
                        </w:tc>
                        <w:tc>
                          <w:tcPr>
                            <w:tcW w:w="658" w:type="dxa"/>
                            <w:noWrap/>
                            <w:hideMark/>
                          </w:tcPr>
                          <w:p w14:paraId="71E0AD6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0,041</w:t>
                            </w:r>
                          </w:p>
                        </w:tc>
                        <w:tc>
                          <w:tcPr>
                            <w:tcW w:w="658" w:type="dxa"/>
                            <w:noWrap/>
                            <w:hideMark/>
                          </w:tcPr>
                          <w:p w14:paraId="536A533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0,056</w:t>
                            </w:r>
                          </w:p>
                        </w:tc>
                        <w:tc>
                          <w:tcPr>
                            <w:tcW w:w="658" w:type="dxa"/>
                            <w:noWrap/>
                            <w:hideMark/>
                          </w:tcPr>
                          <w:p w14:paraId="3107415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658" w:type="dxa"/>
                            <w:noWrap/>
                            <w:hideMark/>
                          </w:tcPr>
                          <w:p w14:paraId="7E638B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0,038</w:t>
                            </w:r>
                          </w:p>
                        </w:tc>
                        <w:tc>
                          <w:tcPr>
                            <w:tcW w:w="658" w:type="dxa"/>
                            <w:noWrap/>
                            <w:hideMark/>
                          </w:tcPr>
                          <w:p w14:paraId="4BEDFA0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0,122</w:t>
                            </w:r>
                          </w:p>
                        </w:tc>
                        <w:tc>
                          <w:tcPr>
                            <w:tcW w:w="736" w:type="dxa"/>
                            <w:noWrap/>
                            <w:hideMark/>
                          </w:tcPr>
                          <w:p w14:paraId="039E2CA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0,024</w:t>
                            </w:r>
                          </w:p>
                        </w:tc>
                        <w:tc>
                          <w:tcPr>
                            <w:tcW w:w="736" w:type="dxa"/>
                            <w:noWrap/>
                            <w:hideMark/>
                          </w:tcPr>
                          <w:p w14:paraId="6624908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81" w:type="dxa"/>
                            <w:noWrap/>
                            <w:hideMark/>
                          </w:tcPr>
                          <w:p w14:paraId="23CAA22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0,685</w:t>
                            </w:r>
                          </w:p>
                        </w:tc>
                        <w:tc>
                          <w:tcPr>
                            <w:tcW w:w="545" w:type="dxa"/>
                            <w:noWrap/>
                            <w:hideMark/>
                          </w:tcPr>
                          <w:p w14:paraId="2FBAA036"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0,063</w:t>
                            </w:r>
                          </w:p>
                        </w:tc>
                      </w:tr>
                      <w:tr w:rsidR="00164614" w:rsidRPr="0096266C" w14:paraId="1999DC2A" w14:textId="77777777" w:rsidTr="008E12F7">
                        <w:trPr>
                          <w:trHeight w:val="404"/>
                        </w:trPr>
                        <w:tc>
                          <w:tcPr>
                            <w:tcW w:w="736" w:type="dxa"/>
                            <w:noWrap/>
                            <w:hideMark/>
                          </w:tcPr>
                          <w:p w14:paraId="2A593E87"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CRT_5</w:t>
                            </w:r>
                          </w:p>
                        </w:tc>
                        <w:tc>
                          <w:tcPr>
                            <w:tcW w:w="658" w:type="dxa"/>
                            <w:noWrap/>
                            <w:hideMark/>
                          </w:tcPr>
                          <w:p w14:paraId="3CC0998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43CEE41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7311904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03D92E5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0,103</w:t>
                            </w:r>
                          </w:p>
                        </w:tc>
                        <w:tc>
                          <w:tcPr>
                            <w:tcW w:w="658" w:type="dxa"/>
                            <w:noWrap/>
                            <w:hideMark/>
                          </w:tcPr>
                          <w:p w14:paraId="3DD48AB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0,192</w:t>
                            </w:r>
                          </w:p>
                        </w:tc>
                        <w:tc>
                          <w:tcPr>
                            <w:tcW w:w="658" w:type="dxa"/>
                            <w:noWrap/>
                            <w:hideMark/>
                          </w:tcPr>
                          <w:p w14:paraId="1DDA5BA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5CFB195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0,154</w:t>
                            </w:r>
                          </w:p>
                        </w:tc>
                        <w:tc>
                          <w:tcPr>
                            <w:tcW w:w="658" w:type="dxa"/>
                            <w:noWrap/>
                            <w:hideMark/>
                          </w:tcPr>
                          <w:p w14:paraId="280717B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0,133</w:t>
                            </w:r>
                          </w:p>
                        </w:tc>
                        <w:tc>
                          <w:tcPr>
                            <w:tcW w:w="658" w:type="dxa"/>
                            <w:noWrap/>
                            <w:hideMark/>
                          </w:tcPr>
                          <w:p w14:paraId="332662E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0,133</w:t>
                            </w:r>
                          </w:p>
                        </w:tc>
                        <w:tc>
                          <w:tcPr>
                            <w:tcW w:w="736" w:type="dxa"/>
                            <w:noWrap/>
                            <w:hideMark/>
                          </w:tcPr>
                          <w:p w14:paraId="62AE4A4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736" w:type="dxa"/>
                            <w:noWrap/>
                            <w:hideMark/>
                          </w:tcPr>
                          <w:p w14:paraId="536495B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0,043</w:t>
                            </w:r>
                          </w:p>
                        </w:tc>
                        <w:tc>
                          <w:tcPr>
                            <w:tcW w:w="681" w:type="dxa"/>
                            <w:noWrap/>
                            <w:hideMark/>
                          </w:tcPr>
                          <w:p w14:paraId="54D0FE2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1,235</w:t>
                            </w:r>
                          </w:p>
                        </w:tc>
                        <w:tc>
                          <w:tcPr>
                            <w:tcW w:w="545" w:type="dxa"/>
                            <w:noWrap/>
                            <w:hideMark/>
                          </w:tcPr>
                          <w:p w14:paraId="70B2E220"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0,113</w:t>
                            </w:r>
                          </w:p>
                        </w:tc>
                      </w:tr>
                      <w:tr w:rsidR="00164614" w:rsidRPr="0096266C" w14:paraId="16E566F3" w14:textId="77777777" w:rsidTr="008E12F7">
                        <w:trPr>
                          <w:trHeight w:val="404"/>
                        </w:trPr>
                        <w:tc>
                          <w:tcPr>
                            <w:tcW w:w="736" w:type="dxa"/>
                            <w:noWrap/>
                            <w:hideMark/>
                          </w:tcPr>
                          <w:p w14:paraId="3E9FF885"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CRT_6</w:t>
                            </w:r>
                          </w:p>
                        </w:tc>
                        <w:tc>
                          <w:tcPr>
                            <w:tcW w:w="658" w:type="dxa"/>
                            <w:noWrap/>
                            <w:hideMark/>
                          </w:tcPr>
                          <w:p w14:paraId="1A0DE82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0,136</w:t>
                            </w:r>
                          </w:p>
                        </w:tc>
                        <w:tc>
                          <w:tcPr>
                            <w:tcW w:w="658" w:type="dxa"/>
                            <w:noWrap/>
                            <w:hideMark/>
                          </w:tcPr>
                          <w:p w14:paraId="2290C25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0,115</w:t>
                            </w:r>
                          </w:p>
                        </w:tc>
                        <w:tc>
                          <w:tcPr>
                            <w:tcW w:w="658" w:type="dxa"/>
                            <w:noWrap/>
                            <w:hideMark/>
                          </w:tcPr>
                          <w:p w14:paraId="267D569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316F621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0,119</w:t>
                            </w:r>
                          </w:p>
                        </w:tc>
                        <w:tc>
                          <w:tcPr>
                            <w:tcW w:w="658" w:type="dxa"/>
                            <w:noWrap/>
                            <w:hideMark/>
                          </w:tcPr>
                          <w:p w14:paraId="19126BD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0,067</w:t>
                            </w:r>
                          </w:p>
                        </w:tc>
                        <w:tc>
                          <w:tcPr>
                            <w:tcW w:w="658" w:type="dxa"/>
                            <w:noWrap/>
                            <w:hideMark/>
                          </w:tcPr>
                          <w:p w14:paraId="72BFD10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0,125</w:t>
                            </w:r>
                          </w:p>
                        </w:tc>
                        <w:tc>
                          <w:tcPr>
                            <w:tcW w:w="658" w:type="dxa"/>
                            <w:noWrap/>
                            <w:hideMark/>
                          </w:tcPr>
                          <w:p w14:paraId="43C2BCA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0,150</w:t>
                            </w:r>
                          </w:p>
                        </w:tc>
                        <w:tc>
                          <w:tcPr>
                            <w:tcW w:w="658" w:type="dxa"/>
                            <w:noWrap/>
                            <w:hideMark/>
                          </w:tcPr>
                          <w:p w14:paraId="20CD2F7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0,177</w:t>
                            </w:r>
                          </w:p>
                        </w:tc>
                        <w:tc>
                          <w:tcPr>
                            <w:tcW w:w="658" w:type="dxa"/>
                            <w:noWrap/>
                            <w:hideMark/>
                          </w:tcPr>
                          <w:p w14:paraId="7AA289F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0,150</w:t>
                            </w:r>
                          </w:p>
                        </w:tc>
                        <w:tc>
                          <w:tcPr>
                            <w:tcW w:w="736" w:type="dxa"/>
                            <w:noWrap/>
                            <w:hideMark/>
                          </w:tcPr>
                          <w:p w14:paraId="4892FF1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0,144</w:t>
                            </w:r>
                          </w:p>
                        </w:tc>
                        <w:tc>
                          <w:tcPr>
                            <w:tcW w:w="736" w:type="dxa"/>
                            <w:noWrap/>
                            <w:hideMark/>
                          </w:tcPr>
                          <w:p w14:paraId="4A5066F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0,280</w:t>
                            </w:r>
                          </w:p>
                        </w:tc>
                        <w:tc>
                          <w:tcPr>
                            <w:tcW w:w="681" w:type="dxa"/>
                            <w:noWrap/>
                            <w:hideMark/>
                          </w:tcPr>
                          <w:p w14:paraId="098B4DF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1,506</w:t>
                            </w:r>
                          </w:p>
                        </w:tc>
                        <w:tc>
                          <w:tcPr>
                            <w:tcW w:w="545" w:type="dxa"/>
                            <w:noWrap/>
                            <w:hideMark/>
                          </w:tcPr>
                          <w:p w14:paraId="403A47E8"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0,137</w:t>
                            </w:r>
                          </w:p>
                        </w:tc>
                      </w:tr>
                      <w:tr w:rsidR="00164614" w:rsidRPr="0096266C" w14:paraId="79BE3D71" w14:textId="77777777" w:rsidTr="008E12F7">
                        <w:trPr>
                          <w:trHeight w:val="404"/>
                        </w:trPr>
                        <w:tc>
                          <w:tcPr>
                            <w:tcW w:w="736" w:type="dxa"/>
                            <w:noWrap/>
                            <w:hideMark/>
                          </w:tcPr>
                          <w:p w14:paraId="79AB3FAE"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CRT_7</w:t>
                            </w:r>
                          </w:p>
                        </w:tc>
                        <w:tc>
                          <w:tcPr>
                            <w:tcW w:w="658" w:type="dxa"/>
                            <w:noWrap/>
                            <w:hideMark/>
                          </w:tcPr>
                          <w:p w14:paraId="39B6FA6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BB06B5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0,108</w:t>
                            </w:r>
                          </w:p>
                        </w:tc>
                        <w:tc>
                          <w:tcPr>
                            <w:tcW w:w="658" w:type="dxa"/>
                            <w:noWrap/>
                            <w:hideMark/>
                          </w:tcPr>
                          <w:p w14:paraId="7A12344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0,208</w:t>
                            </w:r>
                          </w:p>
                        </w:tc>
                        <w:tc>
                          <w:tcPr>
                            <w:tcW w:w="658" w:type="dxa"/>
                            <w:noWrap/>
                            <w:hideMark/>
                          </w:tcPr>
                          <w:p w14:paraId="276D766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0,119</w:t>
                            </w:r>
                          </w:p>
                        </w:tc>
                        <w:tc>
                          <w:tcPr>
                            <w:tcW w:w="658" w:type="dxa"/>
                            <w:noWrap/>
                            <w:hideMark/>
                          </w:tcPr>
                          <w:p w14:paraId="2D64B7D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0,051</w:t>
                            </w:r>
                          </w:p>
                        </w:tc>
                        <w:tc>
                          <w:tcPr>
                            <w:tcW w:w="658" w:type="dxa"/>
                            <w:noWrap/>
                            <w:hideMark/>
                          </w:tcPr>
                          <w:p w14:paraId="0BEEA70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0,055</w:t>
                            </w:r>
                          </w:p>
                        </w:tc>
                        <w:tc>
                          <w:tcPr>
                            <w:tcW w:w="658" w:type="dxa"/>
                            <w:noWrap/>
                            <w:hideMark/>
                          </w:tcPr>
                          <w:p w14:paraId="5D8B6AAC"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0,066</w:t>
                            </w:r>
                          </w:p>
                        </w:tc>
                        <w:tc>
                          <w:tcPr>
                            <w:tcW w:w="658" w:type="dxa"/>
                            <w:noWrap/>
                            <w:hideMark/>
                          </w:tcPr>
                          <w:p w14:paraId="4888373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0,040</w:t>
                            </w:r>
                          </w:p>
                        </w:tc>
                        <w:tc>
                          <w:tcPr>
                            <w:tcW w:w="658" w:type="dxa"/>
                            <w:noWrap/>
                            <w:hideMark/>
                          </w:tcPr>
                          <w:p w14:paraId="2CBB97B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736" w:type="dxa"/>
                            <w:noWrap/>
                            <w:hideMark/>
                          </w:tcPr>
                          <w:p w14:paraId="33B92E8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736" w:type="dxa"/>
                            <w:noWrap/>
                            <w:hideMark/>
                          </w:tcPr>
                          <w:p w14:paraId="623B27C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0,056</w:t>
                            </w:r>
                          </w:p>
                        </w:tc>
                        <w:tc>
                          <w:tcPr>
                            <w:tcW w:w="681" w:type="dxa"/>
                            <w:noWrap/>
                            <w:hideMark/>
                          </w:tcPr>
                          <w:p w14:paraId="1272716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0,886</w:t>
                            </w:r>
                          </w:p>
                        </w:tc>
                        <w:tc>
                          <w:tcPr>
                            <w:tcW w:w="545" w:type="dxa"/>
                            <w:noWrap/>
                            <w:hideMark/>
                          </w:tcPr>
                          <w:p w14:paraId="4B759ABE"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0,081</w:t>
                            </w:r>
                          </w:p>
                        </w:tc>
                      </w:tr>
                      <w:tr w:rsidR="00164614" w:rsidRPr="0096266C" w14:paraId="43F0D805" w14:textId="77777777" w:rsidTr="008E12F7">
                        <w:trPr>
                          <w:trHeight w:val="404"/>
                        </w:trPr>
                        <w:tc>
                          <w:tcPr>
                            <w:tcW w:w="736" w:type="dxa"/>
                            <w:noWrap/>
                            <w:hideMark/>
                          </w:tcPr>
                          <w:p w14:paraId="124810C3"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CRT_8</w:t>
                            </w:r>
                          </w:p>
                        </w:tc>
                        <w:tc>
                          <w:tcPr>
                            <w:tcW w:w="658" w:type="dxa"/>
                            <w:noWrap/>
                            <w:hideMark/>
                          </w:tcPr>
                          <w:p w14:paraId="71B7D44A"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45817B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329292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0,044</w:t>
                            </w:r>
                          </w:p>
                        </w:tc>
                        <w:tc>
                          <w:tcPr>
                            <w:tcW w:w="658" w:type="dxa"/>
                            <w:noWrap/>
                            <w:hideMark/>
                          </w:tcPr>
                          <w:p w14:paraId="3C1031C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0,113</w:t>
                            </w:r>
                          </w:p>
                        </w:tc>
                        <w:tc>
                          <w:tcPr>
                            <w:tcW w:w="658" w:type="dxa"/>
                            <w:noWrap/>
                            <w:hideMark/>
                          </w:tcPr>
                          <w:p w14:paraId="5453ADB0"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0,054</w:t>
                            </w:r>
                          </w:p>
                        </w:tc>
                        <w:tc>
                          <w:tcPr>
                            <w:tcW w:w="658" w:type="dxa"/>
                            <w:noWrap/>
                            <w:hideMark/>
                          </w:tcPr>
                          <w:p w14:paraId="293B0A7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0,057</w:t>
                            </w:r>
                          </w:p>
                        </w:tc>
                        <w:tc>
                          <w:tcPr>
                            <w:tcW w:w="658" w:type="dxa"/>
                            <w:noWrap/>
                            <w:hideMark/>
                          </w:tcPr>
                          <w:p w14:paraId="590D1C5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67044C4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2AEE4AF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0,150</w:t>
                            </w:r>
                          </w:p>
                        </w:tc>
                        <w:tc>
                          <w:tcPr>
                            <w:tcW w:w="736" w:type="dxa"/>
                            <w:noWrap/>
                            <w:hideMark/>
                          </w:tcPr>
                          <w:p w14:paraId="12BF523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0,144</w:t>
                            </w:r>
                          </w:p>
                        </w:tc>
                        <w:tc>
                          <w:tcPr>
                            <w:tcW w:w="736" w:type="dxa"/>
                            <w:noWrap/>
                            <w:hideMark/>
                          </w:tcPr>
                          <w:p w14:paraId="50C1789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81" w:type="dxa"/>
                            <w:noWrap/>
                            <w:hideMark/>
                          </w:tcPr>
                          <w:p w14:paraId="293D3C8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1,026</w:t>
                            </w:r>
                          </w:p>
                        </w:tc>
                        <w:tc>
                          <w:tcPr>
                            <w:tcW w:w="545" w:type="dxa"/>
                            <w:noWrap/>
                            <w:hideMark/>
                          </w:tcPr>
                          <w:p w14:paraId="2D482644"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0,094</w:t>
                            </w:r>
                          </w:p>
                        </w:tc>
                      </w:tr>
                      <w:tr w:rsidR="00164614" w:rsidRPr="0096266C" w14:paraId="660A291C" w14:textId="77777777" w:rsidTr="008E12F7">
                        <w:trPr>
                          <w:trHeight w:val="404"/>
                        </w:trPr>
                        <w:tc>
                          <w:tcPr>
                            <w:tcW w:w="736" w:type="dxa"/>
                            <w:noWrap/>
                            <w:hideMark/>
                          </w:tcPr>
                          <w:p w14:paraId="099BFF14"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CRT_9</w:t>
                            </w:r>
                          </w:p>
                        </w:tc>
                        <w:tc>
                          <w:tcPr>
                            <w:tcW w:w="658" w:type="dxa"/>
                            <w:noWrap/>
                            <w:hideMark/>
                          </w:tcPr>
                          <w:p w14:paraId="40954BC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0,124</w:t>
                            </w:r>
                          </w:p>
                        </w:tc>
                        <w:tc>
                          <w:tcPr>
                            <w:tcW w:w="658" w:type="dxa"/>
                            <w:noWrap/>
                            <w:hideMark/>
                          </w:tcPr>
                          <w:p w14:paraId="3A88DCE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2F8F219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0,208</w:t>
                            </w:r>
                          </w:p>
                        </w:tc>
                        <w:tc>
                          <w:tcPr>
                            <w:tcW w:w="658" w:type="dxa"/>
                            <w:noWrap/>
                            <w:hideMark/>
                          </w:tcPr>
                          <w:p w14:paraId="2108AD5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0,027</w:t>
                            </w:r>
                          </w:p>
                        </w:tc>
                        <w:tc>
                          <w:tcPr>
                            <w:tcW w:w="658" w:type="dxa"/>
                            <w:noWrap/>
                            <w:hideMark/>
                          </w:tcPr>
                          <w:p w14:paraId="64EEDCB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noWrap/>
                            <w:hideMark/>
                          </w:tcPr>
                          <w:p w14:paraId="3A971B5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0,050</w:t>
                            </w:r>
                          </w:p>
                        </w:tc>
                        <w:tc>
                          <w:tcPr>
                            <w:tcW w:w="658" w:type="dxa"/>
                            <w:noWrap/>
                            <w:hideMark/>
                          </w:tcPr>
                          <w:p w14:paraId="5200F34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0981013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0,033</w:t>
                            </w:r>
                          </w:p>
                        </w:tc>
                        <w:tc>
                          <w:tcPr>
                            <w:tcW w:w="658" w:type="dxa"/>
                            <w:noWrap/>
                            <w:hideMark/>
                          </w:tcPr>
                          <w:p w14:paraId="35189DC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0,061</w:t>
                            </w:r>
                          </w:p>
                        </w:tc>
                        <w:tc>
                          <w:tcPr>
                            <w:tcW w:w="736" w:type="dxa"/>
                            <w:noWrap/>
                            <w:hideMark/>
                          </w:tcPr>
                          <w:p w14:paraId="0C6AC73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0,030</w:t>
                            </w:r>
                          </w:p>
                        </w:tc>
                        <w:tc>
                          <w:tcPr>
                            <w:tcW w:w="736" w:type="dxa"/>
                            <w:noWrap/>
                            <w:hideMark/>
                          </w:tcPr>
                          <w:p w14:paraId="776991F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81" w:type="dxa"/>
                            <w:noWrap/>
                            <w:hideMark/>
                          </w:tcPr>
                          <w:p w14:paraId="2810F29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0,839</w:t>
                            </w:r>
                          </w:p>
                        </w:tc>
                        <w:tc>
                          <w:tcPr>
                            <w:tcW w:w="545" w:type="dxa"/>
                            <w:noWrap/>
                            <w:hideMark/>
                          </w:tcPr>
                          <w:p w14:paraId="2D385B0F"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0,077</w:t>
                            </w:r>
                          </w:p>
                        </w:tc>
                      </w:tr>
                      <w:tr w:rsidR="00164614" w:rsidRPr="0096266C" w14:paraId="438A7702" w14:textId="77777777" w:rsidTr="008E12F7">
                        <w:trPr>
                          <w:trHeight w:val="404"/>
                        </w:trPr>
                        <w:tc>
                          <w:tcPr>
                            <w:tcW w:w="736" w:type="dxa"/>
                            <w:noWrap/>
                            <w:hideMark/>
                          </w:tcPr>
                          <w:p w14:paraId="2ED80F22"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CRT_10</w:t>
                            </w:r>
                          </w:p>
                        </w:tc>
                        <w:tc>
                          <w:tcPr>
                            <w:tcW w:w="658" w:type="dxa"/>
                            <w:noWrap/>
                            <w:hideMark/>
                          </w:tcPr>
                          <w:p w14:paraId="31C95DC6"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0,024</w:t>
                            </w:r>
                          </w:p>
                        </w:tc>
                        <w:tc>
                          <w:tcPr>
                            <w:tcW w:w="658" w:type="dxa"/>
                            <w:noWrap/>
                            <w:hideMark/>
                          </w:tcPr>
                          <w:p w14:paraId="151F4747"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noWrap/>
                            <w:hideMark/>
                          </w:tcPr>
                          <w:p w14:paraId="6BFE3A2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0,045</w:t>
                            </w:r>
                          </w:p>
                        </w:tc>
                        <w:tc>
                          <w:tcPr>
                            <w:tcW w:w="658" w:type="dxa"/>
                            <w:noWrap/>
                            <w:hideMark/>
                          </w:tcPr>
                          <w:p w14:paraId="130A797D"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13E35940"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58" w:type="dxa"/>
                            <w:noWrap/>
                            <w:hideMark/>
                          </w:tcPr>
                          <w:p w14:paraId="13E39F81"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0,052</w:t>
                            </w:r>
                          </w:p>
                        </w:tc>
                        <w:tc>
                          <w:tcPr>
                            <w:tcW w:w="658" w:type="dxa"/>
                            <w:noWrap/>
                            <w:hideMark/>
                          </w:tcPr>
                          <w:p w14:paraId="1E6AD4A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noWrap/>
                            <w:hideMark/>
                          </w:tcPr>
                          <w:p w14:paraId="036C0A3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0,034</w:t>
                            </w:r>
                          </w:p>
                        </w:tc>
                        <w:tc>
                          <w:tcPr>
                            <w:tcW w:w="658" w:type="dxa"/>
                            <w:noWrap/>
                            <w:hideMark/>
                          </w:tcPr>
                          <w:p w14:paraId="62D1B99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0,123</w:t>
                            </w:r>
                          </w:p>
                        </w:tc>
                        <w:tc>
                          <w:tcPr>
                            <w:tcW w:w="736" w:type="dxa"/>
                            <w:noWrap/>
                            <w:hideMark/>
                          </w:tcPr>
                          <w:p w14:paraId="22CB057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0,060</w:t>
                            </w:r>
                          </w:p>
                        </w:tc>
                        <w:tc>
                          <w:tcPr>
                            <w:tcW w:w="736" w:type="dxa"/>
                            <w:noWrap/>
                            <w:hideMark/>
                          </w:tcPr>
                          <w:p w14:paraId="619CA37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0,047</w:t>
                            </w:r>
                          </w:p>
                        </w:tc>
                        <w:tc>
                          <w:tcPr>
                            <w:tcW w:w="681" w:type="dxa"/>
                            <w:noWrap/>
                            <w:hideMark/>
                          </w:tcPr>
                          <w:p w14:paraId="513880F2"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0,779</w:t>
                            </w:r>
                          </w:p>
                        </w:tc>
                        <w:tc>
                          <w:tcPr>
                            <w:tcW w:w="545" w:type="dxa"/>
                            <w:noWrap/>
                            <w:hideMark/>
                          </w:tcPr>
                          <w:p w14:paraId="7FB7A6E4" w14:textId="77777777" w:rsidR="00164614" w:rsidRPr="0096266C" w:rsidRDefault="00164614" w:rsidP="0096266C">
                            <w:pPr>
                              <w:jc w:val="right"/>
                              <w:rPr>
                                <w:rFonts w:ascii="Arial" w:eastAsia="Times New Roman" w:hAnsi="Arial" w:cs="Arial"/>
                                <w:sz w:val="14"/>
                                <w:szCs w:val="14"/>
                                <w:lang w:eastAsia="en-ID"/>
                              </w:rPr>
                            </w:pPr>
                            <w:r w:rsidRPr="0096266C">
                              <w:rPr>
                                <w:rFonts w:ascii="Arial" w:eastAsia="Times New Roman" w:hAnsi="Arial" w:cs="Arial"/>
                                <w:sz w:val="14"/>
                                <w:szCs w:val="14"/>
                                <w:lang w:eastAsia="en-ID"/>
                              </w:rPr>
                              <w:t>0,071</w:t>
                            </w:r>
                          </w:p>
                        </w:tc>
                      </w:tr>
                      <w:tr w:rsidR="00164614" w:rsidRPr="0096266C" w14:paraId="5A0E7D74" w14:textId="77777777" w:rsidTr="008E12F7">
                        <w:trPr>
                          <w:trHeight w:val="404"/>
                        </w:trPr>
                        <w:tc>
                          <w:tcPr>
                            <w:tcW w:w="736" w:type="dxa"/>
                            <w:tcBorders>
                              <w:bottom w:val="single" w:sz="4" w:space="0" w:color="auto"/>
                            </w:tcBorders>
                            <w:noWrap/>
                            <w:hideMark/>
                          </w:tcPr>
                          <w:p w14:paraId="32045D12" w14:textId="77777777" w:rsidR="00164614" w:rsidRPr="0096266C" w:rsidRDefault="00164614" w:rsidP="0096266C">
                            <w:pPr>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CRT11</w:t>
                            </w:r>
                          </w:p>
                        </w:tc>
                        <w:tc>
                          <w:tcPr>
                            <w:tcW w:w="658" w:type="dxa"/>
                            <w:tcBorders>
                              <w:bottom w:val="single" w:sz="4" w:space="0" w:color="auto"/>
                            </w:tcBorders>
                            <w:noWrap/>
                            <w:hideMark/>
                          </w:tcPr>
                          <w:p w14:paraId="6C73511B"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0,028</w:t>
                            </w:r>
                          </w:p>
                        </w:tc>
                        <w:tc>
                          <w:tcPr>
                            <w:tcW w:w="658" w:type="dxa"/>
                            <w:tcBorders>
                              <w:bottom w:val="single" w:sz="4" w:space="0" w:color="auto"/>
                            </w:tcBorders>
                            <w:noWrap/>
                            <w:hideMark/>
                          </w:tcPr>
                          <w:p w14:paraId="1EFB6349"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0,080</w:t>
                            </w:r>
                          </w:p>
                        </w:tc>
                        <w:tc>
                          <w:tcPr>
                            <w:tcW w:w="658" w:type="dxa"/>
                            <w:tcBorders>
                              <w:bottom w:val="single" w:sz="4" w:space="0" w:color="auto"/>
                            </w:tcBorders>
                            <w:noWrap/>
                            <w:hideMark/>
                          </w:tcPr>
                          <w:p w14:paraId="2D1C9F5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0,191</w:t>
                            </w:r>
                          </w:p>
                        </w:tc>
                        <w:tc>
                          <w:tcPr>
                            <w:tcW w:w="658" w:type="dxa"/>
                            <w:tcBorders>
                              <w:bottom w:val="single" w:sz="4" w:space="0" w:color="auto"/>
                            </w:tcBorders>
                            <w:noWrap/>
                            <w:hideMark/>
                          </w:tcPr>
                          <w:p w14:paraId="3E19B2C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0,142</w:t>
                            </w:r>
                          </w:p>
                        </w:tc>
                        <w:tc>
                          <w:tcPr>
                            <w:tcW w:w="658" w:type="dxa"/>
                            <w:tcBorders>
                              <w:bottom w:val="single" w:sz="4" w:space="0" w:color="auto"/>
                            </w:tcBorders>
                            <w:noWrap/>
                            <w:hideMark/>
                          </w:tcPr>
                          <w:p w14:paraId="7AED7FBE"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0,272</w:t>
                            </w:r>
                          </w:p>
                        </w:tc>
                        <w:tc>
                          <w:tcPr>
                            <w:tcW w:w="658" w:type="dxa"/>
                            <w:tcBorders>
                              <w:bottom w:val="single" w:sz="4" w:space="0" w:color="auto"/>
                            </w:tcBorders>
                            <w:noWrap/>
                            <w:hideMark/>
                          </w:tcPr>
                          <w:p w14:paraId="044AA658"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0,050</w:t>
                            </w:r>
                          </w:p>
                        </w:tc>
                        <w:tc>
                          <w:tcPr>
                            <w:tcW w:w="658" w:type="dxa"/>
                            <w:tcBorders>
                              <w:bottom w:val="single" w:sz="4" w:space="0" w:color="auto"/>
                            </w:tcBorders>
                            <w:noWrap/>
                            <w:hideMark/>
                          </w:tcPr>
                          <w:p w14:paraId="3EDC3D6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0,134</w:t>
                            </w:r>
                          </w:p>
                        </w:tc>
                        <w:tc>
                          <w:tcPr>
                            <w:tcW w:w="658" w:type="dxa"/>
                            <w:tcBorders>
                              <w:bottom w:val="single" w:sz="4" w:space="0" w:color="auto"/>
                            </w:tcBorders>
                            <w:noWrap/>
                            <w:hideMark/>
                          </w:tcPr>
                          <w:p w14:paraId="222D9F6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0,193</w:t>
                            </w:r>
                          </w:p>
                        </w:tc>
                        <w:tc>
                          <w:tcPr>
                            <w:tcW w:w="658" w:type="dxa"/>
                            <w:tcBorders>
                              <w:bottom w:val="single" w:sz="4" w:space="0" w:color="auto"/>
                            </w:tcBorders>
                            <w:noWrap/>
                            <w:hideMark/>
                          </w:tcPr>
                          <w:p w14:paraId="4B48B7E3"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0,146</w:t>
                            </w:r>
                          </w:p>
                        </w:tc>
                        <w:tc>
                          <w:tcPr>
                            <w:tcW w:w="736" w:type="dxa"/>
                            <w:tcBorders>
                              <w:bottom w:val="single" w:sz="4" w:space="0" w:color="auto"/>
                            </w:tcBorders>
                            <w:noWrap/>
                            <w:hideMark/>
                          </w:tcPr>
                          <w:p w14:paraId="3FC36345"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0,145</w:t>
                            </w:r>
                          </w:p>
                        </w:tc>
                        <w:tc>
                          <w:tcPr>
                            <w:tcW w:w="736" w:type="dxa"/>
                            <w:tcBorders>
                              <w:bottom w:val="single" w:sz="4" w:space="0" w:color="auto"/>
                            </w:tcBorders>
                            <w:noWrap/>
                            <w:hideMark/>
                          </w:tcPr>
                          <w:p w14:paraId="45C425CF"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0,113</w:t>
                            </w:r>
                          </w:p>
                        </w:tc>
                        <w:tc>
                          <w:tcPr>
                            <w:tcW w:w="681" w:type="dxa"/>
                            <w:tcBorders>
                              <w:bottom w:val="single" w:sz="4" w:space="0" w:color="auto"/>
                            </w:tcBorders>
                            <w:noWrap/>
                            <w:hideMark/>
                          </w:tcPr>
                          <w:p w14:paraId="10EB4494" w14:textId="77777777" w:rsidR="00164614" w:rsidRPr="0096266C" w:rsidRDefault="00164614" w:rsidP="0096266C">
                            <w:pPr>
                              <w:jc w:val="right"/>
                              <w:rPr>
                                <w:rFonts w:ascii="Arial" w:eastAsia="Times New Roman" w:hAnsi="Arial" w:cs="Arial"/>
                                <w:color w:val="000000"/>
                                <w:sz w:val="14"/>
                                <w:szCs w:val="14"/>
                                <w:lang w:eastAsia="en-ID"/>
                              </w:rPr>
                            </w:pPr>
                            <w:r w:rsidRPr="0096266C">
                              <w:rPr>
                                <w:rFonts w:ascii="Arial" w:eastAsia="Times New Roman" w:hAnsi="Arial" w:cs="Arial"/>
                                <w:color w:val="000000"/>
                                <w:sz w:val="14"/>
                                <w:szCs w:val="14"/>
                                <w:lang w:eastAsia="en-ID"/>
                              </w:rPr>
                              <w:t>1,494</w:t>
                            </w:r>
                          </w:p>
                        </w:tc>
                        <w:tc>
                          <w:tcPr>
                            <w:tcW w:w="545" w:type="dxa"/>
                            <w:tcBorders>
                              <w:bottom w:val="single" w:sz="4" w:space="0" w:color="auto"/>
                            </w:tcBorders>
                            <w:noWrap/>
                            <w:hideMark/>
                          </w:tcPr>
                          <w:p w14:paraId="2CB29518" w14:textId="77777777" w:rsidR="00164614" w:rsidRPr="0096266C" w:rsidRDefault="00164614" w:rsidP="0096266C">
                            <w:pPr>
                              <w:jc w:val="right"/>
                              <w:rPr>
                                <w:rFonts w:ascii="Arial" w:eastAsia="Times New Roman" w:hAnsi="Arial" w:cs="Arial"/>
                                <w:b/>
                                <w:bCs/>
                                <w:sz w:val="14"/>
                                <w:szCs w:val="14"/>
                                <w:lang w:eastAsia="en-ID"/>
                              </w:rPr>
                            </w:pPr>
                            <w:r w:rsidRPr="0096266C">
                              <w:rPr>
                                <w:rFonts w:ascii="Arial" w:eastAsia="Times New Roman" w:hAnsi="Arial" w:cs="Arial"/>
                                <w:b/>
                                <w:bCs/>
                                <w:sz w:val="14"/>
                                <w:szCs w:val="14"/>
                                <w:lang w:eastAsia="en-ID"/>
                              </w:rPr>
                              <w:t>0,136</w:t>
                            </w:r>
                          </w:p>
                        </w:tc>
                      </w:tr>
                    </w:tbl>
                    <w:p w14:paraId="78EFACC5" w14:textId="77777777" w:rsidR="00164614" w:rsidRDefault="00164614" w:rsidP="00164614">
                      <w:pPr>
                        <w:ind w:left="0" w:hanging="2"/>
                      </w:pPr>
                    </w:p>
                  </w:txbxContent>
                </v:textbox>
                <w10:wrap anchorx="margin"/>
              </v:shape>
            </w:pict>
          </mc:Fallback>
        </mc:AlternateContent>
      </w:r>
    </w:p>
    <w:p w14:paraId="58647978" w14:textId="521AD408" w:rsidR="00164614" w:rsidRDefault="00164614" w:rsidP="00953AE5">
      <w:pPr>
        <w:spacing w:after="0" w:line="240" w:lineRule="auto"/>
        <w:ind w:left="0" w:hanging="2"/>
        <w:jc w:val="both"/>
        <w:rPr>
          <w:rFonts w:ascii="Arial" w:hAnsi="Arial" w:cs="Arial"/>
          <w:sz w:val="20"/>
          <w:szCs w:val="20"/>
        </w:rPr>
      </w:pPr>
    </w:p>
    <w:p w14:paraId="27B12B86" w14:textId="13D52195" w:rsidR="00164614" w:rsidRDefault="00164614" w:rsidP="00953AE5">
      <w:pPr>
        <w:spacing w:after="0" w:line="240" w:lineRule="auto"/>
        <w:ind w:left="0" w:hanging="2"/>
        <w:jc w:val="both"/>
        <w:rPr>
          <w:rFonts w:ascii="Arial" w:hAnsi="Arial" w:cs="Arial"/>
          <w:sz w:val="20"/>
          <w:szCs w:val="20"/>
        </w:rPr>
      </w:pPr>
    </w:p>
    <w:p w14:paraId="6239FC09" w14:textId="040D9EAF" w:rsidR="00164614" w:rsidRDefault="00164614" w:rsidP="00953AE5">
      <w:pPr>
        <w:spacing w:after="0" w:line="240" w:lineRule="auto"/>
        <w:ind w:left="0" w:hanging="2"/>
        <w:jc w:val="both"/>
        <w:rPr>
          <w:rFonts w:ascii="Arial" w:hAnsi="Arial" w:cs="Arial"/>
          <w:sz w:val="20"/>
          <w:szCs w:val="20"/>
        </w:rPr>
      </w:pPr>
    </w:p>
    <w:p w14:paraId="7DF1003F" w14:textId="0E66F561" w:rsidR="00164614" w:rsidRDefault="00164614" w:rsidP="00953AE5">
      <w:pPr>
        <w:spacing w:after="0" w:line="240" w:lineRule="auto"/>
        <w:ind w:left="0" w:hanging="2"/>
        <w:jc w:val="both"/>
        <w:rPr>
          <w:rFonts w:ascii="Arial" w:hAnsi="Arial" w:cs="Arial"/>
          <w:sz w:val="20"/>
          <w:szCs w:val="20"/>
        </w:rPr>
      </w:pPr>
    </w:p>
    <w:p w14:paraId="1364D17E" w14:textId="77777777" w:rsidR="00164614" w:rsidRDefault="00164614" w:rsidP="00953AE5">
      <w:pPr>
        <w:spacing w:after="0" w:line="240" w:lineRule="auto"/>
        <w:ind w:left="0" w:hanging="2"/>
        <w:jc w:val="both"/>
        <w:rPr>
          <w:rFonts w:ascii="Arial" w:hAnsi="Arial" w:cs="Arial"/>
          <w:sz w:val="20"/>
          <w:szCs w:val="20"/>
        </w:rPr>
      </w:pPr>
    </w:p>
    <w:p w14:paraId="3CDAC628" w14:textId="5B9B2756" w:rsidR="00164614" w:rsidRDefault="00164614" w:rsidP="00953AE5">
      <w:pPr>
        <w:spacing w:after="0" w:line="240" w:lineRule="auto"/>
        <w:ind w:left="0" w:hanging="2"/>
        <w:jc w:val="both"/>
        <w:rPr>
          <w:rFonts w:ascii="Arial" w:hAnsi="Arial" w:cs="Arial"/>
          <w:sz w:val="20"/>
          <w:szCs w:val="20"/>
        </w:rPr>
      </w:pPr>
    </w:p>
    <w:p w14:paraId="4116F1C8" w14:textId="77777777" w:rsidR="00164614" w:rsidRDefault="00164614" w:rsidP="00953AE5">
      <w:pPr>
        <w:spacing w:after="0" w:line="240" w:lineRule="auto"/>
        <w:ind w:left="0" w:hanging="2"/>
        <w:jc w:val="both"/>
        <w:rPr>
          <w:rFonts w:ascii="Arial" w:hAnsi="Arial" w:cs="Arial"/>
          <w:sz w:val="20"/>
          <w:szCs w:val="20"/>
        </w:rPr>
      </w:pPr>
    </w:p>
    <w:p w14:paraId="2E600198" w14:textId="77777777" w:rsidR="00164614" w:rsidRDefault="00164614" w:rsidP="00953AE5">
      <w:pPr>
        <w:spacing w:after="0" w:line="240" w:lineRule="auto"/>
        <w:ind w:left="0" w:hanging="2"/>
        <w:jc w:val="both"/>
        <w:rPr>
          <w:rFonts w:ascii="Arial" w:hAnsi="Arial" w:cs="Arial"/>
          <w:sz w:val="20"/>
          <w:szCs w:val="20"/>
        </w:rPr>
      </w:pPr>
    </w:p>
    <w:p w14:paraId="49CDB994" w14:textId="77777777" w:rsidR="00164614" w:rsidRDefault="00164614" w:rsidP="00953AE5">
      <w:pPr>
        <w:spacing w:after="0" w:line="240" w:lineRule="auto"/>
        <w:ind w:left="0" w:hanging="2"/>
        <w:jc w:val="both"/>
        <w:rPr>
          <w:rFonts w:ascii="Arial" w:hAnsi="Arial" w:cs="Arial"/>
          <w:sz w:val="20"/>
          <w:szCs w:val="20"/>
        </w:rPr>
      </w:pPr>
    </w:p>
    <w:p w14:paraId="052DF60B" w14:textId="77777777" w:rsidR="00164614" w:rsidRDefault="00164614" w:rsidP="00953AE5">
      <w:pPr>
        <w:spacing w:after="0" w:line="240" w:lineRule="auto"/>
        <w:ind w:left="0" w:hanging="2"/>
        <w:jc w:val="both"/>
        <w:rPr>
          <w:rFonts w:ascii="Arial" w:hAnsi="Arial" w:cs="Arial"/>
          <w:sz w:val="20"/>
          <w:szCs w:val="20"/>
        </w:rPr>
      </w:pPr>
    </w:p>
    <w:p w14:paraId="1C6D158B" w14:textId="77777777" w:rsidR="00164614" w:rsidRDefault="00164614" w:rsidP="00953AE5">
      <w:pPr>
        <w:spacing w:after="0" w:line="240" w:lineRule="auto"/>
        <w:ind w:left="0" w:hanging="2"/>
        <w:jc w:val="both"/>
        <w:rPr>
          <w:rFonts w:ascii="Arial" w:hAnsi="Arial" w:cs="Arial"/>
          <w:sz w:val="20"/>
          <w:szCs w:val="20"/>
        </w:rPr>
      </w:pPr>
    </w:p>
    <w:p w14:paraId="766B204C" w14:textId="77777777" w:rsidR="00164614" w:rsidRDefault="00164614" w:rsidP="00953AE5">
      <w:pPr>
        <w:spacing w:after="0" w:line="240" w:lineRule="auto"/>
        <w:ind w:left="0" w:hanging="2"/>
        <w:jc w:val="both"/>
        <w:rPr>
          <w:rFonts w:ascii="Arial" w:hAnsi="Arial" w:cs="Arial"/>
          <w:sz w:val="20"/>
          <w:szCs w:val="20"/>
        </w:rPr>
      </w:pPr>
    </w:p>
    <w:p w14:paraId="01735FF4" w14:textId="77777777" w:rsidR="00164614" w:rsidRDefault="00164614" w:rsidP="00953AE5">
      <w:pPr>
        <w:spacing w:after="0" w:line="240" w:lineRule="auto"/>
        <w:ind w:left="0" w:hanging="2"/>
        <w:jc w:val="both"/>
        <w:rPr>
          <w:rFonts w:ascii="Arial" w:hAnsi="Arial" w:cs="Arial"/>
          <w:sz w:val="20"/>
          <w:szCs w:val="20"/>
        </w:rPr>
      </w:pPr>
    </w:p>
    <w:p w14:paraId="7CD9064D" w14:textId="77777777" w:rsidR="00164614" w:rsidRDefault="00164614" w:rsidP="00953AE5">
      <w:pPr>
        <w:spacing w:after="0" w:line="240" w:lineRule="auto"/>
        <w:ind w:left="0" w:hanging="2"/>
        <w:jc w:val="both"/>
        <w:rPr>
          <w:rFonts w:ascii="Arial" w:hAnsi="Arial" w:cs="Arial"/>
          <w:sz w:val="20"/>
          <w:szCs w:val="20"/>
        </w:rPr>
      </w:pPr>
    </w:p>
    <w:p w14:paraId="52785AA5" w14:textId="36E82952" w:rsidR="00164614" w:rsidRDefault="00164614" w:rsidP="00953AE5">
      <w:pPr>
        <w:spacing w:after="0" w:line="240" w:lineRule="auto"/>
        <w:ind w:left="0" w:hanging="2"/>
        <w:jc w:val="both"/>
        <w:rPr>
          <w:rFonts w:ascii="Arial" w:hAnsi="Arial" w:cs="Arial"/>
          <w:sz w:val="20"/>
          <w:szCs w:val="20"/>
        </w:rPr>
      </w:pPr>
    </w:p>
    <w:p w14:paraId="0386081C" w14:textId="47F1BB11" w:rsidR="00164614" w:rsidRDefault="00164614" w:rsidP="00953AE5">
      <w:pPr>
        <w:spacing w:after="0" w:line="240" w:lineRule="auto"/>
        <w:ind w:left="0" w:hanging="2"/>
        <w:jc w:val="both"/>
        <w:rPr>
          <w:rFonts w:ascii="Arial" w:hAnsi="Arial" w:cs="Arial"/>
          <w:sz w:val="20"/>
          <w:szCs w:val="20"/>
        </w:rPr>
      </w:pPr>
    </w:p>
    <w:p w14:paraId="1FA24B0D" w14:textId="77777777" w:rsidR="00164614" w:rsidRDefault="00164614" w:rsidP="00953AE5">
      <w:pPr>
        <w:spacing w:after="0" w:line="240" w:lineRule="auto"/>
        <w:ind w:left="0" w:hanging="2"/>
        <w:jc w:val="both"/>
        <w:rPr>
          <w:rFonts w:ascii="Arial" w:hAnsi="Arial" w:cs="Arial"/>
          <w:sz w:val="20"/>
          <w:szCs w:val="20"/>
        </w:rPr>
      </w:pPr>
    </w:p>
    <w:p w14:paraId="4C90FB75" w14:textId="77777777" w:rsidR="00164614" w:rsidRDefault="00164614" w:rsidP="00953AE5">
      <w:pPr>
        <w:spacing w:after="0" w:line="240" w:lineRule="auto"/>
        <w:ind w:left="0" w:hanging="2"/>
        <w:jc w:val="both"/>
        <w:rPr>
          <w:rFonts w:ascii="Arial" w:hAnsi="Arial" w:cs="Arial"/>
          <w:sz w:val="20"/>
          <w:szCs w:val="20"/>
        </w:rPr>
      </w:pPr>
    </w:p>
    <w:p w14:paraId="6463682C" w14:textId="77777777" w:rsidR="00164614" w:rsidRDefault="00164614" w:rsidP="00953AE5">
      <w:pPr>
        <w:spacing w:after="0" w:line="240" w:lineRule="auto"/>
        <w:ind w:left="0" w:hanging="2"/>
        <w:jc w:val="both"/>
        <w:rPr>
          <w:rFonts w:ascii="Arial" w:hAnsi="Arial" w:cs="Arial"/>
          <w:sz w:val="20"/>
          <w:szCs w:val="20"/>
        </w:rPr>
      </w:pPr>
    </w:p>
    <w:p w14:paraId="25637C76" w14:textId="77777777" w:rsidR="00164614" w:rsidRDefault="00164614" w:rsidP="00953AE5">
      <w:pPr>
        <w:spacing w:after="0" w:line="240" w:lineRule="auto"/>
        <w:ind w:left="0" w:hanging="2"/>
        <w:jc w:val="both"/>
        <w:rPr>
          <w:rFonts w:ascii="Arial" w:hAnsi="Arial" w:cs="Arial"/>
          <w:sz w:val="20"/>
          <w:szCs w:val="20"/>
        </w:rPr>
      </w:pPr>
    </w:p>
    <w:p w14:paraId="76BD2399" w14:textId="79352EB0" w:rsidR="00AB52E8" w:rsidRDefault="00AB52E8"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The regulatory system is a strength factor </w:t>
      </w:r>
      <w:r>
        <w:rPr>
          <w:rFonts w:ascii="Arial" w:hAnsi="Arial" w:cs="Arial"/>
          <w:sz w:val="20"/>
          <w:szCs w:val="20"/>
        </w:rPr>
        <w:t>with</w:t>
      </w:r>
      <w:r w:rsidRPr="00892158">
        <w:rPr>
          <w:rFonts w:ascii="Arial" w:hAnsi="Arial" w:cs="Arial"/>
          <w:sz w:val="20"/>
          <w:szCs w:val="20"/>
        </w:rPr>
        <w:t xml:space="preserve"> the highest value for promoting and improving renewable energy technologies because it significantly influences the energy framework and aims to provide the energy market with competitive advantages </w:t>
      </w:r>
      <w:r w:rsidRPr="00892158">
        <w:rPr>
          <w:rFonts w:ascii="Arial" w:hAnsi="Arial" w:cs="Arial"/>
          <w:sz w:val="20"/>
          <w:szCs w:val="20"/>
        </w:rPr>
        <w:fldChar w:fldCharType="begin" w:fldLock="1"/>
      </w:r>
      <w:r>
        <w:rPr>
          <w:rFonts w:ascii="Arial" w:hAnsi="Arial" w:cs="Arial"/>
          <w:sz w:val="20"/>
          <w:szCs w:val="20"/>
        </w:rPr>
        <w:instrText>ADDIN CSL_CITATION {"citationItems":[{"id":"ITEM-1","itemData":{"DOI":"10.3390/su13126620","author":[{"dropping-particle":"","family":"Ardila-Rey","given":"Ridoan Karim; Firdaus Muhammad-Sukki; Mina Hemmati; Md Shah Newaz; Haroon Farooq; Mohd Nabil Muhtazaruddin; Muhammad Zulkipli; and Jorge Alfredo","non-dropping-particle":"","parse-names":false,"suffix":""}],"container-title":"Sustainability","id":"ITEM-1","issue":"June","issued":{"date-parts":[["2021"]]},"page":"1-31","title":"RETRACTED: Paving towards Strategic Investment Decision: A SWOT Analysis of Renewable Energy in Bangladesh","type":"article-journal","volume":"13"},"uris":["http://www.mendeley.com/documents/?uuid=49313403-b506-47a3-bb81-db53835d90cf"]}],"mendeley":{"formattedCitation":"[39]","plainTextFormattedCitation":"[39]","previouslyFormattedCitation":"[39]"},"properties":{"noteIndex":0},"schema":"https://github.com/citation-style-language/schema/raw/master/csl-citation.json"}</w:instrText>
      </w:r>
      <w:r w:rsidRPr="00892158">
        <w:rPr>
          <w:rFonts w:ascii="Arial" w:hAnsi="Arial" w:cs="Arial"/>
          <w:sz w:val="20"/>
          <w:szCs w:val="20"/>
        </w:rPr>
        <w:fldChar w:fldCharType="separate"/>
      </w:r>
      <w:r w:rsidRPr="00892158">
        <w:rPr>
          <w:rFonts w:ascii="Arial" w:hAnsi="Arial" w:cs="Arial"/>
          <w:noProof/>
          <w:sz w:val="20"/>
          <w:szCs w:val="20"/>
        </w:rPr>
        <w:t>[39]</w:t>
      </w:r>
      <w:r w:rsidRPr="00892158">
        <w:rPr>
          <w:rFonts w:ascii="Arial" w:hAnsi="Arial" w:cs="Arial"/>
          <w:sz w:val="20"/>
          <w:szCs w:val="20"/>
        </w:rPr>
        <w:fldChar w:fldCharType="end"/>
      </w:r>
      <w:r w:rsidRPr="00892158">
        <w:rPr>
          <w:rFonts w:ascii="Arial" w:hAnsi="Arial" w:cs="Arial"/>
          <w:sz w:val="20"/>
          <w:szCs w:val="20"/>
        </w:rPr>
        <w:t xml:space="preserve">. Another study suggests India’s advantage stems from its </w:t>
      </w:r>
      <w:r w:rsidRPr="00892158">
        <w:rPr>
          <w:rFonts w:ascii="Arial" w:hAnsi="Arial" w:cs="Arial"/>
          <w:sz w:val="20"/>
          <w:szCs w:val="20"/>
        </w:rPr>
        <w:t xml:space="preserve">extensive potato farming, which provides an easily accessible and potentially sustainable fuel for ethanol production. </w:t>
      </w:r>
      <w:r w:rsidR="0096266C" w:rsidRPr="00892158">
        <w:rPr>
          <w:rFonts w:ascii="Arial" w:hAnsi="Arial" w:cs="Arial"/>
          <w:sz w:val="20"/>
          <w:szCs w:val="20"/>
        </w:rPr>
        <w:t xml:space="preserve">The country </w:t>
      </w:r>
      <w:r w:rsidR="0096266C">
        <w:rPr>
          <w:rFonts w:ascii="Arial" w:hAnsi="Arial" w:cs="Arial"/>
          <w:sz w:val="20"/>
          <w:szCs w:val="20"/>
        </w:rPr>
        <w:t>shows</w:t>
      </w:r>
      <w:r w:rsidR="0096266C" w:rsidRPr="00892158">
        <w:rPr>
          <w:rFonts w:ascii="Arial" w:hAnsi="Arial" w:cs="Arial"/>
          <w:sz w:val="20"/>
          <w:szCs w:val="20"/>
        </w:rPr>
        <w:t xml:space="preserve"> </w:t>
      </w:r>
      <w:r w:rsidR="0096266C">
        <w:rPr>
          <w:rFonts w:ascii="Arial" w:hAnsi="Arial" w:cs="Arial"/>
          <w:sz w:val="20"/>
          <w:szCs w:val="20"/>
        </w:rPr>
        <w:t xml:space="preserve">an </w:t>
      </w:r>
      <w:r w:rsidR="0096266C" w:rsidRPr="00892158">
        <w:rPr>
          <w:rFonts w:ascii="Arial" w:hAnsi="Arial" w:cs="Arial"/>
          <w:sz w:val="20"/>
          <w:szCs w:val="20"/>
        </w:rPr>
        <w:t xml:space="preserve">increasing demand for renewable </w:t>
      </w:r>
      <w:r w:rsidR="00164614">
        <w:rPr>
          <w:rFonts w:ascii="Arial" w:hAnsi="Arial" w:cs="Arial"/>
          <w:sz w:val="20"/>
          <w:szCs w:val="20"/>
        </w:rPr>
        <w:t xml:space="preserve">  </w:t>
      </w:r>
      <w:r w:rsidR="0096266C" w:rsidRPr="00892158">
        <w:rPr>
          <w:rFonts w:ascii="Arial" w:hAnsi="Arial" w:cs="Arial"/>
          <w:sz w:val="20"/>
          <w:szCs w:val="20"/>
        </w:rPr>
        <w:t xml:space="preserve">fuels </w:t>
      </w:r>
      <w:r w:rsidR="00164614">
        <w:rPr>
          <w:rFonts w:ascii="Arial" w:hAnsi="Arial" w:cs="Arial"/>
          <w:sz w:val="20"/>
          <w:szCs w:val="20"/>
        </w:rPr>
        <w:t xml:space="preserve">  </w:t>
      </w:r>
      <w:r w:rsidR="0096266C" w:rsidRPr="00892158">
        <w:rPr>
          <w:rFonts w:ascii="Arial" w:hAnsi="Arial" w:cs="Arial"/>
          <w:sz w:val="20"/>
          <w:szCs w:val="20"/>
        </w:rPr>
        <w:t xml:space="preserve">and </w:t>
      </w:r>
      <w:r w:rsidR="00164614">
        <w:rPr>
          <w:rFonts w:ascii="Arial" w:hAnsi="Arial" w:cs="Arial"/>
          <w:sz w:val="20"/>
          <w:szCs w:val="20"/>
        </w:rPr>
        <w:t xml:space="preserve">  </w:t>
      </w:r>
      <w:r w:rsidR="0096266C" w:rsidRPr="00892158">
        <w:rPr>
          <w:rFonts w:ascii="Arial" w:hAnsi="Arial" w:cs="Arial"/>
          <w:sz w:val="20"/>
          <w:szCs w:val="20"/>
        </w:rPr>
        <w:t xml:space="preserve">has </w:t>
      </w:r>
      <w:r w:rsidR="00164614">
        <w:rPr>
          <w:rFonts w:ascii="Arial" w:hAnsi="Arial" w:cs="Arial"/>
          <w:sz w:val="20"/>
          <w:szCs w:val="20"/>
        </w:rPr>
        <w:t xml:space="preserve"> </w:t>
      </w:r>
      <w:r w:rsidR="0096266C" w:rsidRPr="00892158">
        <w:rPr>
          <w:rFonts w:ascii="Arial" w:hAnsi="Arial" w:cs="Arial"/>
          <w:sz w:val="20"/>
          <w:szCs w:val="20"/>
        </w:rPr>
        <w:t xml:space="preserve">a </w:t>
      </w:r>
      <w:r w:rsidR="00164614">
        <w:rPr>
          <w:rFonts w:ascii="Arial" w:hAnsi="Arial" w:cs="Arial"/>
          <w:sz w:val="20"/>
          <w:szCs w:val="20"/>
        </w:rPr>
        <w:t xml:space="preserve">  </w:t>
      </w:r>
      <w:r w:rsidR="0096266C" w:rsidRPr="00892158">
        <w:rPr>
          <w:rFonts w:ascii="Arial" w:hAnsi="Arial" w:cs="Arial"/>
          <w:sz w:val="20"/>
          <w:szCs w:val="20"/>
        </w:rPr>
        <w:t xml:space="preserve">well-established </w:t>
      </w:r>
      <w:r>
        <w:rPr>
          <w:rFonts w:ascii="Arial" w:hAnsi="Arial" w:cs="Arial"/>
          <w:sz w:val="20"/>
          <w:szCs w:val="20"/>
        </w:rPr>
        <w:t xml:space="preserve"> </w:t>
      </w:r>
      <w:r w:rsidR="0096266C" w:rsidRPr="00892158">
        <w:rPr>
          <w:rFonts w:ascii="Arial" w:hAnsi="Arial" w:cs="Arial"/>
          <w:sz w:val="20"/>
          <w:szCs w:val="20"/>
        </w:rPr>
        <w:t xml:space="preserve">agricultural sector capable of supporting bioethanol production </w:t>
      </w:r>
      <w:r w:rsidR="0096266C" w:rsidRPr="00892158">
        <w:rPr>
          <w:rFonts w:ascii="Arial" w:hAnsi="Arial" w:cs="Arial"/>
          <w:sz w:val="20"/>
          <w:szCs w:val="20"/>
        </w:rPr>
        <w:fldChar w:fldCharType="begin" w:fldLock="1"/>
      </w:r>
      <w:r w:rsidR="00253AC2">
        <w:rPr>
          <w:rFonts w:ascii="Arial" w:hAnsi="Arial" w:cs="Arial"/>
          <w:sz w:val="20"/>
          <w:szCs w:val="20"/>
        </w:rPr>
        <w:instrText>ADDIN CSL_CITATION {"citationItems":[{"id":"ITEM-1","itemData":{"DOI":"10.1016/j.heliyon.2024.e40677","ISSN":"2405-8440","author":[{"dropping-particle":"","family":"Kumar","given":"Dharmendra","non-dropping-particle":"","parse-names":false,"suffix":""},{"dropping-particle":"","family":"Dutt","given":"Som","non-dropping-particle":"","parse-names":false,"suffix":""},{"dropping-particle":"","family":"Kumar","given":"Arvind","non-dropping-particle":"","parse-names":false,"suffix":""},{"dropping-particle":"","family":"Kaundal","given":"Bandana","non-dropping-particle":"","parse-names":false,"suffix":""}],"container-title":"Heliyon","id":"ITEM-1","issue":"23","issued":{"date-parts":[["2024"]]},"page":"e40677","publisher":"Elsevier Ltd","title":"Heliyon Bioethanol production from potatoes in India : A SWOT analysis","type":"article-journal","volume":"10"},"uris":["http://www.mendeley.com/documents/?uuid=148f7404-853a-4584-8b5b-20c8c123e80b"]}],"mendeley":{"formattedCitation":"[40]","plainTextFormattedCitation":"[40]","previouslyFormattedCitation":"[40]"},"properties":{"noteIndex":0},"schema":"https://github.com/citation-style-language/schema/raw/master/csl-citation.json"}</w:instrText>
      </w:r>
      <w:r w:rsidR="0096266C" w:rsidRPr="00892158">
        <w:rPr>
          <w:rFonts w:ascii="Arial" w:hAnsi="Arial" w:cs="Arial"/>
          <w:sz w:val="20"/>
          <w:szCs w:val="20"/>
        </w:rPr>
        <w:fldChar w:fldCharType="separate"/>
      </w:r>
      <w:r w:rsidR="0096266C" w:rsidRPr="00892158">
        <w:rPr>
          <w:rFonts w:ascii="Arial" w:hAnsi="Arial" w:cs="Arial"/>
          <w:noProof/>
          <w:sz w:val="20"/>
          <w:szCs w:val="20"/>
        </w:rPr>
        <w:t>[40]</w:t>
      </w:r>
      <w:r w:rsidR="0096266C" w:rsidRPr="00892158">
        <w:rPr>
          <w:rFonts w:ascii="Arial" w:hAnsi="Arial" w:cs="Arial"/>
          <w:sz w:val="20"/>
          <w:szCs w:val="20"/>
        </w:rPr>
        <w:fldChar w:fldCharType="end"/>
      </w:r>
      <w:r w:rsidR="0096266C" w:rsidRPr="00892158">
        <w:rPr>
          <w:rFonts w:ascii="Arial" w:hAnsi="Arial" w:cs="Arial"/>
          <w:sz w:val="20"/>
          <w:szCs w:val="20"/>
        </w:rPr>
        <w:t xml:space="preserve">. In addition, according to the </w:t>
      </w:r>
      <w:r w:rsidR="0096266C">
        <w:rPr>
          <w:rFonts w:ascii="Arial" w:hAnsi="Arial" w:cs="Arial"/>
          <w:sz w:val="20"/>
          <w:szCs w:val="20"/>
        </w:rPr>
        <w:t>SWOT analysis finding</w:t>
      </w:r>
      <w:r w:rsidR="0096266C" w:rsidRPr="00892158">
        <w:rPr>
          <w:rFonts w:ascii="Arial" w:hAnsi="Arial" w:cs="Arial"/>
          <w:sz w:val="20"/>
          <w:szCs w:val="20"/>
        </w:rPr>
        <w:t xml:space="preserve">s, the main strengths of the biofuel market in Ukraine include </w:t>
      </w:r>
      <w:proofErr w:type="gramStart"/>
      <w:r w:rsidR="0096266C" w:rsidRPr="00892158">
        <w:rPr>
          <w:rFonts w:ascii="Arial" w:hAnsi="Arial" w:cs="Arial"/>
          <w:sz w:val="20"/>
          <w:szCs w:val="20"/>
        </w:rPr>
        <w:t xml:space="preserve">biomass </w:t>
      </w:r>
      <w:r>
        <w:rPr>
          <w:rFonts w:ascii="Arial" w:hAnsi="Arial" w:cs="Arial"/>
          <w:sz w:val="20"/>
          <w:szCs w:val="20"/>
        </w:rPr>
        <w:t xml:space="preserve"> </w:t>
      </w:r>
      <w:r w:rsidR="0096266C" w:rsidRPr="00892158">
        <w:rPr>
          <w:rFonts w:ascii="Arial" w:hAnsi="Arial" w:cs="Arial"/>
          <w:sz w:val="20"/>
          <w:szCs w:val="20"/>
        </w:rPr>
        <w:t>energy</w:t>
      </w:r>
      <w:proofErr w:type="gramEnd"/>
      <w:r w:rsidR="0096266C" w:rsidRPr="00892158">
        <w:rPr>
          <w:rFonts w:ascii="Arial" w:hAnsi="Arial" w:cs="Arial"/>
          <w:sz w:val="20"/>
          <w:szCs w:val="20"/>
        </w:rPr>
        <w:t xml:space="preserve"> </w:t>
      </w:r>
      <w:r>
        <w:rPr>
          <w:rFonts w:ascii="Arial" w:hAnsi="Arial" w:cs="Arial"/>
          <w:sz w:val="20"/>
          <w:szCs w:val="20"/>
        </w:rPr>
        <w:t xml:space="preserve"> </w:t>
      </w:r>
      <w:r w:rsidR="0096266C" w:rsidRPr="00892158">
        <w:rPr>
          <w:rFonts w:ascii="Arial" w:hAnsi="Arial" w:cs="Arial"/>
          <w:sz w:val="20"/>
          <w:szCs w:val="20"/>
        </w:rPr>
        <w:t xml:space="preserve">generation potential, availability </w:t>
      </w:r>
    </w:p>
    <w:p w14:paraId="45E02ECD" w14:textId="77777777" w:rsidR="00AB52E8" w:rsidRDefault="00AB52E8" w:rsidP="00953AE5">
      <w:pPr>
        <w:spacing w:after="0" w:line="240" w:lineRule="auto"/>
        <w:ind w:left="0" w:hanging="2"/>
        <w:jc w:val="both"/>
        <w:rPr>
          <w:rFonts w:ascii="Arial" w:hAnsi="Arial" w:cs="Arial"/>
          <w:sz w:val="20"/>
          <w:szCs w:val="20"/>
        </w:rPr>
      </w:pPr>
    </w:p>
    <w:p w14:paraId="20682FB2" w14:textId="77777777" w:rsidR="00AB52E8" w:rsidRDefault="00AB52E8" w:rsidP="00953AE5">
      <w:pPr>
        <w:spacing w:after="0" w:line="240" w:lineRule="auto"/>
        <w:ind w:left="0" w:hanging="2"/>
        <w:jc w:val="both"/>
        <w:rPr>
          <w:rFonts w:ascii="Arial" w:hAnsi="Arial" w:cs="Arial"/>
          <w:sz w:val="20"/>
          <w:szCs w:val="20"/>
        </w:rPr>
      </w:pPr>
    </w:p>
    <w:p w14:paraId="4244AE07" w14:textId="77777777" w:rsidR="00AB52E8" w:rsidRDefault="00AB52E8" w:rsidP="00953AE5">
      <w:pPr>
        <w:spacing w:after="0" w:line="240" w:lineRule="auto"/>
        <w:ind w:left="0" w:hanging="2"/>
        <w:jc w:val="both"/>
        <w:rPr>
          <w:rFonts w:ascii="Arial" w:hAnsi="Arial" w:cs="Arial"/>
          <w:sz w:val="20"/>
          <w:szCs w:val="20"/>
        </w:rPr>
      </w:pPr>
    </w:p>
    <w:p w14:paraId="0FB13621" w14:textId="77777777" w:rsidR="00AB52E8" w:rsidRDefault="00AB52E8" w:rsidP="00953AE5">
      <w:pPr>
        <w:spacing w:after="0" w:line="240" w:lineRule="auto"/>
        <w:ind w:left="0" w:hanging="2"/>
        <w:jc w:val="both"/>
        <w:rPr>
          <w:rFonts w:ascii="Arial" w:hAnsi="Arial" w:cs="Arial"/>
          <w:sz w:val="20"/>
          <w:szCs w:val="20"/>
        </w:rPr>
      </w:pPr>
    </w:p>
    <w:p w14:paraId="7EA56DCE" w14:textId="77777777" w:rsidR="00AB52E8" w:rsidRDefault="00AB52E8" w:rsidP="00953AE5">
      <w:pPr>
        <w:spacing w:after="0" w:line="240" w:lineRule="auto"/>
        <w:ind w:left="0" w:hanging="2"/>
        <w:jc w:val="both"/>
        <w:rPr>
          <w:rFonts w:ascii="Arial" w:hAnsi="Arial" w:cs="Arial"/>
          <w:sz w:val="20"/>
          <w:szCs w:val="20"/>
        </w:rPr>
      </w:pPr>
    </w:p>
    <w:p w14:paraId="629BFC22" w14:textId="77777777" w:rsidR="00AB52E8" w:rsidRDefault="00AB52E8" w:rsidP="00953AE5">
      <w:pPr>
        <w:spacing w:after="0" w:line="240" w:lineRule="auto"/>
        <w:ind w:left="0" w:hanging="2"/>
        <w:jc w:val="both"/>
        <w:rPr>
          <w:rFonts w:ascii="Arial" w:hAnsi="Arial" w:cs="Arial"/>
          <w:sz w:val="20"/>
          <w:szCs w:val="20"/>
        </w:rPr>
      </w:pPr>
    </w:p>
    <w:p w14:paraId="35B07C76" w14:textId="77777777" w:rsidR="00AB52E8" w:rsidRDefault="00AB52E8" w:rsidP="00953AE5">
      <w:pPr>
        <w:spacing w:after="0" w:line="240" w:lineRule="auto"/>
        <w:ind w:left="0" w:hanging="2"/>
        <w:jc w:val="both"/>
        <w:rPr>
          <w:rFonts w:ascii="Arial" w:hAnsi="Arial" w:cs="Arial"/>
          <w:sz w:val="20"/>
          <w:szCs w:val="20"/>
        </w:rPr>
      </w:pPr>
    </w:p>
    <w:p w14:paraId="75AF085C" w14:textId="77777777" w:rsidR="00AB52E8" w:rsidRDefault="00AB52E8" w:rsidP="00953AE5">
      <w:pPr>
        <w:spacing w:after="0" w:line="240" w:lineRule="auto"/>
        <w:ind w:left="0" w:hanging="2"/>
        <w:jc w:val="both"/>
        <w:rPr>
          <w:rFonts w:ascii="Arial" w:hAnsi="Arial" w:cs="Arial"/>
          <w:sz w:val="20"/>
          <w:szCs w:val="20"/>
        </w:rPr>
      </w:pPr>
    </w:p>
    <w:p w14:paraId="05D72FC5" w14:textId="77777777" w:rsidR="00AB52E8" w:rsidRDefault="00AB52E8" w:rsidP="00953AE5">
      <w:pPr>
        <w:spacing w:after="0" w:line="240" w:lineRule="auto"/>
        <w:ind w:left="0" w:hanging="2"/>
        <w:jc w:val="both"/>
        <w:rPr>
          <w:rFonts w:ascii="Arial" w:hAnsi="Arial" w:cs="Arial"/>
          <w:sz w:val="20"/>
          <w:szCs w:val="20"/>
        </w:rPr>
      </w:pPr>
    </w:p>
    <w:p w14:paraId="40ECC5E7" w14:textId="77777777" w:rsidR="00AB52E8" w:rsidRDefault="00AB52E8" w:rsidP="00953AE5">
      <w:pPr>
        <w:spacing w:after="0" w:line="240" w:lineRule="auto"/>
        <w:ind w:left="0" w:hanging="2"/>
        <w:jc w:val="both"/>
        <w:rPr>
          <w:rFonts w:ascii="Arial" w:hAnsi="Arial" w:cs="Arial"/>
          <w:sz w:val="20"/>
          <w:szCs w:val="20"/>
        </w:rPr>
      </w:pPr>
    </w:p>
    <w:p w14:paraId="4A30233A" w14:textId="77777777" w:rsidR="00AB52E8" w:rsidRDefault="00AB52E8" w:rsidP="00953AE5">
      <w:pPr>
        <w:spacing w:after="0" w:line="240" w:lineRule="auto"/>
        <w:ind w:left="0" w:hanging="2"/>
        <w:jc w:val="both"/>
        <w:rPr>
          <w:rFonts w:ascii="Arial" w:hAnsi="Arial" w:cs="Arial"/>
          <w:sz w:val="20"/>
          <w:szCs w:val="20"/>
        </w:rPr>
      </w:pPr>
    </w:p>
    <w:p w14:paraId="08B19562" w14:textId="77777777" w:rsidR="00AB52E8" w:rsidRDefault="00AB52E8" w:rsidP="00953AE5">
      <w:pPr>
        <w:spacing w:after="0" w:line="240" w:lineRule="auto"/>
        <w:ind w:left="0" w:hanging="2"/>
        <w:jc w:val="both"/>
        <w:rPr>
          <w:rFonts w:ascii="Arial" w:hAnsi="Arial" w:cs="Arial"/>
          <w:sz w:val="20"/>
          <w:szCs w:val="20"/>
        </w:rPr>
      </w:pPr>
    </w:p>
    <w:p w14:paraId="1FDB9127" w14:textId="77777777" w:rsidR="00AB52E8" w:rsidRDefault="00AB52E8" w:rsidP="00953AE5">
      <w:pPr>
        <w:spacing w:after="0" w:line="240" w:lineRule="auto"/>
        <w:ind w:left="0" w:hanging="2"/>
        <w:jc w:val="both"/>
        <w:rPr>
          <w:rFonts w:ascii="Arial" w:hAnsi="Arial" w:cs="Arial"/>
          <w:sz w:val="20"/>
          <w:szCs w:val="20"/>
        </w:rPr>
      </w:pPr>
    </w:p>
    <w:p w14:paraId="01235F05" w14:textId="77777777" w:rsidR="00AB52E8" w:rsidRDefault="00AB52E8" w:rsidP="00953AE5">
      <w:pPr>
        <w:spacing w:after="0" w:line="240" w:lineRule="auto"/>
        <w:ind w:left="0" w:hanging="2"/>
        <w:jc w:val="both"/>
        <w:rPr>
          <w:rFonts w:ascii="Arial" w:hAnsi="Arial" w:cs="Arial"/>
          <w:sz w:val="20"/>
          <w:szCs w:val="20"/>
        </w:rPr>
      </w:pPr>
    </w:p>
    <w:p w14:paraId="4E96E835" w14:textId="77777777" w:rsidR="00AB52E8" w:rsidRDefault="00AB52E8" w:rsidP="00953AE5">
      <w:pPr>
        <w:spacing w:after="0" w:line="240" w:lineRule="auto"/>
        <w:ind w:left="0" w:hanging="2"/>
        <w:jc w:val="both"/>
        <w:rPr>
          <w:rFonts w:ascii="Arial" w:hAnsi="Arial" w:cs="Arial"/>
          <w:sz w:val="20"/>
          <w:szCs w:val="20"/>
        </w:rPr>
      </w:pPr>
    </w:p>
    <w:p w14:paraId="3D3F547F" w14:textId="77777777" w:rsidR="00AB52E8" w:rsidRDefault="00AB52E8" w:rsidP="00953AE5">
      <w:pPr>
        <w:spacing w:after="0" w:line="240" w:lineRule="auto"/>
        <w:ind w:left="0" w:hanging="2"/>
        <w:jc w:val="both"/>
        <w:rPr>
          <w:rFonts w:ascii="Arial" w:hAnsi="Arial" w:cs="Arial"/>
          <w:sz w:val="20"/>
          <w:szCs w:val="20"/>
        </w:rPr>
      </w:pPr>
    </w:p>
    <w:p w14:paraId="326BD634" w14:textId="77777777" w:rsidR="00AB52E8" w:rsidRDefault="00AB52E8" w:rsidP="00953AE5">
      <w:pPr>
        <w:spacing w:after="0" w:line="240" w:lineRule="auto"/>
        <w:ind w:left="0" w:hanging="2"/>
        <w:jc w:val="both"/>
        <w:rPr>
          <w:rFonts w:ascii="Arial" w:hAnsi="Arial" w:cs="Arial"/>
          <w:sz w:val="20"/>
          <w:szCs w:val="20"/>
        </w:rPr>
      </w:pPr>
    </w:p>
    <w:p w14:paraId="5EB7FC78" w14:textId="77777777" w:rsidR="00AB52E8" w:rsidRDefault="00AB52E8" w:rsidP="00953AE5">
      <w:pPr>
        <w:spacing w:after="0" w:line="240" w:lineRule="auto"/>
        <w:ind w:left="0" w:hanging="2"/>
        <w:jc w:val="both"/>
        <w:rPr>
          <w:rFonts w:ascii="Arial" w:hAnsi="Arial" w:cs="Arial"/>
          <w:sz w:val="20"/>
          <w:szCs w:val="20"/>
        </w:rPr>
      </w:pPr>
    </w:p>
    <w:p w14:paraId="4086AFF6" w14:textId="77777777" w:rsidR="00AB52E8" w:rsidRDefault="00AB52E8" w:rsidP="00953AE5">
      <w:pPr>
        <w:spacing w:after="0" w:line="240" w:lineRule="auto"/>
        <w:ind w:left="0" w:hanging="2"/>
        <w:jc w:val="both"/>
        <w:rPr>
          <w:rFonts w:ascii="Arial" w:hAnsi="Arial" w:cs="Arial"/>
          <w:sz w:val="20"/>
          <w:szCs w:val="20"/>
        </w:rPr>
      </w:pPr>
    </w:p>
    <w:p w14:paraId="07FE5C65" w14:textId="77777777" w:rsidR="00AB52E8" w:rsidRDefault="00AB52E8" w:rsidP="00953AE5">
      <w:pPr>
        <w:spacing w:after="0" w:line="240" w:lineRule="auto"/>
        <w:ind w:left="0" w:hanging="2"/>
        <w:jc w:val="both"/>
        <w:rPr>
          <w:rFonts w:ascii="Arial" w:hAnsi="Arial" w:cs="Arial"/>
          <w:sz w:val="20"/>
          <w:szCs w:val="20"/>
        </w:rPr>
      </w:pPr>
    </w:p>
    <w:p w14:paraId="4A00C405" w14:textId="77777777" w:rsidR="00AB52E8" w:rsidRDefault="00AB52E8" w:rsidP="00953AE5">
      <w:pPr>
        <w:spacing w:after="0" w:line="240" w:lineRule="auto"/>
        <w:ind w:left="0" w:hanging="2"/>
        <w:jc w:val="both"/>
        <w:rPr>
          <w:rFonts w:ascii="Arial" w:hAnsi="Arial" w:cs="Arial"/>
          <w:sz w:val="20"/>
          <w:szCs w:val="20"/>
        </w:rPr>
      </w:pPr>
    </w:p>
    <w:p w14:paraId="58A7D3E5" w14:textId="77777777" w:rsidR="00AB52E8" w:rsidRDefault="00AB52E8" w:rsidP="00953AE5">
      <w:pPr>
        <w:spacing w:after="0" w:line="240" w:lineRule="auto"/>
        <w:ind w:left="0" w:hanging="2"/>
        <w:jc w:val="both"/>
        <w:rPr>
          <w:rFonts w:ascii="Arial" w:hAnsi="Arial" w:cs="Arial"/>
          <w:sz w:val="20"/>
          <w:szCs w:val="20"/>
        </w:rPr>
      </w:pPr>
    </w:p>
    <w:p w14:paraId="6D7433AD" w14:textId="77777777" w:rsidR="00AB52E8" w:rsidRDefault="00AB52E8" w:rsidP="00953AE5">
      <w:pPr>
        <w:spacing w:after="0" w:line="240" w:lineRule="auto"/>
        <w:ind w:left="0" w:hanging="2"/>
        <w:jc w:val="both"/>
        <w:rPr>
          <w:rFonts w:ascii="Arial" w:hAnsi="Arial" w:cs="Arial"/>
          <w:sz w:val="20"/>
          <w:szCs w:val="20"/>
        </w:rPr>
      </w:pPr>
    </w:p>
    <w:p w14:paraId="0438C003" w14:textId="77777777" w:rsidR="00AB52E8" w:rsidRDefault="00AB52E8" w:rsidP="00953AE5">
      <w:pPr>
        <w:spacing w:after="0" w:line="240" w:lineRule="auto"/>
        <w:ind w:left="0" w:hanging="2"/>
        <w:jc w:val="both"/>
        <w:rPr>
          <w:rFonts w:ascii="Arial" w:hAnsi="Arial" w:cs="Arial"/>
          <w:sz w:val="20"/>
          <w:szCs w:val="20"/>
        </w:rPr>
      </w:pPr>
    </w:p>
    <w:p w14:paraId="57410CD7" w14:textId="77777777" w:rsidR="00AB52E8" w:rsidRDefault="00AB52E8" w:rsidP="00953AE5">
      <w:pPr>
        <w:spacing w:after="0" w:line="240" w:lineRule="auto"/>
        <w:ind w:left="0" w:hanging="2"/>
        <w:jc w:val="both"/>
        <w:rPr>
          <w:rFonts w:ascii="Arial" w:hAnsi="Arial" w:cs="Arial"/>
          <w:sz w:val="20"/>
          <w:szCs w:val="20"/>
        </w:rPr>
      </w:pPr>
    </w:p>
    <w:p w14:paraId="29073770" w14:textId="77777777" w:rsidR="00AB52E8" w:rsidRDefault="00AB52E8" w:rsidP="00953AE5">
      <w:pPr>
        <w:spacing w:after="0" w:line="240" w:lineRule="auto"/>
        <w:ind w:left="0" w:hanging="2"/>
        <w:jc w:val="both"/>
        <w:rPr>
          <w:rFonts w:ascii="Arial" w:hAnsi="Arial" w:cs="Arial"/>
          <w:sz w:val="20"/>
          <w:szCs w:val="20"/>
        </w:rPr>
      </w:pPr>
    </w:p>
    <w:p w14:paraId="6CD7657D" w14:textId="77777777" w:rsidR="00AB52E8" w:rsidRDefault="00AB52E8" w:rsidP="00953AE5">
      <w:pPr>
        <w:spacing w:after="0" w:line="240" w:lineRule="auto"/>
        <w:ind w:left="0" w:hanging="2"/>
        <w:jc w:val="both"/>
        <w:rPr>
          <w:rFonts w:ascii="Arial" w:hAnsi="Arial" w:cs="Arial"/>
          <w:sz w:val="20"/>
          <w:szCs w:val="20"/>
        </w:rPr>
      </w:pPr>
    </w:p>
    <w:p w14:paraId="01A68E94" w14:textId="77777777" w:rsidR="00AB52E8" w:rsidRDefault="00AB52E8" w:rsidP="00953AE5">
      <w:pPr>
        <w:spacing w:after="0" w:line="240" w:lineRule="auto"/>
        <w:ind w:left="0" w:hanging="2"/>
        <w:jc w:val="both"/>
        <w:rPr>
          <w:rFonts w:ascii="Arial" w:hAnsi="Arial" w:cs="Arial"/>
          <w:sz w:val="20"/>
          <w:szCs w:val="20"/>
        </w:rPr>
      </w:pPr>
    </w:p>
    <w:p w14:paraId="58D7764A" w14:textId="77777777" w:rsidR="00AB52E8" w:rsidRDefault="00AB52E8" w:rsidP="00953AE5">
      <w:pPr>
        <w:spacing w:after="0" w:line="240" w:lineRule="auto"/>
        <w:ind w:left="0" w:hanging="2"/>
        <w:jc w:val="both"/>
        <w:rPr>
          <w:rFonts w:ascii="Arial" w:hAnsi="Arial" w:cs="Arial"/>
          <w:sz w:val="20"/>
          <w:szCs w:val="20"/>
        </w:rPr>
      </w:pPr>
    </w:p>
    <w:p w14:paraId="60DDBD2F" w14:textId="77777777" w:rsidR="00AB52E8" w:rsidRDefault="00AB52E8" w:rsidP="00953AE5">
      <w:pPr>
        <w:spacing w:after="0" w:line="240" w:lineRule="auto"/>
        <w:ind w:left="0" w:hanging="2"/>
        <w:jc w:val="both"/>
        <w:rPr>
          <w:rFonts w:ascii="Arial" w:hAnsi="Arial" w:cs="Arial"/>
          <w:sz w:val="20"/>
          <w:szCs w:val="20"/>
        </w:rPr>
      </w:pPr>
    </w:p>
    <w:p w14:paraId="2CD8452E" w14:textId="77777777" w:rsidR="00AB52E8" w:rsidRDefault="00AB52E8" w:rsidP="00953AE5">
      <w:pPr>
        <w:spacing w:after="0" w:line="240" w:lineRule="auto"/>
        <w:ind w:left="0" w:hanging="2"/>
        <w:jc w:val="both"/>
        <w:rPr>
          <w:rFonts w:ascii="Arial" w:hAnsi="Arial" w:cs="Arial"/>
          <w:sz w:val="20"/>
          <w:szCs w:val="20"/>
        </w:rPr>
      </w:pPr>
    </w:p>
    <w:p w14:paraId="37365474" w14:textId="77777777" w:rsidR="00AB52E8" w:rsidRDefault="00AB52E8" w:rsidP="00953AE5">
      <w:pPr>
        <w:spacing w:after="0" w:line="240" w:lineRule="auto"/>
        <w:ind w:left="0" w:hanging="2"/>
        <w:jc w:val="both"/>
        <w:rPr>
          <w:rFonts w:ascii="Arial" w:hAnsi="Arial" w:cs="Arial"/>
          <w:sz w:val="20"/>
          <w:szCs w:val="20"/>
        </w:rPr>
      </w:pPr>
    </w:p>
    <w:p w14:paraId="11AD681A" w14:textId="77777777" w:rsidR="00AB52E8" w:rsidRDefault="00AB52E8" w:rsidP="00953AE5">
      <w:pPr>
        <w:spacing w:after="0" w:line="240" w:lineRule="auto"/>
        <w:ind w:left="0" w:hanging="2"/>
        <w:jc w:val="both"/>
        <w:rPr>
          <w:rFonts w:ascii="Arial" w:hAnsi="Arial" w:cs="Arial"/>
          <w:sz w:val="20"/>
          <w:szCs w:val="20"/>
        </w:rPr>
      </w:pPr>
    </w:p>
    <w:p w14:paraId="686230A0" w14:textId="77777777" w:rsidR="00AB52E8" w:rsidRDefault="00AB52E8" w:rsidP="00953AE5">
      <w:pPr>
        <w:spacing w:after="0" w:line="240" w:lineRule="auto"/>
        <w:ind w:left="0" w:hanging="2"/>
        <w:jc w:val="both"/>
        <w:rPr>
          <w:rFonts w:ascii="Arial" w:hAnsi="Arial" w:cs="Arial"/>
          <w:sz w:val="20"/>
          <w:szCs w:val="20"/>
        </w:rPr>
      </w:pPr>
    </w:p>
    <w:p w14:paraId="33D91078" w14:textId="77777777" w:rsidR="00AB52E8" w:rsidRDefault="00AB52E8" w:rsidP="00953AE5">
      <w:pPr>
        <w:spacing w:after="0" w:line="240" w:lineRule="auto"/>
        <w:ind w:left="0" w:hanging="2"/>
        <w:jc w:val="both"/>
        <w:rPr>
          <w:rFonts w:ascii="Arial" w:hAnsi="Arial" w:cs="Arial"/>
          <w:sz w:val="20"/>
          <w:szCs w:val="20"/>
        </w:rPr>
      </w:pPr>
    </w:p>
    <w:p w14:paraId="6DF03338" w14:textId="77777777" w:rsidR="00AB52E8" w:rsidRDefault="00AB52E8" w:rsidP="00953AE5">
      <w:pPr>
        <w:spacing w:after="0" w:line="240" w:lineRule="auto"/>
        <w:ind w:left="0" w:hanging="2"/>
        <w:jc w:val="both"/>
        <w:rPr>
          <w:rFonts w:ascii="Arial" w:hAnsi="Arial" w:cs="Arial"/>
          <w:sz w:val="20"/>
          <w:szCs w:val="20"/>
        </w:rPr>
      </w:pPr>
    </w:p>
    <w:p w14:paraId="51DEB88A" w14:textId="77777777" w:rsidR="00AB52E8" w:rsidRDefault="00AB52E8" w:rsidP="00953AE5">
      <w:pPr>
        <w:spacing w:after="0" w:line="240" w:lineRule="auto"/>
        <w:ind w:left="0" w:hanging="2"/>
        <w:jc w:val="both"/>
        <w:rPr>
          <w:rFonts w:ascii="Arial" w:hAnsi="Arial" w:cs="Arial"/>
          <w:sz w:val="20"/>
          <w:szCs w:val="20"/>
        </w:rPr>
      </w:pPr>
    </w:p>
    <w:p w14:paraId="6D9F4AF2" w14:textId="77777777" w:rsidR="00AB52E8" w:rsidRDefault="00AB52E8" w:rsidP="00953AE5">
      <w:pPr>
        <w:spacing w:after="0" w:line="240" w:lineRule="auto"/>
        <w:ind w:left="0" w:hanging="2"/>
        <w:jc w:val="both"/>
        <w:rPr>
          <w:rFonts w:ascii="Arial" w:hAnsi="Arial" w:cs="Arial"/>
          <w:sz w:val="20"/>
          <w:szCs w:val="20"/>
        </w:rPr>
      </w:pPr>
    </w:p>
    <w:p w14:paraId="2CBC8A57" w14:textId="77777777" w:rsidR="00AB52E8" w:rsidRDefault="00AB52E8" w:rsidP="00953AE5">
      <w:pPr>
        <w:spacing w:after="0" w:line="240" w:lineRule="auto"/>
        <w:ind w:left="0" w:hanging="2"/>
        <w:jc w:val="both"/>
        <w:rPr>
          <w:rFonts w:ascii="Arial" w:hAnsi="Arial" w:cs="Arial"/>
          <w:sz w:val="20"/>
          <w:szCs w:val="20"/>
        </w:rPr>
      </w:pPr>
    </w:p>
    <w:p w14:paraId="11C5E7BD" w14:textId="77777777" w:rsidR="00AB52E8" w:rsidRDefault="00AB52E8" w:rsidP="00953AE5">
      <w:pPr>
        <w:spacing w:after="0" w:line="240" w:lineRule="auto"/>
        <w:ind w:left="0" w:hanging="2"/>
        <w:jc w:val="both"/>
        <w:rPr>
          <w:rFonts w:ascii="Arial" w:hAnsi="Arial" w:cs="Arial"/>
          <w:sz w:val="20"/>
          <w:szCs w:val="20"/>
        </w:rPr>
      </w:pPr>
    </w:p>
    <w:p w14:paraId="41E969FB" w14:textId="7057F09C" w:rsidR="0096266C" w:rsidRDefault="0096266C"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of wood and agro-industrial waste, large amounts of waste and crops, and high costs of conventional energy sources </w:t>
      </w:r>
      <w:r w:rsidRPr="00892158">
        <w:rPr>
          <w:rFonts w:ascii="Arial" w:hAnsi="Arial" w:cs="Arial"/>
          <w:sz w:val="20"/>
          <w:szCs w:val="20"/>
        </w:rPr>
        <w:fldChar w:fldCharType="begin" w:fldLock="1"/>
      </w:r>
      <w:r w:rsidR="00253AC2">
        <w:rPr>
          <w:rFonts w:ascii="Arial" w:hAnsi="Arial" w:cs="Arial"/>
          <w:sz w:val="20"/>
          <w:szCs w:val="20"/>
        </w:rPr>
        <w:instrText>ADDIN CSL_CITATION {"citationItems":[{"id":"ITEM-1","itemData":{"author":[{"dropping-particle":"","family":"Galchynska","given":"Julia","non-dropping-particle":"","parse-names":false,"suffix":""},{"dropping-particle":"","family":"Trade","given":"International","non-dropping-particle":"","parse-names":false,"suffix":""},{"dropping-particle":"","family":"Orlikowskyi","given":"Mykola","non-dropping-particle":"","parse-names":false,"suffix":""},{"dropping-particle":"","family":"Maciejczak","given":"Mariusz","non-dropping-particle":"","parse-names":false,"suffix":""}],"id":"ITEM-1","issue":"4","issued":{"date-parts":[["2015"]]},"page":"56-61","title":"Development of Bioenergy from Biomass in Ukraine","type":"article-journal","volume":"15"},"uris":["http://www.mendeley.com/documents/?uuid=c0c2c328-7e56-48c7-b392-7f968a44fbc4"]}],"mendeley":{"formattedCitation":"[44]","plainTextFormattedCitation":"[44]","previouslyFormattedCitation":"[44]"},"properties":{"noteIndex":0},"schema":"https://github.com/citation-style-language/schema/raw/master/csl-citation.json"}</w:instrText>
      </w:r>
      <w:r w:rsidRPr="00892158">
        <w:rPr>
          <w:rFonts w:ascii="Arial" w:hAnsi="Arial" w:cs="Arial"/>
          <w:sz w:val="20"/>
          <w:szCs w:val="20"/>
        </w:rPr>
        <w:fldChar w:fldCharType="separate"/>
      </w:r>
      <w:r w:rsidRPr="00892158">
        <w:rPr>
          <w:rFonts w:ascii="Arial" w:hAnsi="Arial" w:cs="Arial"/>
          <w:noProof/>
          <w:sz w:val="20"/>
          <w:szCs w:val="20"/>
        </w:rPr>
        <w:t>[44]</w:t>
      </w:r>
      <w:r w:rsidRPr="00892158">
        <w:rPr>
          <w:rFonts w:ascii="Arial" w:hAnsi="Arial" w:cs="Arial"/>
          <w:sz w:val="20"/>
          <w:szCs w:val="20"/>
        </w:rPr>
        <w:fldChar w:fldCharType="end"/>
      </w:r>
      <w:r w:rsidRPr="00892158">
        <w:rPr>
          <w:rFonts w:ascii="Arial" w:hAnsi="Arial" w:cs="Arial"/>
          <w:sz w:val="20"/>
          <w:szCs w:val="20"/>
        </w:rPr>
        <w:t xml:space="preserve">.  </w:t>
      </w:r>
    </w:p>
    <w:p w14:paraId="5A525B2E" w14:textId="287BCDFF" w:rsidR="0096266C" w:rsidRDefault="00164614" w:rsidP="00953AE5">
      <w:pPr>
        <w:spacing w:after="0" w:line="240" w:lineRule="auto"/>
        <w:ind w:left="0" w:hanging="2"/>
        <w:jc w:val="both"/>
        <w:rPr>
          <w:rFonts w:ascii="Arial" w:hAnsi="Arial" w:cs="Arial"/>
          <w:sz w:val="20"/>
          <w:szCs w:val="20"/>
        </w:rPr>
      </w:pPr>
      <w:r w:rsidRPr="00892158">
        <w:rPr>
          <w:rFonts w:ascii="Arial" w:hAnsi="Arial" w:cs="Arial"/>
          <w:sz w:val="20"/>
          <w:szCs w:val="20"/>
        </w:rPr>
        <w:t>Based on the results of each researcher's study, it can be seen that the strength factors possessed by each country are different.</w:t>
      </w:r>
    </w:p>
    <w:p w14:paraId="0004579E" w14:textId="0264FADD" w:rsidR="0096266C" w:rsidRPr="00892158" w:rsidRDefault="0096266C" w:rsidP="00953AE5">
      <w:pPr>
        <w:spacing w:after="0" w:line="240" w:lineRule="auto"/>
        <w:ind w:left="0" w:hanging="2"/>
        <w:jc w:val="both"/>
        <w:rPr>
          <w:rFonts w:ascii="Arial" w:hAnsi="Arial" w:cs="Arial"/>
          <w:sz w:val="20"/>
          <w:szCs w:val="20"/>
        </w:rPr>
      </w:pPr>
      <w:r w:rsidRPr="00892158">
        <w:rPr>
          <w:rFonts w:ascii="Arial" w:hAnsi="Arial" w:cs="Arial"/>
          <w:sz w:val="20"/>
          <w:szCs w:val="20"/>
        </w:rPr>
        <w:lastRenderedPageBreak/>
        <w:t>This difference shows that the strength factors in bioenergy development will have a perspective that is adjusted to the conditions of each country.</w:t>
      </w:r>
    </w:p>
    <w:p w14:paraId="41A1E58C" w14:textId="266F9D85" w:rsidR="0096266C" w:rsidRDefault="0096266C" w:rsidP="00953AE5">
      <w:pPr>
        <w:spacing w:after="0" w:line="240" w:lineRule="auto"/>
        <w:ind w:left="0" w:hanging="2"/>
        <w:jc w:val="both"/>
        <w:rPr>
          <w:rFonts w:ascii="Arial" w:hAnsi="Arial" w:cs="Arial"/>
          <w:sz w:val="20"/>
          <w:szCs w:val="20"/>
        </w:rPr>
      </w:pPr>
      <w:r w:rsidRPr="00892158">
        <w:rPr>
          <w:rFonts w:ascii="Arial" w:hAnsi="Arial" w:cs="Arial"/>
          <w:sz w:val="20"/>
          <w:szCs w:val="20"/>
        </w:rPr>
        <w:t xml:space="preserve"> Furthermore, based on the results of the SWOT analysis, it is continued with an analysis of determining alternatives that will be a priority in biodiesel development. Based on the results of the assessment carried out by key respondents, the paired comparison values ​​are obtained, which are shown in Table 6. The paired comparison assessment uses equation 1.</w:t>
      </w:r>
    </w:p>
    <w:p w14:paraId="36E7F733" w14:textId="007CE590" w:rsidR="0096266C" w:rsidRDefault="0096266C" w:rsidP="00953AE5">
      <w:pPr>
        <w:spacing w:line="240" w:lineRule="auto"/>
        <w:ind w:leftChars="0" w:left="0" w:firstLineChars="0" w:firstLine="0"/>
        <w:jc w:val="both"/>
        <w:rPr>
          <w:rFonts w:ascii="Arial" w:hAnsi="Arial" w:cs="Arial"/>
          <w:sz w:val="20"/>
          <w:szCs w:val="20"/>
        </w:rPr>
      </w:pPr>
      <w:r w:rsidRPr="00892158">
        <w:rPr>
          <w:rFonts w:ascii="Arial" w:hAnsi="Arial" w:cs="Arial"/>
          <w:sz w:val="20"/>
          <w:szCs w:val="20"/>
        </w:rPr>
        <w:t>Moreover, normalization was carried out on the results of the pairwise comparisons shown in Table 7.</w:t>
      </w:r>
    </w:p>
    <w:p w14:paraId="7846199B" w14:textId="0E280B34" w:rsidR="00164614" w:rsidRDefault="00AB52E8" w:rsidP="00953AE5">
      <w:pPr>
        <w:spacing w:line="240" w:lineRule="auto"/>
        <w:ind w:leftChars="0" w:left="0" w:firstLineChars="0" w:firstLine="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A252051" wp14:editId="31428349">
                <wp:simplePos x="0" y="0"/>
                <wp:positionH relativeFrom="margin">
                  <wp:align>left</wp:align>
                </wp:positionH>
                <wp:positionV relativeFrom="paragraph">
                  <wp:posOffset>5715</wp:posOffset>
                </wp:positionV>
                <wp:extent cx="5989320" cy="1739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89320" cy="1739900"/>
                        </a:xfrm>
                        <a:prstGeom prst="rect">
                          <a:avLst/>
                        </a:prstGeom>
                        <a:solidFill>
                          <a:schemeClr val="lt1"/>
                        </a:solidFill>
                        <a:ln w="6350">
                          <a:noFill/>
                        </a:ln>
                      </wps:spPr>
                      <wps:txbx>
                        <w:txbxContent>
                          <w:p w14:paraId="1975EB39" w14:textId="77777777" w:rsidR="008E12F7" w:rsidRPr="006D1605" w:rsidRDefault="008E12F7" w:rsidP="008E12F7">
                            <w:pPr>
                              <w:tabs>
                                <w:tab w:val="left" w:pos="7015"/>
                              </w:tabs>
                              <w:ind w:left="0" w:hanging="2"/>
                              <w:jc w:val="both"/>
                              <w:rPr>
                                <w:rFonts w:ascii="Arial" w:hAnsi="Arial" w:cs="Arial"/>
                                <w:sz w:val="20"/>
                                <w:szCs w:val="20"/>
                              </w:rPr>
                            </w:pPr>
                            <w:r w:rsidRPr="006D1605">
                              <w:rPr>
                                <w:rFonts w:ascii="Arial" w:hAnsi="Arial" w:cs="Arial"/>
                                <w:sz w:val="20"/>
                                <w:szCs w:val="20"/>
                              </w:rPr>
                              <w:t>Table 8 Assessment of alternatives for each criterion</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721"/>
                              <w:gridCol w:w="721"/>
                              <w:gridCol w:w="721"/>
                              <w:gridCol w:w="721"/>
                              <w:gridCol w:w="721"/>
                              <w:gridCol w:w="721"/>
                              <w:gridCol w:w="721"/>
                              <w:gridCol w:w="721"/>
                              <w:gridCol w:w="721"/>
                              <w:gridCol w:w="810"/>
                              <w:gridCol w:w="810"/>
                            </w:tblGrid>
                            <w:tr w:rsidR="008E12F7" w:rsidRPr="008E12F7" w14:paraId="25295D22" w14:textId="77777777" w:rsidTr="008E12F7">
                              <w:trPr>
                                <w:trHeight w:val="288"/>
                              </w:trPr>
                              <w:tc>
                                <w:tcPr>
                                  <w:tcW w:w="851" w:type="dxa"/>
                                  <w:tcBorders>
                                    <w:top w:val="single" w:sz="4" w:space="0" w:color="auto"/>
                                    <w:bottom w:val="single" w:sz="4" w:space="0" w:color="auto"/>
                                  </w:tcBorders>
                                  <w:noWrap/>
                                  <w:hideMark/>
                                </w:tcPr>
                                <w:p w14:paraId="35B35BAF"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Alternative</w:t>
                                  </w:r>
                                </w:p>
                              </w:tc>
                              <w:tc>
                                <w:tcPr>
                                  <w:tcW w:w="721" w:type="dxa"/>
                                  <w:tcBorders>
                                    <w:top w:val="single" w:sz="4" w:space="0" w:color="auto"/>
                                    <w:bottom w:val="single" w:sz="4" w:space="0" w:color="auto"/>
                                  </w:tcBorders>
                                  <w:noWrap/>
                                  <w:hideMark/>
                                </w:tcPr>
                                <w:p w14:paraId="3CD11228"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w:t>
                                  </w:r>
                                </w:p>
                              </w:tc>
                              <w:tc>
                                <w:tcPr>
                                  <w:tcW w:w="721" w:type="dxa"/>
                                  <w:tcBorders>
                                    <w:top w:val="single" w:sz="4" w:space="0" w:color="auto"/>
                                    <w:bottom w:val="single" w:sz="4" w:space="0" w:color="auto"/>
                                  </w:tcBorders>
                                  <w:noWrap/>
                                  <w:hideMark/>
                                </w:tcPr>
                                <w:p w14:paraId="3BB24A3E"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CRT_2</w:t>
                                  </w:r>
                                </w:p>
                              </w:tc>
                              <w:tc>
                                <w:tcPr>
                                  <w:tcW w:w="721" w:type="dxa"/>
                                  <w:tcBorders>
                                    <w:top w:val="single" w:sz="4" w:space="0" w:color="auto"/>
                                    <w:bottom w:val="single" w:sz="4" w:space="0" w:color="auto"/>
                                  </w:tcBorders>
                                  <w:noWrap/>
                                  <w:hideMark/>
                                </w:tcPr>
                                <w:p w14:paraId="41D711D4"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CRT_3</w:t>
                                  </w:r>
                                </w:p>
                              </w:tc>
                              <w:tc>
                                <w:tcPr>
                                  <w:tcW w:w="721" w:type="dxa"/>
                                  <w:tcBorders>
                                    <w:top w:val="single" w:sz="4" w:space="0" w:color="auto"/>
                                    <w:bottom w:val="single" w:sz="4" w:space="0" w:color="auto"/>
                                  </w:tcBorders>
                                  <w:noWrap/>
                                  <w:hideMark/>
                                </w:tcPr>
                                <w:p w14:paraId="72D3BBAB"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CRT_4</w:t>
                                  </w:r>
                                </w:p>
                              </w:tc>
                              <w:tc>
                                <w:tcPr>
                                  <w:tcW w:w="721" w:type="dxa"/>
                                  <w:tcBorders>
                                    <w:top w:val="single" w:sz="4" w:space="0" w:color="auto"/>
                                    <w:bottom w:val="single" w:sz="4" w:space="0" w:color="auto"/>
                                  </w:tcBorders>
                                  <w:noWrap/>
                                  <w:hideMark/>
                                </w:tcPr>
                                <w:p w14:paraId="3FD37E2A"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CRT_5</w:t>
                                  </w:r>
                                </w:p>
                              </w:tc>
                              <w:tc>
                                <w:tcPr>
                                  <w:tcW w:w="721" w:type="dxa"/>
                                  <w:tcBorders>
                                    <w:top w:val="single" w:sz="4" w:space="0" w:color="auto"/>
                                    <w:bottom w:val="single" w:sz="4" w:space="0" w:color="auto"/>
                                  </w:tcBorders>
                                  <w:noWrap/>
                                  <w:hideMark/>
                                </w:tcPr>
                                <w:p w14:paraId="2F9BF297"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CRT_6</w:t>
                                  </w:r>
                                </w:p>
                              </w:tc>
                              <w:tc>
                                <w:tcPr>
                                  <w:tcW w:w="721" w:type="dxa"/>
                                  <w:tcBorders>
                                    <w:top w:val="single" w:sz="4" w:space="0" w:color="auto"/>
                                    <w:bottom w:val="single" w:sz="4" w:space="0" w:color="auto"/>
                                  </w:tcBorders>
                                  <w:noWrap/>
                                  <w:hideMark/>
                                </w:tcPr>
                                <w:p w14:paraId="0CB662D3"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CRT_7</w:t>
                                  </w:r>
                                </w:p>
                              </w:tc>
                              <w:tc>
                                <w:tcPr>
                                  <w:tcW w:w="721" w:type="dxa"/>
                                  <w:tcBorders>
                                    <w:top w:val="single" w:sz="4" w:space="0" w:color="auto"/>
                                    <w:bottom w:val="single" w:sz="4" w:space="0" w:color="auto"/>
                                  </w:tcBorders>
                                  <w:noWrap/>
                                  <w:hideMark/>
                                </w:tcPr>
                                <w:p w14:paraId="4BF9F592"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CRT_8</w:t>
                                  </w:r>
                                </w:p>
                              </w:tc>
                              <w:tc>
                                <w:tcPr>
                                  <w:tcW w:w="721" w:type="dxa"/>
                                  <w:tcBorders>
                                    <w:top w:val="single" w:sz="4" w:space="0" w:color="auto"/>
                                    <w:bottom w:val="single" w:sz="4" w:space="0" w:color="auto"/>
                                  </w:tcBorders>
                                  <w:noWrap/>
                                  <w:hideMark/>
                                </w:tcPr>
                                <w:p w14:paraId="4F4EAF5D"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CRT_9</w:t>
                                  </w:r>
                                </w:p>
                              </w:tc>
                              <w:tc>
                                <w:tcPr>
                                  <w:tcW w:w="810" w:type="dxa"/>
                                  <w:tcBorders>
                                    <w:top w:val="single" w:sz="4" w:space="0" w:color="auto"/>
                                    <w:bottom w:val="single" w:sz="4" w:space="0" w:color="auto"/>
                                  </w:tcBorders>
                                  <w:noWrap/>
                                  <w:hideMark/>
                                </w:tcPr>
                                <w:p w14:paraId="18AA6E03"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CRT_10</w:t>
                                  </w:r>
                                </w:p>
                              </w:tc>
                              <w:tc>
                                <w:tcPr>
                                  <w:tcW w:w="810" w:type="dxa"/>
                                  <w:tcBorders>
                                    <w:top w:val="single" w:sz="4" w:space="0" w:color="auto"/>
                                    <w:bottom w:val="single" w:sz="4" w:space="0" w:color="auto"/>
                                  </w:tcBorders>
                                  <w:noWrap/>
                                  <w:hideMark/>
                                </w:tcPr>
                                <w:p w14:paraId="5D4B19CB"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CRT_11</w:t>
                                  </w:r>
                                </w:p>
                              </w:tc>
                            </w:tr>
                            <w:tr w:rsidR="008E12F7" w:rsidRPr="008E12F7" w14:paraId="38BEE5A7" w14:textId="77777777" w:rsidTr="008E12F7">
                              <w:trPr>
                                <w:trHeight w:val="288"/>
                              </w:trPr>
                              <w:tc>
                                <w:tcPr>
                                  <w:tcW w:w="851" w:type="dxa"/>
                                  <w:tcBorders>
                                    <w:top w:val="single" w:sz="4" w:space="0" w:color="auto"/>
                                  </w:tcBorders>
                                  <w:noWrap/>
                                  <w:hideMark/>
                                </w:tcPr>
                                <w:p w14:paraId="3EE6B9C4"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ALT_1</w:t>
                                  </w:r>
                                </w:p>
                              </w:tc>
                              <w:tc>
                                <w:tcPr>
                                  <w:tcW w:w="721" w:type="dxa"/>
                                  <w:tcBorders>
                                    <w:top w:val="single" w:sz="4" w:space="0" w:color="auto"/>
                                  </w:tcBorders>
                                  <w:noWrap/>
                                  <w:hideMark/>
                                </w:tcPr>
                                <w:p w14:paraId="34717AE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0085D76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29A637B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68B3DCB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572651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7417194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3531C0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50A1143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4E91D1A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4B25ED8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091654C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r>
                            <w:tr w:rsidR="008E12F7" w:rsidRPr="008E12F7" w14:paraId="57137A14" w14:textId="77777777" w:rsidTr="008E12F7">
                              <w:trPr>
                                <w:trHeight w:val="288"/>
                              </w:trPr>
                              <w:tc>
                                <w:tcPr>
                                  <w:tcW w:w="851" w:type="dxa"/>
                                  <w:noWrap/>
                                  <w:hideMark/>
                                </w:tcPr>
                                <w:p w14:paraId="0E7D1A94"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ALT_2</w:t>
                                  </w:r>
                                </w:p>
                              </w:tc>
                              <w:tc>
                                <w:tcPr>
                                  <w:tcW w:w="721" w:type="dxa"/>
                                  <w:noWrap/>
                                  <w:hideMark/>
                                </w:tcPr>
                                <w:p w14:paraId="70714A3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453A52B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69840BD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9C6733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1D3F15D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1834D1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D44258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A5F9A8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40B836F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76224A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810" w:type="dxa"/>
                                  <w:noWrap/>
                                  <w:hideMark/>
                                </w:tcPr>
                                <w:p w14:paraId="1C9D3BF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238BE7A4" w14:textId="77777777" w:rsidTr="008E12F7">
                              <w:trPr>
                                <w:trHeight w:val="288"/>
                              </w:trPr>
                              <w:tc>
                                <w:tcPr>
                                  <w:tcW w:w="851" w:type="dxa"/>
                                  <w:noWrap/>
                                  <w:hideMark/>
                                </w:tcPr>
                                <w:p w14:paraId="213F464E"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ALT_3</w:t>
                                  </w:r>
                                </w:p>
                              </w:tc>
                              <w:tc>
                                <w:tcPr>
                                  <w:tcW w:w="721" w:type="dxa"/>
                                  <w:noWrap/>
                                  <w:hideMark/>
                                </w:tcPr>
                                <w:p w14:paraId="1378ED8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213D7A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4E8CE4B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E2FBFB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8D990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D77A5F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2263EB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040810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5A2596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704DCF3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74134D5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40FD1212" w14:textId="77777777" w:rsidTr="008E12F7">
                              <w:trPr>
                                <w:trHeight w:val="288"/>
                              </w:trPr>
                              <w:tc>
                                <w:tcPr>
                                  <w:tcW w:w="851" w:type="dxa"/>
                                  <w:noWrap/>
                                  <w:hideMark/>
                                </w:tcPr>
                                <w:p w14:paraId="494245FC"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ALT_4</w:t>
                                  </w:r>
                                </w:p>
                              </w:tc>
                              <w:tc>
                                <w:tcPr>
                                  <w:tcW w:w="721" w:type="dxa"/>
                                  <w:noWrap/>
                                  <w:hideMark/>
                                </w:tcPr>
                                <w:p w14:paraId="0E83B25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6D5E36C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2687BC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D62966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1A31D8D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557C87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13B2E88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18E843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37211C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2A21188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810" w:type="dxa"/>
                                  <w:noWrap/>
                                  <w:hideMark/>
                                </w:tcPr>
                                <w:p w14:paraId="52B6919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0D7B3A4B" w14:textId="77777777" w:rsidTr="008E12F7">
                              <w:trPr>
                                <w:trHeight w:val="288"/>
                              </w:trPr>
                              <w:tc>
                                <w:tcPr>
                                  <w:tcW w:w="851" w:type="dxa"/>
                                  <w:noWrap/>
                                  <w:hideMark/>
                                </w:tcPr>
                                <w:p w14:paraId="47AB14CE"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ALT_5</w:t>
                                  </w:r>
                                </w:p>
                              </w:tc>
                              <w:tc>
                                <w:tcPr>
                                  <w:tcW w:w="721" w:type="dxa"/>
                                  <w:noWrap/>
                                  <w:hideMark/>
                                </w:tcPr>
                                <w:p w14:paraId="0949FBA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6470C5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1EB0DF3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0270F03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41BC4BA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6FAEAE5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1B642A3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CB3256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2FAF334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6F4E96E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350149D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0E4B1DB2" w14:textId="77777777" w:rsidTr="008E12F7">
                              <w:trPr>
                                <w:trHeight w:val="288"/>
                              </w:trPr>
                              <w:tc>
                                <w:tcPr>
                                  <w:tcW w:w="851" w:type="dxa"/>
                                  <w:tcBorders>
                                    <w:bottom w:val="single" w:sz="4" w:space="0" w:color="auto"/>
                                  </w:tcBorders>
                                  <w:noWrap/>
                                  <w:hideMark/>
                                </w:tcPr>
                                <w:p w14:paraId="4B77F9A8"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ALT_6</w:t>
                                  </w:r>
                                </w:p>
                              </w:tc>
                              <w:tc>
                                <w:tcPr>
                                  <w:tcW w:w="721" w:type="dxa"/>
                                  <w:tcBorders>
                                    <w:bottom w:val="single" w:sz="4" w:space="0" w:color="auto"/>
                                  </w:tcBorders>
                                  <w:noWrap/>
                                  <w:hideMark/>
                                </w:tcPr>
                                <w:p w14:paraId="54B1748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tcBorders>
                                    <w:bottom w:val="single" w:sz="4" w:space="0" w:color="auto"/>
                                  </w:tcBorders>
                                  <w:noWrap/>
                                  <w:hideMark/>
                                </w:tcPr>
                                <w:p w14:paraId="36D0385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6D0EE8A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70012B1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77DEB6B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3615897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7346759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711ADF6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2EF9447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2BC45F2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278401F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bl>
                          <w:p w14:paraId="76EB0001" w14:textId="77777777" w:rsidR="008E12F7" w:rsidRDefault="008E12F7" w:rsidP="008E12F7">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52051" id="Text Box 3" o:spid="_x0000_s1028" type="#_x0000_t202" style="position:absolute;left:0;text-align:left;margin-left:0;margin-top:.45pt;width:471.6pt;height:13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" fillcolor="white [3201]" stroked="f" strokeweight=".5pt">
                <v:textbox>
                  <w:txbxContent>
                    <w:p w14:paraId="1975EB39" w14:textId="77777777" w:rsidR="008E12F7" w:rsidRPr="006D1605" w:rsidRDefault="008E12F7" w:rsidP="008E12F7">
                      <w:pPr>
                        <w:tabs>
                          <w:tab w:val="left" w:pos="7015"/>
                        </w:tabs>
                        <w:ind w:left="0" w:hanging="2"/>
                        <w:jc w:val="both"/>
                        <w:rPr>
                          <w:rFonts w:ascii="Arial" w:hAnsi="Arial" w:cs="Arial"/>
                          <w:sz w:val="20"/>
                          <w:szCs w:val="20"/>
                        </w:rPr>
                      </w:pPr>
                      <w:r w:rsidRPr="006D1605">
                        <w:rPr>
                          <w:rFonts w:ascii="Arial" w:hAnsi="Arial" w:cs="Arial"/>
                          <w:sz w:val="20"/>
                          <w:szCs w:val="20"/>
                        </w:rPr>
                        <w:t>Table 8 Assessment of alternatives for each criterion</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721"/>
                        <w:gridCol w:w="721"/>
                        <w:gridCol w:w="721"/>
                        <w:gridCol w:w="721"/>
                        <w:gridCol w:w="721"/>
                        <w:gridCol w:w="721"/>
                        <w:gridCol w:w="721"/>
                        <w:gridCol w:w="721"/>
                        <w:gridCol w:w="721"/>
                        <w:gridCol w:w="810"/>
                        <w:gridCol w:w="810"/>
                      </w:tblGrid>
                      <w:tr w:rsidR="008E12F7" w:rsidRPr="008E12F7" w14:paraId="25295D22" w14:textId="77777777" w:rsidTr="008E12F7">
                        <w:trPr>
                          <w:trHeight w:val="288"/>
                        </w:trPr>
                        <w:tc>
                          <w:tcPr>
                            <w:tcW w:w="851" w:type="dxa"/>
                            <w:tcBorders>
                              <w:top w:val="single" w:sz="4" w:space="0" w:color="auto"/>
                              <w:bottom w:val="single" w:sz="4" w:space="0" w:color="auto"/>
                            </w:tcBorders>
                            <w:noWrap/>
                            <w:hideMark/>
                          </w:tcPr>
                          <w:p w14:paraId="35B35BAF"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Alternative</w:t>
                            </w:r>
                          </w:p>
                        </w:tc>
                        <w:tc>
                          <w:tcPr>
                            <w:tcW w:w="721" w:type="dxa"/>
                            <w:tcBorders>
                              <w:top w:val="single" w:sz="4" w:space="0" w:color="auto"/>
                              <w:bottom w:val="single" w:sz="4" w:space="0" w:color="auto"/>
                            </w:tcBorders>
                            <w:noWrap/>
                            <w:hideMark/>
                          </w:tcPr>
                          <w:p w14:paraId="3CD11228"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w:t>
                            </w:r>
                          </w:p>
                        </w:tc>
                        <w:tc>
                          <w:tcPr>
                            <w:tcW w:w="721" w:type="dxa"/>
                            <w:tcBorders>
                              <w:top w:val="single" w:sz="4" w:space="0" w:color="auto"/>
                              <w:bottom w:val="single" w:sz="4" w:space="0" w:color="auto"/>
                            </w:tcBorders>
                            <w:noWrap/>
                            <w:hideMark/>
                          </w:tcPr>
                          <w:p w14:paraId="3BB24A3E"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CRT_2</w:t>
                            </w:r>
                          </w:p>
                        </w:tc>
                        <w:tc>
                          <w:tcPr>
                            <w:tcW w:w="721" w:type="dxa"/>
                            <w:tcBorders>
                              <w:top w:val="single" w:sz="4" w:space="0" w:color="auto"/>
                              <w:bottom w:val="single" w:sz="4" w:space="0" w:color="auto"/>
                            </w:tcBorders>
                            <w:noWrap/>
                            <w:hideMark/>
                          </w:tcPr>
                          <w:p w14:paraId="41D711D4"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CRT_3</w:t>
                            </w:r>
                          </w:p>
                        </w:tc>
                        <w:tc>
                          <w:tcPr>
                            <w:tcW w:w="721" w:type="dxa"/>
                            <w:tcBorders>
                              <w:top w:val="single" w:sz="4" w:space="0" w:color="auto"/>
                              <w:bottom w:val="single" w:sz="4" w:space="0" w:color="auto"/>
                            </w:tcBorders>
                            <w:noWrap/>
                            <w:hideMark/>
                          </w:tcPr>
                          <w:p w14:paraId="72D3BBAB"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CRT_4</w:t>
                            </w:r>
                          </w:p>
                        </w:tc>
                        <w:tc>
                          <w:tcPr>
                            <w:tcW w:w="721" w:type="dxa"/>
                            <w:tcBorders>
                              <w:top w:val="single" w:sz="4" w:space="0" w:color="auto"/>
                              <w:bottom w:val="single" w:sz="4" w:space="0" w:color="auto"/>
                            </w:tcBorders>
                            <w:noWrap/>
                            <w:hideMark/>
                          </w:tcPr>
                          <w:p w14:paraId="3FD37E2A"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CRT_5</w:t>
                            </w:r>
                          </w:p>
                        </w:tc>
                        <w:tc>
                          <w:tcPr>
                            <w:tcW w:w="721" w:type="dxa"/>
                            <w:tcBorders>
                              <w:top w:val="single" w:sz="4" w:space="0" w:color="auto"/>
                              <w:bottom w:val="single" w:sz="4" w:space="0" w:color="auto"/>
                            </w:tcBorders>
                            <w:noWrap/>
                            <w:hideMark/>
                          </w:tcPr>
                          <w:p w14:paraId="2F9BF297"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CRT_6</w:t>
                            </w:r>
                          </w:p>
                        </w:tc>
                        <w:tc>
                          <w:tcPr>
                            <w:tcW w:w="721" w:type="dxa"/>
                            <w:tcBorders>
                              <w:top w:val="single" w:sz="4" w:space="0" w:color="auto"/>
                              <w:bottom w:val="single" w:sz="4" w:space="0" w:color="auto"/>
                            </w:tcBorders>
                            <w:noWrap/>
                            <w:hideMark/>
                          </w:tcPr>
                          <w:p w14:paraId="0CB662D3"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CRT_7</w:t>
                            </w:r>
                          </w:p>
                        </w:tc>
                        <w:tc>
                          <w:tcPr>
                            <w:tcW w:w="721" w:type="dxa"/>
                            <w:tcBorders>
                              <w:top w:val="single" w:sz="4" w:space="0" w:color="auto"/>
                              <w:bottom w:val="single" w:sz="4" w:space="0" w:color="auto"/>
                            </w:tcBorders>
                            <w:noWrap/>
                            <w:hideMark/>
                          </w:tcPr>
                          <w:p w14:paraId="4BF9F592"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CRT_8</w:t>
                            </w:r>
                          </w:p>
                        </w:tc>
                        <w:tc>
                          <w:tcPr>
                            <w:tcW w:w="721" w:type="dxa"/>
                            <w:tcBorders>
                              <w:top w:val="single" w:sz="4" w:space="0" w:color="auto"/>
                              <w:bottom w:val="single" w:sz="4" w:space="0" w:color="auto"/>
                            </w:tcBorders>
                            <w:noWrap/>
                            <w:hideMark/>
                          </w:tcPr>
                          <w:p w14:paraId="4F4EAF5D"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CRT_9</w:t>
                            </w:r>
                          </w:p>
                        </w:tc>
                        <w:tc>
                          <w:tcPr>
                            <w:tcW w:w="810" w:type="dxa"/>
                            <w:tcBorders>
                              <w:top w:val="single" w:sz="4" w:space="0" w:color="auto"/>
                              <w:bottom w:val="single" w:sz="4" w:space="0" w:color="auto"/>
                            </w:tcBorders>
                            <w:noWrap/>
                            <w:hideMark/>
                          </w:tcPr>
                          <w:p w14:paraId="18AA6E03"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CRT_10</w:t>
                            </w:r>
                          </w:p>
                        </w:tc>
                        <w:tc>
                          <w:tcPr>
                            <w:tcW w:w="810" w:type="dxa"/>
                            <w:tcBorders>
                              <w:top w:val="single" w:sz="4" w:space="0" w:color="auto"/>
                              <w:bottom w:val="single" w:sz="4" w:space="0" w:color="auto"/>
                            </w:tcBorders>
                            <w:noWrap/>
                            <w:hideMark/>
                          </w:tcPr>
                          <w:p w14:paraId="5D4B19CB"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CRT_11</w:t>
                            </w:r>
                          </w:p>
                        </w:tc>
                      </w:tr>
                      <w:tr w:rsidR="008E12F7" w:rsidRPr="008E12F7" w14:paraId="38BEE5A7" w14:textId="77777777" w:rsidTr="008E12F7">
                        <w:trPr>
                          <w:trHeight w:val="288"/>
                        </w:trPr>
                        <w:tc>
                          <w:tcPr>
                            <w:tcW w:w="851" w:type="dxa"/>
                            <w:tcBorders>
                              <w:top w:val="single" w:sz="4" w:space="0" w:color="auto"/>
                            </w:tcBorders>
                            <w:noWrap/>
                            <w:hideMark/>
                          </w:tcPr>
                          <w:p w14:paraId="3EE6B9C4"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ALT_1</w:t>
                            </w:r>
                          </w:p>
                        </w:tc>
                        <w:tc>
                          <w:tcPr>
                            <w:tcW w:w="721" w:type="dxa"/>
                            <w:tcBorders>
                              <w:top w:val="single" w:sz="4" w:space="0" w:color="auto"/>
                            </w:tcBorders>
                            <w:noWrap/>
                            <w:hideMark/>
                          </w:tcPr>
                          <w:p w14:paraId="34717AE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0085D76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29A637B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68B3DCB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572651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7417194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3531C0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50A1143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4E91D1A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4B25ED8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091654C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r>
                      <w:tr w:rsidR="008E12F7" w:rsidRPr="008E12F7" w14:paraId="57137A14" w14:textId="77777777" w:rsidTr="008E12F7">
                        <w:trPr>
                          <w:trHeight w:val="288"/>
                        </w:trPr>
                        <w:tc>
                          <w:tcPr>
                            <w:tcW w:w="851" w:type="dxa"/>
                            <w:noWrap/>
                            <w:hideMark/>
                          </w:tcPr>
                          <w:p w14:paraId="0E7D1A94"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ALT_2</w:t>
                            </w:r>
                          </w:p>
                        </w:tc>
                        <w:tc>
                          <w:tcPr>
                            <w:tcW w:w="721" w:type="dxa"/>
                            <w:noWrap/>
                            <w:hideMark/>
                          </w:tcPr>
                          <w:p w14:paraId="70714A3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453A52B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69840BD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9C6733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1D3F15D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1834D1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D44258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A5F9A8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40B836F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76224A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810" w:type="dxa"/>
                            <w:noWrap/>
                            <w:hideMark/>
                          </w:tcPr>
                          <w:p w14:paraId="1C9D3BF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238BE7A4" w14:textId="77777777" w:rsidTr="008E12F7">
                        <w:trPr>
                          <w:trHeight w:val="288"/>
                        </w:trPr>
                        <w:tc>
                          <w:tcPr>
                            <w:tcW w:w="851" w:type="dxa"/>
                            <w:noWrap/>
                            <w:hideMark/>
                          </w:tcPr>
                          <w:p w14:paraId="213F464E"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ALT_3</w:t>
                            </w:r>
                          </w:p>
                        </w:tc>
                        <w:tc>
                          <w:tcPr>
                            <w:tcW w:w="721" w:type="dxa"/>
                            <w:noWrap/>
                            <w:hideMark/>
                          </w:tcPr>
                          <w:p w14:paraId="1378ED8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213D7A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4E8CE4B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E2FBFB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8D990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D77A5F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2263EB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040810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5A2596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704DCF3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74134D5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40FD1212" w14:textId="77777777" w:rsidTr="008E12F7">
                        <w:trPr>
                          <w:trHeight w:val="288"/>
                        </w:trPr>
                        <w:tc>
                          <w:tcPr>
                            <w:tcW w:w="851" w:type="dxa"/>
                            <w:noWrap/>
                            <w:hideMark/>
                          </w:tcPr>
                          <w:p w14:paraId="494245FC"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ALT_4</w:t>
                            </w:r>
                          </w:p>
                        </w:tc>
                        <w:tc>
                          <w:tcPr>
                            <w:tcW w:w="721" w:type="dxa"/>
                            <w:noWrap/>
                            <w:hideMark/>
                          </w:tcPr>
                          <w:p w14:paraId="0E83B25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6D5E36C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2687BC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D62966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1A31D8D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557C87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13B2E88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18E843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37211C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2A21188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810" w:type="dxa"/>
                            <w:noWrap/>
                            <w:hideMark/>
                          </w:tcPr>
                          <w:p w14:paraId="52B6919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0D7B3A4B" w14:textId="77777777" w:rsidTr="008E12F7">
                        <w:trPr>
                          <w:trHeight w:val="288"/>
                        </w:trPr>
                        <w:tc>
                          <w:tcPr>
                            <w:tcW w:w="851" w:type="dxa"/>
                            <w:noWrap/>
                            <w:hideMark/>
                          </w:tcPr>
                          <w:p w14:paraId="47AB14CE"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ALT_5</w:t>
                            </w:r>
                          </w:p>
                        </w:tc>
                        <w:tc>
                          <w:tcPr>
                            <w:tcW w:w="721" w:type="dxa"/>
                            <w:noWrap/>
                            <w:hideMark/>
                          </w:tcPr>
                          <w:p w14:paraId="0949FBA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6470C5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1EB0DF3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0270F03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41BC4BA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6FAEAE5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1B642A3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CB3256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2FAF334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6F4E96E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350149D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0E4B1DB2" w14:textId="77777777" w:rsidTr="008E12F7">
                        <w:trPr>
                          <w:trHeight w:val="288"/>
                        </w:trPr>
                        <w:tc>
                          <w:tcPr>
                            <w:tcW w:w="851" w:type="dxa"/>
                            <w:tcBorders>
                              <w:bottom w:val="single" w:sz="4" w:space="0" w:color="auto"/>
                            </w:tcBorders>
                            <w:noWrap/>
                            <w:hideMark/>
                          </w:tcPr>
                          <w:p w14:paraId="4B77F9A8"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ALT_6</w:t>
                            </w:r>
                          </w:p>
                        </w:tc>
                        <w:tc>
                          <w:tcPr>
                            <w:tcW w:w="721" w:type="dxa"/>
                            <w:tcBorders>
                              <w:bottom w:val="single" w:sz="4" w:space="0" w:color="auto"/>
                            </w:tcBorders>
                            <w:noWrap/>
                            <w:hideMark/>
                          </w:tcPr>
                          <w:p w14:paraId="54B1748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tcBorders>
                              <w:bottom w:val="single" w:sz="4" w:space="0" w:color="auto"/>
                            </w:tcBorders>
                            <w:noWrap/>
                            <w:hideMark/>
                          </w:tcPr>
                          <w:p w14:paraId="36D0385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6D0EE8A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70012B1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77DEB6B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3615897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7346759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711ADF6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2EF9447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2BC45F2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278401F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bl>
                    <w:p w14:paraId="76EB0001" w14:textId="77777777" w:rsidR="008E12F7" w:rsidRDefault="008E12F7" w:rsidP="008E12F7">
                      <w:pPr>
                        <w:ind w:left="0" w:hanging="2"/>
                      </w:pPr>
                    </w:p>
                  </w:txbxContent>
                </v:textbox>
                <w10:wrap anchorx="margin"/>
              </v:shape>
            </w:pict>
          </mc:Fallback>
        </mc:AlternateContent>
      </w:r>
    </w:p>
    <w:p w14:paraId="2B8CE722" w14:textId="7504FA74" w:rsidR="00164614" w:rsidRDefault="00164614" w:rsidP="00953AE5">
      <w:pPr>
        <w:spacing w:line="240" w:lineRule="auto"/>
        <w:ind w:leftChars="0" w:left="0" w:firstLineChars="0" w:firstLine="0"/>
        <w:jc w:val="both"/>
        <w:rPr>
          <w:rFonts w:ascii="Arial" w:hAnsi="Arial" w:cs="Arial"/>
          <w:sz w:val="20"/>
          <w:szCs w:val="20"/>
        </w:rPr>
      </w:pPr>
    </w:p>
    <w:p w14:paraId="28FCB1A4" w14:textId="274C8830" w:rsidR="00164614" w:rsidRDefault="00164614" w:rsidP="00953AE5">
      <w:pPr>
        <w:spacing w:line="240" w:lineRule="auto"/>
        <w:ind w:leftChars="0" w:left="0" w:firstLineChars="0" w:firstLine="0"/>
        <w:jc w:val="both"/>
        <w:rPr>
          <w:rFonts w:ascii="Arial" w:hAnsi="Arial" w:cs="Arial"/>
          <w:sz w:val="20"/>
          <w:szCs w:val="20"/>
        </w:rPr>
      </w:pPr>
    </w:p>
    <w:p w14:paraId="514254B1" w14:textId="476500C3" w:rsidR="00164614" w:rsidRDefault="00164614" w:rsidP="00953AE5">
      <w:pPr>
        <w:spacing w:line="240" w:lineRule="auto"/>
        <w:ind w:leftChars="0" w:left="0" w:firstLineChars="0" w:firstLine="0"/>
        <w:jc w:val="both"/>
        <w:rPr>
          <w:rFonts w:ascii="Arial" w:hAnsi="Arial" w:cs="Arial"/>
          <w:sz w:val="20"/>
          <w:szCs w:val="20"/>
        </w:rPr>
      </w:pPr>
    </w:p>
    <w:p w14:paraId="4050C661" w14:textId="2E992DEF" w:rsidR="00164614" w:rsidRDefault="00164614" w:rsidP="00953AE5">
      <w:pPr>
        <w:spacing w:line="240" w:lineRule="auto"/>
        <w:ind w:leftChars="0" w:left="0" w:firstLineChars="0" w:firstLine="0"/>
        <w:jc w:val="both"/>
        <w:rPr>
          <w:rFonts w:ascii="Arial" w:hAnsi="Arial" w:cs="Arial"/>
          <w:sz w:val="20"/>
          <w:szCs w:val="20"/>
        </w:rPr>
      </w:pPr>
    </w:p>
    <w:p w14:paraId="6184AFF8" w14:textId="32C988DB" w:rsidR="00164614" w:rsidRDefault="00164614" w:rsidP="00953AE5">
      <w:pPr>
        <w:spacing w:line="240" w:lineRule="auto"/>
        <w:ind w:leftChars="0" w:left="0" w:firstLineChars="0" w:firstLine="0"/>
        <w:jc w:val="both"/>
        <w:rPr>
          <w:rFonts w:ascii="Arial" w:hAnsi="Arial" w:cs="Arial"/>
          <w:sz w:val="20"/>
          <w:szCs w:val="20"/>
        </w:rPr>
      </w:pPr>
    </w:p>
    <w:p w14:paraId="026D06A3" w14:textId="14EAB934" w:rsidR="00164614" w:rsidRDefault="00AB52E8" w:rsidP="00953AE5">
      <w:pPr>
        <w:spacing w:line="240" w:lineRule="auto"/>
        <w:ind w:leftChars="0" w:left="0" w:firstLineChars="0" w:firstLine="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15D28E2F" wp14:editId="372F767B">
                <wp:simplePos x="0" y="0"/>
                <wp:positionH relativeFrom="margin">
                  <wp:posOffset>-635</wp:posOffset>
                </wp:positionH>
                <wp:positionV relativeFrom="paragraph">
                  <wp:posOffset>50165</wp:posOffset>
                </wp:positionV>
                <wp:extent cx="5989320" cy="1790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89320" cy="1790700"/>
                        </a:xfrm>
                        <a:prstGeom prst="rect">
                          <a:avLst/>
                        </a:prstGeom>
                        <a:noFill/>
                        <a:ln w="6350">
                          <a:noFill/>
                        </a:ln>
                      </wps:spPr>
                      <wps:txbx>
                        <w:txbxContent>
                          <w:p w14:paraId="2201B817" w14:textId="77777777" w:rsidR="008E12F7" w:rsidRPr="00B9183F" w:rsidRDefault="008E12F7" w:rsidP="008E12F7">
                            <w:pPr>
                              <w:tabs>
                                <w:tab w:val="left" w:pos="7015"/>
                              </w:tabs>
                              <w:ind w:left="0" w:hanging="2"/>
                              <w:jc w:val="both"/>
                              <w:rPr>
                                <w:rFonts w:ascii="Times New Roman" w:hAnsi="Times New Roman" w:cs="Times New Roman"/>
                                <w:sz w:val="24"/>
                                <w:szCs w:val="24"/>
                              </w:rPr>
                            </w:pPr>
                            <w:r w:rsidRPr="00B9183F">
                              <w:rPr>
                                <w:rFonts w:ascii="Times New Roman" w:hAnsi="Times New Roman" w:cs="Times New Roman"/>
                                <w:sz w:val="24"/>
                                <w:szCs w:val="24"/>
                              </w:rPr>
                              <w:t>Table 9 Normalization of alternative values</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721"/>
                              <w:gridCol w:w="721"/>
                              <w:gridCol w:w="721"/>
                              <w:gridCol w:w="721"/>
                              <w:gridCol w:w="721"/>
                              <w:gridCol w:w="721"/>
                              <w:gridCol w:w="721"/>
                              <w:gridCol w:w="721"/>
                              <w:gridCol w:w="721"/>
                              <w:gridCol w:w="810"/>
                              <w:gridCol w:w="810"/>
                            </w:tblGrid>
                            <w:tr w:rsidR="008E12F7" w:rsidRPr="008E12F7" w14:paraId="55B44522" w14:textId="77777777" w:rsidTr="008E12F7">
                              <w:trPr>
                                <w:trHeight w:val="288"/>
                              </w:trPr>
                              <w:tc>
                                <w:tcPr>
                                  <w:tcW w:w="851" w:type="dxa"/>
                                  <w:tcBorders>
                                    <w:top w:val="single" w:sz="4" w:space="0" w:color="auto"/>
                                    <w:bottom w:val="single" w:sz="4" w:space="0" w:color="auto"/>
                                  </w:tcBorders>
                                  <w:noWrap/>
                                  <w:hideMark/>
                                </w:tcPr>
                                <w:p w14:paraId="7C7BEC76"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Alternative</w:t>
                                  </w:r>
                                </w:p>
                              </w:tc>
                              <w:tc>
                                <w:tcPr>
                                  <w:tcW w:w="721" w:type="dxa"/>
                                  <w:tcBorders>
                                    <w:top w:val="single" w:sz="4" w:space="0" w:color="auto"/>
                                    <w:bottom w:val="single" w:sz="4" w:space="0" w:color="auto"/>
                                  </w:tcBorders>
                                  <w:noWrap/>
                                  <w:hideMark/>
                                </w:tcPr>
                                <w:p w14:paraId="392B548E"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w:t>
                                  </w:r>
                                </w:p>
                              </w:tc>
                              <w:tc>
                                <w:tcPr>
                                  <w:tcW w:w="721" w:type="dxa"/>
                                  <w:tcBorders>
                                    <w:top w:val="single" w:sz="4" w:space="0" w:color="auto"/>
                                    <w:bottom w:val="single" w:sz="4" w:space="0" w:color="auto"/>
                                  </w:tcBorders>
                                  <w:noWrap/>
                                  <w:hideMark/>
                                </w:tcPr>
                                <w:p w14:paraId="4E579A2F"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CRT_2</w:t>
                                  </w:r>
                                </w:p>
                              </w:tc>
                              <w:tc>
                                <w:tcPr>
                                  <w:tcW w:w="721" w:type="dxa"/>
                                  <w:tcBorders>
                                    <w:top w:val="single" w:sz="4" w:space="0" w:color="auto"/>
                                    <w:bottom w:val="single" w:sz="4" w:space="0" w:color="auto"/>
                                  </w:tcBorders>
                                  <w:noWrap/>
                                  <w:hideMark/>
                                </w:tcPr>
                                <w:p w14:paraId="11C2EBAC"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CRT_3</w:t>
                                  </w:r>
                                </w:p>
                              </w:tc>
                              <w:tc>
                                <w:tcPr>
                                  <w:tcW w:w="721" w:type="dxa"/>
                                  <w:tcBorders>
                                    <w:top w:val="single" w:sz="4" w:space="0" w:color="auto"/>
                                    <w:bottom w:val="single" w:sz="4" w:space="0" w:color="auto"/>
                                  </w:tcBorders>
                                  <w:noWrap/>
                                  <w:hideMark/>
                                </w:tcPr>
                                <w:p w14:paraId="7DD7DCDA"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CRT_4</w:t>
                                  </w:r>
                                </w:p>
                              </w:tc>
                              <w:tc>
                                <w:tcPr>
                                  <w:tcW w:w="721" w:type="dxa"/>
                                  <w:tcBorders>
                                    <w:top w:val="single" w:sz="4" w:space="0" w:color="auto"/>
                                    <w:bottom w:val="single" w:sz="4" w:space="0" w:color="auto"/>
                                  </w:tcBorders>
                                  <w:noWrap/>
                                  <w:hideMark/>
                                </w:tcPr>
                                <w:p w14:paraId="5D40A050"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CRT_5</w:t>
                                  </w:r>
                                </w:p>
                              </w:tc>
                              <w:tc>
                                <w:tcPr>
                                  <w:tcW w:w="721" w:type="dxa"/>
                                  <w:tcBorders>
                                    <w:top w:val="single" w:sz="4" w:space="0" w:color="auto"/>
                                    <w:bottom w:val="single" w:sz="4" w:space="0" w:color="auto"/>
                                  </w:tcBorders>
                                  <w:noWrap/>
                                  <w:hideMark/>
                                </w:tcPr>
                                <w:p w14:paraId="1353067D"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CRT_6</w:t>
                                  </w:r>
                                </w:p>
                              </w:tc>
                              <w:tc>
                                <w:tcPr>
                                  <w:tcW w:w="721" w:type="dxa"/>
                                  <w:tcBorders>
                                    <w:top w:val="single" w:sz="4" w:space="0" w:color="auto"/>
                                    <w:bottom w:val="single" w:sz="4" w:space="0" w:color="auto"/>
                                  </w:tcBorders>
                                  <w:noWrap/>
                                  <w:hideMark/>
                                </w:tcPr>
                                <w:p w14:paraId="732CB2B0"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CRT_7</w:t>
                                  </w:r>
                                </w:p>
                              </w:tc>
                              <w:tc>
                                <w:tcPr>
                                  <w:tcW w:w="721" w:type="dxa"/>
                                  <w:tcBorders>
                                    <w:top w:val="single" w:sz="4" w:space="0" w:color="auto"/>
                                    <w:bottom w:val="single" w:sz="4" w:space="0" w:color="auto"/>
                                  </w:tcBorders>
                                  <w:noWrap/>
                                  <w:hideMark/>
                                </w:tcPr>
                                <w:p w14:paraId="14CFFC81"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CRT_8</w:t>
                                  </w:r>
                                </w:p>
                              </w:tc>
                              <w:tc>
                                <w:tcPr>
                                  <w:tcW w:w="721" w:type="dxa"/>
                                  <w:tcBorders>
                                    <w:top w:val="single" w:sz="4" w:space="0" w:color="auto"/>
                                    <w:bottom w:val="single" w:sz="4" w:space="0" w:color="auto"/>
                                  </w:tcBorders>
                                  <w:noWrap/>
                                  <w:hideMark/>
                                </w:tcPr>
                                <w:p w14:paraId="0A16B05E"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CRT_9</w:t>
                                  </w:r>
                                </w:p>
                              </w:tc>
                              <w:tc>
                                <w:tcPr>
                                  <w:tcW w:w="810" w:type="dxa"/>
                                  <w:tcBorders>
                                    <w:top w:val="single" w:sz="4" w:space="0" w:color="auto"/>
                                    <w:bottom w:val="single" w:sz="4" w:space="0" w:color="auto"/>
                                  </w:tcBorders>
                                  <w:noWrap/>
                                  <w:hideMark/>
                                </w:tcPr>
                                <w:p w14:paraId="2378AEE9"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CRT_10</w:t>
                                  </w:r>
                                </w:p>
                              </w:tc>
                              <w:tc>
                                <w:tcPr>
                                  <w:tcW w:w="810" w:type="dxa"/>
                                  <w:tcBorders>
                                    <w:top w:val="single" w:sz="4" w:space="0" w:color="auto"/>
                                    <w:bottom w:val="single" w:sz="4" w:space="0" w:color="auto"/>
                                  </w:tcBorders>
                                  <w:noWrap/>
                                  <w:hideMark/>
                                </w:tcPr>
                                <w:p w14:paraId="67DAF34A"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CRT_11</w:t>
                                  </w:r>
                                </w:p>
                              </w:tc>
                            </w:tr>
                            <w:tr w:rsidR="008E12F7" w:rsidRPr="008E12F7" w14:paraId="77157CC9" w14:textId="77777777" w:rsidTr="008E12F7">
                              <w:trPr>
                                <w:trHeight w:val="288"/>
                              </w:trPr>
                              <w:tc>
                                <w:tcPr>
                                  <w:tcW w:w="851" w:type="dxa"/>
                                  <w:tcBorders>
                                    <w:top w:val="single" w:sz="4" w:space="0" w:color="auto"/>
                                  </w:tcBorders>
                                  <w:noWrap/>
                                  <w:hideMark/>
                                </w:tcPr>
                                <w:p w14:paraId="7FCD0EBA"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ALT_1</w:t>
                                  </w:r>
                                </w:p>
                              </w:tc>
                              <w:tc>
                                <w:tcPr>
                                  <w:tcW w:w="721" w:type="dxa"/>
                                  <w:tcBorders>
                                    <w:top w:val="single" w:sz="4" w:space="0" w:color="auto"/>
                                  </w:tcBorders>
                                  <w:noWrap/>
                                  <w:hideMark/>
                                </w:tcPr>
                                <w:p w14:paraId="78BAEC8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3611EE8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68F7D2D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06610F6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54988E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7BAD100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394C6CF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43FC9E1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4D499CD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1C12BEB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162A7D4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r>
                            <w:tr w:rsidR="008E12F7" w:rsidRPr="008E12F7" w14:paraId="0F31F635" w14:textId="77777777" w:rsidTr="008E12F7">
                              <w:trPr>
                                <w:trHeight w:val="288"/>
                              </w:trPr>
                              <w:tc>
                                <w:tcPr>
                                  <w:tcW w:w="851" w:type="dxa"/>
                                  <w:noWrap/>
                                  <w:hideMark/>
                                </w:tcPr>
                                <w:p w14:paraId="0E61235C"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ALT_2</w:t>
                                  </w:r>
                                </w:p>
                              </w:tc>
                              <w:tc>
                                <w:tcPr>
                                  <w:tcW w:w="721" w:type="dxa"/>
                                  <w:noWrap/>
                                  <w:hideMark/>
                                </w:tcPr>
                                <w:p w14:paraId="3F96291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7EB3E2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56128A3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04CD1F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3E1FF23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6A9BB04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1C733A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215FBB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066782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161CD78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810" w:type="dxa"/>
                                  <w:noWrap/>
                                  <w:hideMark/>
                                </w:tcPr>
                                <w:p w14:paraId="6B86031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7F3E5C27" w14:textId="77777777" w:rsidTr="008E12F7">
                              <w:trPr>
                                <w:trHeight w:val="288"/>
                              </w:trPr>
                              <w:tc>
                                <w:tcPr>
                                  <w:tcW w:w="851" w:type="dxa"/>
                                  <w:noWrap/>
                                  <w:hideMark/>
                                </w:tcPr>
                                <w:p w14:paraId="0ABF092D"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ALT_3</w:t>
                                  </w:r>
                                </w:p>
                              </w:tc>
                              <w:tc>
                                <w:tcPr>
                                  <w:tcW w:w="721" w:type="dxa"/>
                                  <w:noWrap/>
                                  <w:hideMark/>
                                </w:tcPr>
                                <w:p w14:paraId="5DCFC67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06FE534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5CE52B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747201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EA74A1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2D1C9C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537332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1B176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02162D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0BDAD11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64933AA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648A3177" w14:textId="77777777" w:rsidTr="008E12F7">
                              <w:trPr>
                                <w:trHeight w:val="288"/>
                              </w:trPr>
                              <w:tc>
                                <w:tcPr>
                                  <w:tcW w:w="851" w:type="dxa"/>
                                  <w:noWrap/>
                                  <w:hideMark/>
                                </w:tcPr>
                                <w:p w14:paraId="1662408D"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ALT_4</w:t>
                                  </w:r>
                                </w:p>
                              </w:tc>
                              <w:tc>
                                <w:tcPr>
                                  <w:tcW w:w="721" w:type="dxa"/>
                                  <w:noWrap/>
                                  <w:hideMark/>
                                </w:tcPr>
                                <w:p w14:paraId="525328C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5B5046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19BCF1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4165717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BBDB0B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7319D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579A74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712E43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ACA36C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0AA327A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810" w:type="dxa"/>
                                  <w:noWrap/>
                                  <w:hideMark/>
                                </w:tcPr>
                                <w:p w14:paraId="3034616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06C29ABA" w14:textId="77777777" w:rsidTr="008E12F7">
                              <w:trPr>
                                <w:trHeight w:val="288"/>
                              </w:trPr>
                              <w:tc>
                                <w:tcPr>
                                  <w:tcW w:w="851" w:type="dxa"/>
                                  <w:noWrap/>
                                  <w:hideMark/>
                                </w:tcPr>
                                <w:p w14:paraId="24989C24"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ALT_5</w:t>
                                  </w:r>
                                </w:p>
                              </w:tc>
                              <w:tc>
                                <w:tcPr>
                                  <w:tcW w:w="721" w:type="dxa"/>
                                  <w:noWrap/>
                                  <w:hideMark/>
                                </w:tcPr>
                                <w:p w14:paraId="0DAAD8D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E4E4A3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4C81CEB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2AE4E95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2AD7E5A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3791081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51F103F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6322D3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6DFD74F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2F7C12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45EBEB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15E6C15B" w14:textId="77777777" w:rsidTr="008E12F7">
                              <w:trPr>
                                <w:trHeight w:val="288"/>
                              </w:trPr>
                              <w:tc>
                                <w:tcPr>
                                  <w:tcW w:w="851" w:type="dxa"/>
                                  <w:tcBorders>
                                    <w:bottom w:val="single" w:sz="4" w:space="0" w:color="auto"/>
                                  </w:tcBorders>
                                  <w:noWrap/>
                                  <w:hideMark/>
                                </w:tcPr>
                                <w:p w14:paraId="72B69753"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ALT_6</w:t>
                                  </w:r>
                                </w:p>
                              </w:tc>
                              <w:tc>
                                <w:tcPr>
                                  <w:tcW w:w="721" w:type="dxa"/>
                                  <w:tcBorders>
                                    <w:bottom w:val="single" w:sz="4" w:space="0" w:color="auto"/>
                                  </w:tcBorders>
                                  <w:noWrap/>
                                  <w:hideMark/>
                                </w:tcPr>
                                <w:p w14:paraId="61D84F7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tcBorders>
                                    <w:bottom w:val="single" w:sz="4" w:space="0" w:color="auto"/>
                                  </w:tcBorders>
                                  <w:noWrap/>
                                  <w:hideMark/>
                                </w:tcPr>
                                <w:p w14:paraId="426DCCC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0955660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2C38DB5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1C4256B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38049AD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23B5227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76F717F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005EA9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4A94E1D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4CA94C7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bl>
                          <w:p w14:paraId="509470E9" w14:textId="77777777" w:rsidR="008E12F7" w:rsidRDefault="008E12F7" w:rsidP="008E12F7">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28E2F" id="Text Box 4" o:spid="_x0000_s1029" type="#_x0000_t202" style="position:absolute;left:0;text-align:left;margin-left:-.05pt;margin-top:3.95pt;width:471.6pt;height:1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OvHAIAADQ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" filled="f" stroked="f" strokeweight=".5pt">
                <v:textbox>
                  <w:txbxContent>
                    <w:p w14:paraId="2201B817" w14:textId="77777777" w:rsidR="008E12F7" w:rsidRPr="00B9183F" w:rsidRDefault="008E12F7" w:rsidP="008E12F7">
                      <w:pPr>
                        <w:tabs>
                          <w:tab w:val="left" w:pos="7015"/>
                        </w:tabs>
                        <w:ind w:left="0" w:hanging="2"/>
                        <w:jc w:val="both"/>
                        <w:rPr>
                          <w:rFonts w:ascii="Times New Roman" w:hAnsi="Times New Roman" w:cs="Times New Roman"/>
                          <w:sz w:val="24"/>
                          <w:szCs w:val="24"/>
                        </w:rPr>
                      </w:pPr>
                      <w:r w:rsidRPr="00B9183F">
                        <w:rPr>
                          <w:rFonts w:ascii="Times New Roman" w:hAnsi="Times New Roman" w:cs="Times New Roman"/>
                          <w:sz w:val="24"/>
                          <w:szCs w:val="24"/>
                        </w:rPr>
                        <w:t>Table 9 Normalization of alternative values</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721"/>
                        <w:gridCol w:w="721"/>
                        <w:gridCol w:w="721"/>
                        <w:gridCol w:w="721"/>
                        <w:gridCol w:w="721"/>
                        <w:gridCol w:w="721"/>
                        <w:gridCol w:w="721"/>
                        <w:gridCol w:w="721"/>
                        <w:gridCol w:w="721"/>
                        <w:gridCol w:w="810"/>
                        <w:gridCol w:w="810"/>
                      </w:tblGrid>
                      <w:tr w:rsidR="008E12F7" w:rsidRPr="008E12F7" w14:paraId="55B44522" w14:textId="77777777" w:rsidTr="008E12F7">
                        <w:trPr>
                          <w:trHeight w:val="288"/>
                        </w:trPr>
                        <w:tc>
                          <w:tcPr>
                            <w:tcW w:w="851" w:type="dxa"/>
                            <w:tcBorders>
                              <w:top w:val="single" w:sz="4" w:space="0" w:color="auto"/>
                              <w:bottom w:val="single" w:sz="4" w:space="0" w:color="auto"/>
                            </w:tcBorders>
                            <w:noWrap/>
                            <w:hideMark/>
                          </w:tcPr>
                          <w:p w14:paraId="7C7BEC76"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Alternative</w:t>
                            </w:r>
                          </w:p>
                        </w:tc>
                        <w:tc>
                          <w:tcPr>
                            <w:tcW w:w="721" w:type="dxa"/>
                            <w:tcBorders>
                              <w:top w:val="single" w:sz="4" w:space="0" w:color="auto"/>
                              <w:bottom w:val="single" w:sz="4" w:space="0" w:color="auto"/>
                            </w:tcBorders>
                            <w:noWrap/>
                            <w:hideMark/>
                          </w:tcPr>
                          <w:p w14:paraId="392B548E"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w:t>
                            </w:r>
                          </w:p>
                        </w:tc>
                        <w:tc>
                          <w:tcPr>
                            <w:tcW w:w="721" w:type="dxa"/>
                            <w:tcBorders>
                              <w:top w:val="single" w:sz="4" w:space="0" w:color="auto"/>
                              <w:bottom w:val="single" w:sz="4" w:space="0" w:color="auto"/>
                            </w:tcBorders>
                            <w:noWrap/>
                            <w:hideMark/>
                          </w:tcPr>
                          <w:p w14:paraId="4E579A2F"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CRT_2</w:t>
                            </w:r>
                          </w:p>
                        </w:tc>
                        <w:tc>
                          <w:tcPr>
                            <w:tcW w:w="721" w:type="dxa"/>
                            <w:tcBorders>
                              <w:top w:val="single" w:sz="4" w:space="0" w:color="auto"/>
                              <w:bottom w:val="single" w:sz="4" w:space="0" w:color="auto"/>
                            </w:tcBorders>
                            <w:noWrap/>
                            <w:hideMark/>
                          </w:tcPr>
                          <w:p w14:paraId="11C2EBAC"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CRT_3</w:t>
                            </w:r>
                          </w:p>
                        </w:tc>
                        <w:tc>
                          <w:tcPr>
                            <w:tcW w:w="721" w:type="dxa"/>
                            <w:tcBorders>
                              <w:top w:val="single" w:sz="4" w:space="0" w:color="auto"/>
                              <w:bottom w:val="single" w:sz="4" w:space="0" w:color="auto"/>
                            </w:tcBorders>
                            <w:noWrap/>
                            <w:hideMark/>
                          </w:tcPr>
                          <w:p w14:paraId="7DD7DCDA"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CRT_4</w:t>
                            </w:r>
                          </w:p>
                        </w:tc>
                        <w:tc>
                          <w:tcPr>
                            <w:tcW w:w="721" w:type="dxa"/>
                            <w:tcBorders>
                              <w:top w:val="single" w:sz="4" w:space="0" w:color="auto"/>
                              <w:bottom w:val="single" w:sz="4" w:space="0" w:color="auto"/>
                            </w:tcBorders>
                            <w:noWrap/>
                            <w:hideMark/>
                          </w:tcPr>
                          <w:p w14:paraId="5D40A050"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CRT_5</w:t>
                            </w:r>
                          </w:p>
                        </w:tc>
                        <w:tc>
                          <w:tcPr>
                            <w:tcW w:w="721" w:type="dxa"/>
                            <w:tcBorders>
                              <w:top w:val="single" w:sz="4" w:space="0" w:color="auto"/>
                              <w:bottom w:val="single" w:sz="4" w:space="0" w:color="auto"/>
                            </w:tcBorders>
                            <w:noWrap/>
                            <w:hideMark/>
                          </w:tcPr>
                          <w:p w14:paraId="1353067D"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CRT_6</w:t>
                            </w:r>
                          </w:p>
                        </w:tc>
                        <w:tc>
                          <w:tcPr>
                            <w:tcW w:w="721" w:type="dxa"/>
                            <w:tcBorders>
                              <w:top w:val="single" w:sz="4" w:space="0" w:color="auto"/>
                              <w:bottom w:val="single" w:sz="4" w:space="0" w:color="auto"/>
                            </w:tcBorders>
                            <w:noWrap/>
                            <w:hideMark/>
                          </w:tcPr>
                          <w:p w14:paraId="732CB2B0"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CRT_7</w:t>
                            </w:r>
                          </w:p>
                        </w:tc>
                        <w:tc>
                          <w:tcPr>
                            <w:tcW w:w="721" w:type="dxa"/>
                            <w:tcBorders>
                              <w:top w:val="single" w:sz="4" w:space="0" w:color="auto"/>
                              <w:bottom w:val="single" w:sz="4" w:space="0" w:color="auto"/>
                            </w:tcBorders>
                            <w:noWrap/>
                            <w:hideMark/>
                          </w:tcPr>
                          <w:p w14:paraId="14CFFC81"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CRT_8</w:t>
                            </w:r>
                          </w:p>
                        </w:tc>
                        <w:tc>
                          <w:tcPr>
                            <w:tcW w:w="721" w:type="dxa"/>
                            <w:tcBorders>
                              <w:top w:val="single" w:sz="4" w:space="0" w:color="auto"/>
                              <w:bottom w:val="single" w:sz="4" w:space="0" w:color="auto"/>
                            </w:tcBorders>
                            <w:noWrap/>
                            <w:hideMark/>
                          </w:tcPr>
                          <w:p w14:paraId="0A16B05E"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CRT_9</w:t>
                            </w:r>
                          </w:p>
                        </w:tc>
                        <w:tc>
                          <w:tcPr>
                            <w:tcW w:w="810" w:type="dxa"/>
                            <w:tcBorders>
                              <w:top w:val="single" w:sz="4" w:space="0" w:color="auto"/>
                              <w:bottom w:val="single" w:sz="4" w:space="0" w:color="auto"/>
                            </w:tcBorders>
                            <w:noWrap/>
                            <w:hideMark/>
                          </w:tcPr>
                          <w:p w14:paraId="2378AEE9"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CRT_10</w:t>
                            </w:r>
                          </w:p>
                        </w:tc>
                        <w:tc>
                          <w:tcPr>
                            <w:tcW w:w="810" w:type="dxa"/>
                            <w:tcBorders>
                              <w:top w:val="single" w:sz="4" w:space="0" w:color="auto"/>
                              <w:bottom w:val="single" w:sz="4" w:space="0" w:color="auto"/>
                            </w:tcBorders>
                            <w:noWrap/>
                            <w:hideMark/>
                          </w:tcPr>
                          <w:p w14:paraId="67DAF34A" w14:textId="77777777" w:rsidR="008E12F7" w:rsidRPr="008E12F7" w:rsidRDefault="008E12F7" w:rsidP="008E12F7">
                            <w:pPr>
                              <w:ind w:left="0" w:hanging="2"/>
                              <w:jc w:val="center"/>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CRT_11</w:t>
                            </w:r>
                          </w:p>
                        </w:tc>
                      </w:tr>
                      <w:tr w:rsidR="008E12F7" w:rsidRPr="008E12F7" w14:paraId="77157CC9" w14:textId="77777777" w:rsidTr="008E12F7">
                        <w:trPr>
                          <w:trHeight w:val="288"/>
                        </w:trPr>
                        <w:tc>
                          <w:tcPr>
                            <w:tcW w:w="851" w:type="dxa"/>
                            <w:tcBorders>
                              <w:top w:val="single" w:sz="4" w:space="0" w:color="auto"/>
                            </w:tcBorders>
                            <w:noWrap/>
                            <w:hideMark/>
                          </w:tcPr>
                          <w:p w14:paraId="7FCD0EBA"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ALT_1</w:t>
                            </w:r>
                          </w:p>
                        </w:tc>
                        <w:tc>
                          <w:tcPr>
                            <w:tcW w:w="721" w:type="dxa"/>
                            <w:tcBorders>
                              <w:top w:val="single" w:sz="4" w:space="0" w:color="auto"/>
                            </w:tcBorders>
                            <w:noWrap/>
                            <w:hideMark/>
                          </w:tcPr>
                          <w:p w14:paraId="78BAEC8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3611EE8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68F7D2D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06610F6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54988E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7BAD100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394C6CF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43FC9E1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721" w:type="dxa"/>
                            <w:tcBorders>
                              <w:top w:val="single" w:sz="4" w:space="0" w:color="auto"/>
                            </w:tcBorders>
                            <w:noWrap/>
                            <w:hideMark/>
                          </w:tcPr>
                          <w:p w14:paraId="4D499CD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1C12BEB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c>
                          <w:tcPr>
                            <w:tcW w:w="810" w:type="dxa"/>
                            <w:tcBorders>
                              <w:top w:val="single" w:sz="4" w:space="0" w:color="auto"/>
                            </w:tcBorders>
                            <w:noWrap/>
                            <w:hideMark/>
                          </w:tcPr>
                          <w:p w14:paraId="162A7D4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90</w:t>
                            </w:r>
                          </w:p>
                        </w:tc>
                      </w:tr>
                      <w:tr w:rsidR="008E12F7" w:rsidRPr="008E12F7" w14:paraId="0F31F635" w14:textId="77777777" w:rsidTr="008E12F7">
                        <w:trPr>
                          <w:trHeight w:val="288"/>
                        </w:trPr>
                        <w:tc>
                          <w:tcPr>
                            <w:tcW w:w="851" w:type="dxa"/>
                            <w:noWrap/>
                            <w:hideMark/>
                          </w:tcPr>
                          <w:p w14:paraId="0E61235C"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ALT_2</w:t>
                            </w:r>
                          </w:p>
                        </w:tc>
                        <w:tc>
                          <w:tcPr>
                            <w:tcW w:w="721" w:type="dxa"/>
                            <w:noWrap/>
                            <w:hideMark/>
                          </w:tcPr>
                          <w:p w14:paraId="3F96291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7EB3E2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56128A3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04CD1F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3E1FF23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6A9BB04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1C733A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215FBB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066782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161CD78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810" w:type="dxa"/>
                            <w:noWrap/>
                            <w:hideMark/>
                          </w:tcPr>
                          <w:p w14:paraId="6B86031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7F3E5C27" w14:textId="77777777" w:rsidTr="008E12F7">
                        <w:trPr>
                          <w:trHeight w:val="288"/>
                        </w:trPr>
                        <w:tc>
                          <w:tcPr>
                            <w:tcW w:w="851" w:type="dxa"/>
                            <w:noWrap/>
                            <w:hideMark/>
                          </w:tcPr>
                          <w:p w14:paraId="0ABF092D"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ALT_3</w:t>
                            </w:r>
                          </w:p>
                        </w:tc>
                        <w:tc>
                          <w:tcPr>
                            <w:tcW w:w="721" w:type="dxa"/>
                            <w:noWrap/>
                            <w:hideMark/>
                          </w:tcPr>
                          <w:p w14:paraId="5DCFC67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06FE534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5CE52B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747201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EA74A1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2D1C9C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537332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1B176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02162D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0BDAD11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64933AA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648A3177" w14:textId="77777777" w:rsidTr="008E12F7">
                        <w:trPr>
                          <w:trHeight w:val="288"/>
                        </w:trPr>
                        <w:tc>
                          <w:tcPr>
                            <w:tcW w:w="851" w:type="dxa"/>
                            <w:noWrap/>
                            <w:hideMark/>
                          </w:tcPr>
                          <w:p w14:paraId="1662408D"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ALT_4</w:t>
                            </w:r>
                          </w:p>
                        </w:tc>
                        <w:tc>
                          <w:tcPr>
                            <w:tcW w:w="721" w:type="dxa"/>
                            <w:noWrap/>
                            <w:hideMark/>
                          </w:tcPr>
                          <w:p w14:paraId="525328C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noWrap/>
                            <w:hideMark/>
                          </w:tcPr>
                          <w:p w14:paraId="5B50460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319BCF1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4165717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BBDB0B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7319D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7579A74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5712E43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0ACA36C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0AA327A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810" w:type="dxa"/>
                            <w:noWrap/>
                            <w:hideMark/>
                          </w:tcPr>
                          <w:p w14:paraId="3034616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r>
                      <w:tr w:rsidR="008E12F7" w:rsidRPr="008E12F7" w14:paraId="06C29ABA" w14:textId="77777777" w:rsidTr="008E12F7">
                        <w:trPr>
                          <w:trHeight w:val="288"/>
                        </w:trPr>
                        <w:tc>
                          <w:tcPr>
                            <w:tcW w:w="851" w:type="dxa"/>
                            <w:noWrap/>
                            <w:hideMark/>
                          </w:tcPr>
                          <w:p w14:paraId="24989C24"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ALT_5</w:t>
                            </w:r>
                          </w:p>
                        </w:tc>
                        <w:tc>
                          <w:tcPr>
                            <w:tcW w:w="721" w:type="dxa"/>
                            <w:noWrap/>
                            <w:hideMark/>
                          </w:tcPr>
                          <w:p w14:paraId="0DAAD8D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6E4E4A3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4C81CEB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2AE4E95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2AD7E5A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3791081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noWrap/>
                            <w:hideMark/>
                          </w:tcPr>
                          <w:p w14:paraId="51F103F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noWrap/>
                            <w:hideMark/>
                          </w:tcPr>
                          <w:p w14:paraId="26322D3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60</w:t>
                            </w:r>
                          </w:p>
                        </w:tc>
                        <w:tc>
                          <w:tcPr>
                            <w:tcW w:w="721" w:type="dxa"/>
                            <w:noWrap/>
                            <w:hideMark/>
                          </w:tcPr>
                          <w:p w14:paraId="6DFD74F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2F7C12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noWrap/>
                            <w:hideMark/>
                          </w:tcPr>
                          <w:p w14:paraId="45EBEB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r w:rsidR="008E12F7" w:rsidRPr="008E12F7" w14:paraId="15E6C15B" w14:textId="77777777" w:rsidTr="008E12F7">
                        <w:trPr>
                          <w:trHeight w:val="288"/>
                        </w:trPr>
                        <w:tc>
                          <w:tcPr>
                            <w:tcW w:w="851" w:type="dxa"/>
                            <w:tcBorders>
                              <w:bottom w:val="single" w:sz="4" w:space="0" w:color="auto"/>
                            </w:tcBorders>
                            <w:noWrap/>
                            <w:hideMark/>
                          </w:tcPr>
                          <w:p w14:paraId="72B69753"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ALT_6</w:t>
                            </w:r>
                          </w:p>
                        </w:tc>
                        <w:tc>
                          <w:tcPr>
                            <w:tcW w:w="721" w:type="dxa"/>
                            <w:tcBorders>
                              <w:bottom w:val="single" w:sz="4" w:space="0" w:color="auto"/>
                            </w:tcBorders>
                            <w:noWrap/>
                            <w:hideMark/>
                          </w:tcPr>
                          <w:p w14:paraId="61D84F7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75</w:t>
                            </w:r>
                          </w:p>
                        </w:tc>
                        <w:tc>
                          <w:tcPr>
                            <w:tcW w:w="721" w:type="dxa"/>
                            <w:tcBorders>
                              <w:bottom w:val="single" w:sz="4" w:space="0" w:color="auto"/>
                            </w:tcBorders>
                            <w:noWrap/>
                            <w:hideMark/>
                          </w:tcPr>
                          <w:p w14:paraId="426DCCC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0955660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2C38DB5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1C4256B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38049AD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23B5227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80</w:t>
                            </w:r>
                          </w:p>
                        </w:tc>
                        <w:tc>
                          <w:tcPr>
                            <w:tcW w:w="721" w:type="dxa"/>
                            <w:tcBorders>
                              <w:bottom w:val="single" w:sz="4" w:space="0" w:color="auto"/>
                            </w:tcBorders>
                            <w:noWrap/>
                            <w:hideMark/>
                          </w:tcPr>
                          <w:p w14:paraId="76F717F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721" w:type="dxa"/>
                            <w:tcBorders>
                              <w:bottom w:val="single" w:sz="4" w:space="0" w:color="auto"/>
                            </w:tcBorders>
                            <w:noWrap/>
                            <w:hideMark/>
                          </w:tcPr>
                          <w:p w14:paraId="005EA9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4A94E1D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c>
                          <w:tcPr>
                            <w:tcW w:w="810" w:type="dxa"/>
                            <w:tcBorders>
                              <w:bottom w:val="single" w:sz="4" w:space="0" w:color="auto"/>
                            </w:tcBorders>
                            <w:noWrap/>
                            <w:hideMark/>
                          </w:tcPr>
                          <w:p w14:paraId="4CA94C7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70</w:t>
                            </w:r>
                          </w:p>
                        </w:tc>
                      </w:tr>
                    </w:tbl>
                    <w:p w14:paraId="509470E9" w14:textId="77777777" w:rsidR="008E12F7" w:rsidRDefault="008E12F7" w:rsidP="008E12F7">
                      <w:pPr>
                        <w:ind w:left="0" w:hanging="2"/>
                      </w:pPr>
                    </w:p>
                  </w:txbxContent>
                </v:textbox>
                <w10:wrap anchorx="margin"/>
              </v:shape>
            </w:pict>
          </mc:Fallback>
        </mc:AlternateContent>
      </w:r>
    </w:p>
    <w:p w14:paraId="56918ED3" w14:textId="4B6017AD" w:rsidR="00164614" w:rsidRDefault="00164614" w:rsidP="00953AE5">
      <w:pPr>
        <w:spacing w:line="240" w:lineRule="auto"/>
        <w:ind w:leftChars="0" w:left="0" w:firstLineChars="0" w:firstLine="0"/>
        <w:jc w:val="both"/>
        <w:rPr>
          <w:rFonts w:ascii="Arial" w:hAnsi="Arial" w:cs="Arial"/>
          <w:sz w:val="20"/>
          <w:szCs w:val="20"/>
        </w:rPr>
      </w:pPr>
    </w:p>
    <w:p w14:paraId="737AF1D9" w14:textId="213C2C13" w:rsidR="00164614" w:rsidRDefault="00164614" w:rsidP="00953AE5">
      <w:pPr>
        <w:spacing w:line="240" w:lineRule="auto"/>
        <w:ind w:leftChars="0" w:left="0" w:firstLineChars="0" w:firstLine="0"/>
        <w:jc w:val="both"/>
        <w:rPr>
          <w:rFonts w:ascii="Arial" w:hAnsi="Arial" w:cs="Arial"/>
          <w:sz w:val="20"/>
          <w:szCs w:val="20"/>
        </w:rPr>
      </w:pPr>
    </w:p>
    <w:p w14:paraId="7A9E96E1" w14:textId="2262FD3C" w:rsidR="00164614" w:rsidRDefault="00164614" w:rsidP="00953AE5">
      <w:pPr>
        <w:spacing w:line="240" w:lineRule="auto"/>
        <w:ind w:leftChars="0" w:left="0" w:firstLineChars="0" w:firstLine="0"/>
        <w:jc w:val="both"/>
        <w:rPr>
          <w:rFonts w:ascii="Arial" w:hAnsi="Arial" w:cs="Arial"/>
          <w:sz w:val="20"/>
          <w:szCs w:val="20"/>
        </w:rPr>
      </w:pPr>
    </w:p>
    <w:p w14:paraId="2FB2A9A2" w14:textId="1A77F613" w:rsidR="00253AC2" w:rsidRPr="00892158" w:rsidRDefault="00253AC2" w:rsidP="00953AE5">
      <w:pPr>
        <w:spacing w:line="240" w:lineRule="auto"/>
        <w:ind w:leftChars="0" w:left="0" w:firstLineChars="0" w:firstLine="0"/>
        <w:jc w:val="both"/>
        <w:rPr>
          <w:rFonts w:ascii="Arial" w:hAnsi="Arial" w:cs="Arial"/>
          <w:sz w:val="20"/>
          <w:szCs w:val="20"/>
        </w:rPr>
      </w:pPr>
    </w:p>
    <w:p w14:paraId="03B7A2AA" w14:textId="24D56C32" w:rsidR="0096266C" w:rsidRDefault="0096266C" w:rsidP="00953AE5">
      <w:pPr>
        <w:spacing w:after="0" w:line="240" w:lineRule="auto"/>
        <w:ind w:left="0" w:hanging="2"/>
        <w:jc w:val="both"/>
        <w:rPr>
          <w:rFonts w:ascii="Arial" w:hAnsi="Arial" w:cs="Arial"/>
          <w:sz w:val="20"/>
          <w:szCs w:val="20"/>
        </w:rPr>
      </w:pPr>
    </w:p>
    <w:p w14:paraId="72F3C746" w14:textId="79F3C7EA" w:rsidR="0096266C" w:rsidRPr="00892158" w:rsidRDefault="0096266C" w:rsidP="00953AE5">
      <w:pPr>
        <w:spacing w:after="0" w:line="240" w:lineRule="auto"/>
        <w:ind w:left="0" w:hanging="2"/>
        <w:jc w:val="both"/>
        <w:rPr>
          <w:rFonts w:ascii="Arial" w:hAnsi="Arial" w:cs="Arial"/>
          <w:sz w:val="20"/>
          <w:szCs w:val="20"/>
        </w:rPr>
      </w:pPr>
    </w:p>
    <w:p w14:paraId="2187F6F9" w14:textId="0D4AAC5A" w:rsidR="0096266C" w:rsidRDefault="0096266C" w:rsidP="00953AE5">
      <w:pPr>
        <w:spacing w:after="0" w:line="240" w:lineRule="auto"/>
        <w:ind w:left="0" w:hanging="2"/>
        <w:jc w:val="both"/>
        <w:rPr>
          <w:rFonts w:ascii="Arial" w:eastAsia="Arial" w:hAnsi="Arial" w:cs="Arial"/>
          <w:sz w:val="20"/>
          <w:szCs w:val="20"/>
        </w:rPr>
      </w:pPr>
    </w:p>
    <w:p w14:paraId="1F4C518A" w14:textId="4A99B1A6" w:rsidR="0096266C" w:rsidRDefault="00AB52E8" w:rsidP="00953AE5">
      <w:pPr>
        <w:spacing w:after="0" w:line="240" w:lineRule="auto"/>
        <w:ind w:left="0" w:hanging="2"/>
        <w:jc w:val="both"/>
        <w:rPr>
          <w:rFonts w:ascii="Arial" w:eastAsia="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70686C6E" wp14:editId="3CAB1CB1">
                <wp:simplePos x="0" y="0"/>
                <wp:positionH relativeFrom="margin">
                  <wp:posOffset>-27305</wp:posOffset>
                </wp:positionH>
                <wp:positionV relativeFrom="paragraph">
                  <wp:posOffset>129540</wp:posOffset>
                </wp:positionV>
                <wp:extent cx="6209665" cy="1758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09665" cy="1758950"/>
                        </a:xfrm>
                        <a:prstGeom prst="rect">
                          <a:avLst/>
                        </a:prstGeom>
                        <a:noFill/>
                        <a:ln w="6350">
                          <a:noFill/>
                        </a:ln>
                      </wps:spPr>
                      <wps:txbx>
                        <w:txbxContent>
                          <w:p w14:paraId="43FEAFE9" w14:textId="77777777" w:rsidR="008E12F7" w:rsidRPr="006D1605" w:rsidRDefault="008E12F7" w:rsidP="008E12F7">
                            <w:pPr>
                              <w:tabs>
                                <w:tab w:val="left" w:pos="7015"/>
                              </w:tabs>
                              <w:ind w:left="0" w:hanging="2"/>
                              <w:jc w:val="both"/>
                              <w:rPr>
                                <w:rFonts w:ascii="Arial" w:hAnsi="Arial" w:cs="Arial"/>
                                <w:sz w:val="20"/>
                                <w:szCs w:val="20"/>
                              </w:rPr>
                            </w:pPr>
                            <w:r w:rsidRPr="006D1605">
                              <w:rPr>
                                <w:rFonts w:ascii="Arial" w:hAnsi="Arial" w:cs="Arial"/>
                                <w:sz w:val="20"/>
                                <w:szCs w:val="20"/>
                              </w:rPr>
                              <w:t>Table 10 Normalization of alternative values</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721"/>
                              <w:gridCol w:w="721"/>
                              <w:gridCol w:w="721"/>
                              <w:gridCol w:w="721"/>
                              <w:gridCol w:w="721"/>
                              <w:gridCol w:w="721"/>
                              <w:gridCol w:w="721"/>
                              <w:gridCol w:w="721"/>
                              <w:gridCol w:w="721"/>
                              <w:gridCol w:w="810"/>
                              <w:gridCol w:w="810"/>
                            </w:tblGrid>
                            <w:tr w:rsidR="008E12F7" w:rsidRPr="008E12F7" w14:paraId="38F6EDA0" w14:textId="77777777" w:rsidTr="008E12F7">
                              <w:trPr>
                                <w:trHeight w:val="288"/>
                              </w:trPr>
                              <w:tc>
                                <w:tcPr>
                                  <w:tcW w:w="851" w:type="dxa"/>
                                  <w:tcBorders>
                                    <w:top w:val="single" w:sz="4" w:space="0" w:color="auto"/>
                                    <w:bottom w:val="single" w:sz="4" w:space="0" w:color="auto"/>
                                  </w:tcBorders>
                                  <w:noWrap/>
                                  <w:hideMark/>
                                </w:tcPr>
                                <w:p w14:paraId="3F8EFB1F"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b/>
                                      <w:bCs/>
                                      <w:color w:val="000000"/>
                                      <w:sz w:val="16"/>
                                      <w:szCs w:val="16"/>
                                      <w:lang w:eastAsia="en-ID"/>
                                    </w:rPr>
                                    <w:t>Alternative</w:t>
                                  </w:r>
                                </w:p>
                              </w:tc>
                              <w:tc>
                                <w:tcPr>
                                  <w:tcW w:w="721" w:type="dxa"/>
                                  <w:tcBorders>
                                    <w:top w:val="single" w:sz="4" w:space="0" w:color="auto"/>
                                    <w:bottom w:val="single" w:sz="4" w:space="0" w:color="auto"/>
                                  </w:tcBorders>
                                  <w:noWrap/>
                                  <w:hideMark/>
                                </w:tcPr>
                                <w:p w14:paraId="6B449FD3"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CRT_1</w:t>
                                  </w:r>
                                </w:p>
                              </w:tc>
                              <w:tc>
                                <w:tcPr>
                                  <w:tcW w:w="721" w:type="dxa"/>
                                  <w:tcBorders>
                                    <w:top w:val="single" w:sz="4" w:space="0" w:color="auto"/>
                                    <w:bottom w:val="single" w:sz="4" w:space="0" w:color="auto"/>
                                  </w:tcBorders>
                                  <w:noWrap/>
                                  <w:hideMark/>
                                </w:tcPr>
                                <w:p w14:paraId="42B455CB"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CRT_2</w:t>
                                  </w:r>
                                </w:p>
                              </w:tc>
                              <w:tc>
                                <w:tcPr>
                                  <w:tcW w:w="721" w:type="dxa"/>
                                  <w:tcBorders>
                                    <w:top w:val="single" w:sz="4" w:space="0" w:color="auto"/>
                                    <w:bottom w:val="single" w:sz="4" w:space="0" w:color="auto"/>
                                  </w:tcBorders>
                                  <w:noWrap/>
                                  <w:hideMark/>
                                </w:tcPr>
                                <w:p w14:paraId="1B4C1534"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CRT_3</w:t>
                                  </w:r>
                                </w:p>
                              </w:tc>
                              <w:tc>
                                <w:tcPr>
                                  <w:tcW w:w="721" w:type="dxa"/>
                                  <w:tcBorders>
                                    <w:top w:val="single" w:sz="4" w:space="0" w:color="auto"/>
                                    <w:bottom w:val="single" w:sz="4" w:space="0" w:color="auto"/>
                                  </w:tcBorders>
                                  <w:noWrap/>
                                  <w:hideMark/>
                                </w:tcPr>
                                <w:p w14:paraId="50D6382B"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CRT_4</w:t>
                                  </w:r>
                                </w:p>
                              </w:tc>
                              <w:tc>
                                <w:tcPr>
                                  <w:tcW w:w="721" w:type="dxa"/>
                                  <w:tcBorders>
                                    <w:top w:val="single" w:sz="4" w:space="0" w:color="auto"/>
                                    <w:bottom w:val="single" w:sz="4" w:space="0" w:color="auto"/>
                                  </w:tcBorders>
                                  <w:noWrap/>
                                  <w:hideMark/>
                                </w:tcPr>
                                <w:p w14:paraId="4535A003"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CRT_5</w:t>
                                  </w:r>
                                </w:p>
                              </w:tc>
                              <w:tc>
                                <w:tcPr>
                                  <w:tcW w:w="721" w:type="dxa"/>
                                  <w:tcBorders>
                                    <w:top w:val="single" w:sz="4" w:space="0" w:color="auto"/>
                                    <w:bottom w:val="single" w:sz="4" w:space="0" w:color="auto"/>
                                  </w:tcBorders>
                                  <w:noWrap/>
                                  <w:hideMark/>
                                </w:tcPr>
                                <w:p w14:paraId="35487D7D"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CRT_6</w:t>
                                  </w:r>
                                </w:p>
                              </w:tc>
                              <w:tc>
                                <w:tcPr>
                                  <w:tcW w:w="721" w:type="dxa"/>
                                  <w:tcBorders>
                                    <w:top w:val="single" w:sz="4" w:space="0" w:color="auto"/>
                                    <w:bottom w:val="single" w:sz="4" w:space="0" w:color="auto"/>
                                  </w:tcBorders>
                                  <w:noWrap/>
                                  <w:hideMark/>
                                </w:tcPr>
                                <w:p w14:paraId="3902FB8D"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CRT_7</w:t>
                                  </w:r>
                                </w:p>
                              </w:tc>
                              <w:tc>
                                <w:tcPr>
                                  <w:tcW w:w="721" w:type="dxa"/>
                                  <w:tcBorders>
                                    <w:top w:val="single" w:sz="4" w:space="0" w:color="auto"/>
                                    <w:bottom w:val="single" w:sz="4" w:space="0" w:color="auto"/>
                                  </w:tcBorders>
                                  <w:noWrap/>
                                  <w:hideMark/>
                                </w:tcPr>
                                <w:p w14:paraId="42793394"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CRT_8</w:t>
                                  </w:r>
                                </w:p>
                              </w:tc>
                              <w:tc>
                                <w:tcPr>
                                  <w:tcW w:w="721" w:type="dxa"/>
                                  <w:tcBorders>
                                    <w:top w:val="single" w:sz="4" w:space="0" w:color="auto"/>
                                    <w:bottom w:val="single" w:sz="4" w:space="0" w:color="auto"/>
                                  </w:tcBorders>
                                  <w:noWrap/>
                                  <w:hideMark/>
                                </w:tcPr>
                                <w:p w14:paraId="3EBC890F"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CRT_9</w:t>
                                  </w:r>
                                </w:p>
                              </w:tc>
                              <w:tc>
                                <w:tcPr>
                                  <w:tcW w:w="810" w:type="dxa"/>
                                  <w:tcBorders>
                                    <w:top w:val="single" w:sz="4" w:space="0" w:color="auto"/>
                                    <w:bottom w:val="single" w:sz="4" w:space="0" w:color="auto"/>
                                  </w:tcBorders>
                                  <w:noWrap/>
                                  <w:hideMark/>
                                </w:tcPr>
                                <w:p w14:paraId="61E2EB8C"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CRT_10</w:t>
                                  </w:r>
                                </w:p>
                              </w:tc>
                              <w:tc>
                                <w:tcPr>
                                  <w:tcW w:w="810" w:type="dxa"/>
                                  <w:tcBorders>
                                    <w:top w:val="single" w:sz="4" w:space="0" w:color="auto"/>
                                    <w:bottom w:val="single" w:sz="4" w:space="0" w:color="auto"/>
                                  </w:tcBorders>
                                  <w:noWrap/>
                                  <w:hideMark/>
                                </w:tcPr>
                                <w:p w14:paraId="597357AA"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CRT_11</w:t>
                                  </w:r>
                                </w:p>
                              </w:tc>
                            </w:tr>
                            <w:tr w:rsidR="008E12F7" w:rsidRPr="008E12F7" w14:paraId="1B0F0855" w14:textId="77777777" w:rsidTr="008E12F7">
                              <w:trPr>
                                <w:trHeight w:val="288"/>
                              </w:trPr>
                              <w:tc>
                                <w:tcPr>
                                  <w:tcW w:w="851" w:type="dxa"/>
                                  <w:tcBorders>
                                    <w:top w:val="single" w:sz="4" w:space="0" w:color="auto"/>
                                  </w:tcBorders>
                                  <w:noWrap/>
                                  <w:hideMark/>
                                </w:tcPr>
                                <w:p w14:paraId="7406D6EF"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ALT_1</w:t>
                                  </w:r>
                                </w:p>
                              </w:tc>
                              <w:tc>
                                <w:tcPr>
                                  <w:tcW w:w="721" w:type="dxa"/>
                                  <w:tcBorders>
                                    <w:top w:val="single" w:sz="4" w:space="0" w:color="auto"/>
                                  </w:tcBorders>
                                  <w:noWrap/>
                                  <w:hideMark/>
                                </w:tcPr>
                                <w:p w14:paraId="4570776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06A259F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1D61B8D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0,123</w:t>
                                  </w:r>
                                </w:p>
                              </w:tc>
                              <w:tc>
                                <w:tcPr>
                                  <w:tcW w:w="721" w:type="dxa"/>
                                  <w:tcBorders>
                                    <w:top w:val="single" w:sz="4" w:space="0" w:color="auto"/>
                                  </w:tcBorders>
                                  <w:noWrap/>
                                  <w:hideMark/>
                                </w:tcPr>
                                <w:p w14:paraId="48FBCED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0,000</w:t>
                                  </w:r>
                                </w:p>
                              </w:tc>
                              <w:tc>
                                <w:tcPr>
                                  <w:tcW w:w="721" w:type="dxa"/>
                                  <w:tcBorders>
                                    <w:top w:val="single" w:sz="4" w:space="0" w:color="auto"/>
                                  </w:tcBorders>
                                  <w:noWrap/>
                                  <w:hideMark/>
                                </w:tcPr>
                                <w:p w14:paraId="7F3BE32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37872EF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58213F5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0E882B1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18E9476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top w:val="single" w:sz="4" w:space="0" w:color="auto"/>
                                  </w:tcBorders>
                                  <w:noWrap/>
                                  <w:hideMark/>
                                </w:tcPr>
                                <w:p w14:paraId="4865098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top w:val="single" w:sz="4" w:space="0" w:color="auto"/>
                                  </w:tcBorders>
                                  <w:noWrap/>
                                  <w:hideMark/>
                                </w:tcPr>
                                <w:p w14:paraId="672BEC2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r w:rsidR="008E12F7" w:rsidRPr="008E12F7" w14:paraId="1909047C" w14:textId="77777777" w:rsidTr="008E12F7">
                              <w:trPr>
                                <w:trHeight w:val="288"/>
                              </w:trPr>
                              <w:tc>
                                <w:tcPr>
                                  <w:tcW w:w="851" w:type="dxa"/>
                                  <w:noWrap/>
                                  <w:hideMark/>
                                </w:tcPr>
                                <w:p w14:paraId="2ABF63E5"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ALT_2</w:t>
                                  </w:r>
                                </w:p>
                              </w:tc>
                              <w:tc>
                                <w:tcPr>
                                  <w:tcW w:w="721" w:type="dxa"/>
                                  <w:noWrap/>
                                  <w:hideMark/>
                                </w:tcPr>
                                <w:p w14:paraId="0B6818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0,067 </w:t>
                                  </w:r>
                                </w:p>
                              </w:tc>
                              <w:tc>
                                <w:tcPr>
                                  <w:tcW w:w="721" w:type="dxa"/>
                                  <w:noWrap/>
                                  <w:hideMark/>
                                </w:tcPr>
                                <w:p w14:paraId="338CCE7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0,038 </w:t>
                                  </w:r>
                                </w:p>
                              </w:tc>
                              <w:tc>
                                <w:tcPr>
                                  <w:tcW w:w="721" w:type="dxa"/>
                                  <w:noWrap/>
                                  <w:hideMark/>
                                </w:tcPr>
                                <w:p w14:paraId="3BDA4C9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0,122 </w:t>
                                  </w:r>
                                </w:p>
                              </w:tc>
                              <w:tc>
                                <w:tcPr>
                                  <w:tcW w:w="721" w:type="dxa"/>
                                  <w:noWrap/>
                                  <w:hideMark/>
                                </w:tcPr>
                                <w:p w14:paraId="40B99C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0,062 </w:t>
                                  </w:r>
                                </w:p>
                              </w:tc>
                              <w:tc>
                                <w:tcPr>
                                  <w:tcW w:w="721" w:type="dxa"/>
                                  <w:noWrap/>
                                  <w:hideMark/>
                                </w:tcPr>
                                <w:p w14:paraId="2BC1D4D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0,113 </w:t>
                                  </w:r>
                                </w:p>
                              </w:tc>
                              <w:tc>
                                <w:tcPr>
                                  <w:tcW w:w="721" w:type="dxa"/>
                                  <w:noWrap/>
                                  <w:hideMark/>
                                </w:tcPr>
                                <w:p w14:paraId="460F30E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0,137 </w:t>
                                  </w:r>
                                </w:p>
                              </w:tc>
                              <w:tc>
                                <w:tcPr>
                                  <w:tcW w:w="721" w:type="dxa"/>
                                  <w:noWrap/>
                                  <w:hideMark/>
                                </w:tcPr>
                                <w:p w14:paraId="4FD4880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0,080 </w:t>
                                  </w:r>
                                </w:p>
                              </w:tc>
                              <w:tc>
                                <w:tcPr>
                                  <w:tcW w:w="721" w:type="dxa"/>
                                  <w:noWrap/>
                                  <w:hideMark/>
                                </w:tcPr>
                                <w:p w14:paraId="27735A8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0F64825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810" w:type="dxa"/>
                                  <w:noWrap/>
                                  <w:hideMark/>
                                </w:tcPr>
                                <w:p w14:paraId="1DE8741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810" w:type="dxa"/>
                                  <w:noWrap/>
                                  <w:hideMark/>
                                </w:tcPr>
                                <w:p w14:paraId="79BB145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0,136 </w:t>
                                  </w:r>
                                </w:p>
                              </w:tc>
                            </w:tr>
                            <w:tr w:rsidR="008E12F7" w:rsidRPr="008E12F7" w14:paraId="10CC9308" w14:textId="77777777" w:rsidTr="008E12F7">
                              <w:trPr>
                                <w:trHeight w:val="288"/>
                              </w:trPr>
                              <w:tc>
                                <w:tcPr>
                                  <w:tcW w:w="851" w:type="dxa"/>
                                  <w:noWrap/>
                                  <w:hideMark/>
                                </w:tcPr>
                                <w:p w14:paraId="09FDD4A7"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ALT_3</w:t>
                                  </w:r>
                                </w:p>
                              </w:tc>
                              <w:tc>
                                <w:tcPr>
                                  <w:tcW w:w="721" w:type="dxa"/>
                                  <w:noWrap/>
                                  <w:hideMark/>
                                </w:tcPr>
                                <w:p w14:paraId="69D3C8B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0,019 </w:t>
                                  </w:r>
                                </w:p>
                              </w:tc>
                              <w:tc>
                                <w:tcPr>
                                  <w:tcW w:w="721" w:type="dxa"/>
                                  <w:noWrap/>
                                  <w:hideMark/>
                                </w:tcPr>
                                <w:p w14:paraId="7CC7B0E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0,061 </w:t>
                                  </w:r>
                                </w:p>
                              </w:tc>
                              <w:tc>
                                <w:tcPr>
                                  <w:tcW w:w="721" w:type="dxa"/>
                                  <w:noWrap/>
                                  <w:hideMark/>
                                </w:tcPr>
                                <w:p w14:paraId="13D97B8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0,062 </w:t>
                                  </w:r>
                                </w:p>
                              </w:tc>
                              <w:tc>
                                <w:tcPr>
                                  <w:tcW w:w="721" w:type="dxa"/>
                                  <w:noWrap/>
                                  <w:hideMark/>
                                </w:tcPr>
                                <w:p w14:paraId="1964071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0,037 </w:t>
                                  </w:r>
                                </w:p>
                              </w:tc>
                              <w:tc>
                                <w:tcPr>
                                  <w:tcW w:w="721" w:type="dxa"/>
                                  <w:noWrap/>
                                  <w:hideMark/>
                                </w:tcPr>
                                <w:p w14:paraId="2D6FCCA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0,068 </w:t>
                                  </w:r>
                                </w:p>
                              </w:tc>
                              <w:tc>
                                <w:tcPr>
                                  <w:tcW w:w="721" w:type="dxa"/>
                                  <w:noWrap/>
                                  <w:hideMark/>
                                </w:tcPr>
                                <w:p w14:paraId="350BD6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0,080 </w:t>
                                  </w:r>
                                </w:p>
                              </w:tc>
                              <w:tc>
                                <w:tcPr>
                                  <w:tcW w:w="721" w:type="dxa"/>
                                  <w:noWrap/>
                                  <w:hideMark/>
                                </w:tcPr>
                                <w:p w14:paraId="223E200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44601E5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721" w:type="dxa"/>
                                  <w:noWrap/>
                                  <w:hideMark/>
                                </w:tcPr>
                                <w:p w14:paraId="3678A90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810" w:type="dxa"/>
                                  <w:noWrap/>
                                  <w:hideMark/>
                                </w:tcPr>
                                <w:p w14:paraId="4DF8441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0,091 </w:t>
                                  </w:r>
                                </w:p>
                              </w:tc>
                              <w:tc>
                                <w:tcPr>
                                  <w:tcW w:w="810" w:type="dxa"/>
                                  <w:noWrap/>
                                  <w:hideMark/>
                                </w:tcPr>
                                <w:p w14:paraId="4858C6B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0,5</w:t>
                                  </w:r>
                                </w:p>
                              </w:tc>
                            </w:tr>
                            <w:tr w:rsidR="008E12F7" w:rsidRPr="008E12F7" w14:paraId="69E5E9C4" w14:textId="77777777" w:rsidTr="008E12F7">
                              <w:trPr>
                                <w:trHeight w:val="288"/>
                              </w:trPr>
                              <w:tc>
                                <w:tcPr>
                                  <w:tcW w:w="851" w:type="dxa"/>
                                  <w:noWrap/>
                                  <w:hideMark/>
                                </w:tcPr>
                                <w:p w14:paraId="13315BFF"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ALT_4</w:t>
                                  </w:r>
                                </w:p>
                              </w:tc>
                              <w:tc>
                                <w:tcPr>
                                  <w:tcW w:w="721" w:type="dxa"/>
                                  <w:noWrap/>
                                  <w:hideMark/>
                                </w:tcPr>
                                <w:p w14:paraId="67A3010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0,061 </w:t>
                                  </w:r>
                                </w:p>
                              </w:tc>
                              <w:tc>
                                <w:tcPr>
                                  <w:tcW w:w="721" w:type="dxa"/>
                                  <w:noWrap/>
                                  <w:hideMark/>
                                </w:tcPr>
                                <w:p w14:paraId="736C517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0,031 </w:t>
                                  </w:r>
                                </w:p>
                              </w:tc>
                              <w:tc>
                                <w:tcPr>
                                  <w:tcW w:w="721" w:type="dxa"/>
                                  <w:noWrap/>
                                  <w:hideMark/>
                                </w:tcPr>
                                <w:p w14:paraId="1D7F660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0,225 </w:t>
                                  </w:r>
                                </w:p>
                              </w:tc>
                              <w:tc>
                                <w:tcPr>
                                  <w:tcW w:w="721" w:type="dxa"/>
                                  <w:noWrap/>
                                  <w:hideMark/>
                                </w:tcPr>
                                <w:p w14:paraId="3B7AF6B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0,045 </w:t>
                                  </w:r>
                                </w:p>
                              </w:tc>
                              <w:tc>
                                <w:tcPr>
                                  <w:tcW w:w="721" w:type="dxa"/>
                                  <w:noWrap/>
                                  <w:hideMark/>
                                </w:tcPr>
                                <w:p w14:paraId="7758675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0,040 </w:t>
                                  </w:r>
                                </w:p>
                              </w:tc>
                              <w:tc>
                                <w:tcPr>
                                  <w:tcW w:w="721" w:type="dxa"/>
                                  <w:noWrap/>
                                  <w:hideMark/>
                                </w:tcPr>
                                <w:p w14:paraId="1581FED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3719CCB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721" w:type="dxa"/>
                                  <w:noWrap/>
                                  <w:hideMark/>
                                </w:tcPr>
                                <w:p w14:paraId="73CFE0D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0,213 </w:t>
                                  </w:r>
                                </w:p>
                              </w:tc>
                              <w:tc>
                                <w:tcPr>
                                  <w:tcW w:w="721" w:type="dxa"/>
                                  <w:noWrap/>
                                  <w:hideMark/>
                                </w:tcPr>
                                <w:p w14:paraId="08F2BB0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0,136 </w:t>
                                  </w:r>
                                </w:p>
                              </w:tc>
                              <w:tc>
                                <w:tcPr>
                                  <w:tcW w:w="810" w:type="dxa"/>
                                  <w:noWrap/>
                                  <w:hideMark/>
                                </w:tcPr>
                                <w:p w14:paraId="62FDEAA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0,333 </w:t>
                                  </w:r>
                                </w:p>
                              </w:tc>
                              <w:tc>
                                <w:tcPr>
                                  <w:tcW w:w="810" w:type="dxa"/>
                                  <w:noWrap/>
                                  <w:hideMark/>
                                </w:tcPr>
                                <w:p w14:paraId="42203D8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r w:rsidR="008E12F7" w:rsidRPr="008E12F7" w14:paraId="679555CF" w14:textId="77777777" w:rsidTr="008E12F7">
                              <w:trPr>
                                <w:trHeight w:val="288"/>
                              </w:trPr>
                              <w:tc>
                                <w:tcPr>
                                  <w:tcW w:w="851" w:type="dxa"/>
                                  <w:noWrap/>
                                  <w:hideMark/>
                                </w:tcPr>
                                <w:p w14:paraId="3445F01A"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ALT_5</w:t>
                                  </w:r>
                                </w:p>
                              </w:tc>
                              <w:tc>
                                <w:tcPr>
                                  <w:tcW w:w="721" w:type="dxa"/>
                                  <w:noWrap/>
                                  <w:hideMark/>
                                </w:tcPr>
                                <w:p w14:paraId="7A18DE7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0,020 </w:t>
                                  </w:r>
                                </w:p>
                              </w:tc>
                              <w:tc>
                                <w:tcPr>
                                  <w:tcW w:w="721" w:type="dxa"/>
                                  <w:noWrap/>
                                  <w:hideMark/>
                                </w:tcPr>
                                <w:p w14:paraId="271CB22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0,112 </w:t>
                                  </w:r>
                                </w:p>
                              </w:tc>
                              <w:tc>
                                <w:tcPr>
                                  <w:tcW w:w="721" w:type="dxa"/>
                                  <w:noWrap/>
                                  <w:hideMark/>
                                </w:tcPr>
                                <w:p w14:paraId="12EBAAD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0,274 </w:t>
                                  </w:r>
                                </w:p>
                              </w:tc>
                              <w:tc>
                                <w:tcPr>
                                  <w:tcW w:w="721" w:type="dxa"/>
                                  <w:noWrap/>
                                  <w:hideMark/>
                                </w:tcPr>
                                <w:p w14:paraId="7605825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0,053 </w:t>
                                  </w:r>
                                </w:p>
                              </w:tc>
                              <w:tc>
                                <w:tcPr>
                                  <w:tcW w:w="721" w:type="dxa"/>
                                  <w:noWrap/>
                                  <w:hideMark/>
                                </w:tcPr>
                                <w:p w14:paraId="4C66696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0FE72D0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0,153 </w:t>
                                  </w:r>
                                </w:p>
                              </w:tc>
                              <w:tc>
                                <w:tcPr>
                                  <w:tcW w:w="721" w:type="dxa"/>
                                  <w:noWrap/>
                                  <w:hideMark/>
                                </w:tcPr>
                                <w:p w14:paraId="32B722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721" w:type="dxa"/>
                                  <w:noWrap/>
                                  <w:hideMark/>
                                </w:tcPr>
                                <w:p w14:paraId="36AEF65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0,272 </w:t>
                                  </w:r>
                                </w:p>
                              </w:tc>
                              <w:tc>
                                <w:tcPr>
                                  <w:tcW w:w="721" w:type="dxa"/>
                                  <w:noWrap/>
                                  <w:hideMark/>
                                </w:tcPr>
                                <w:p w14:paraId="712C972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1</w:t>
                                  </w:r>
                                </w:p>
                              </w:tc>
                              <w:tc>
                                <w:tcPr>
                                  <w:tcW w:w="810" w:type="dxa"/>
                                  <w:noWrap/>
                                  <w:hideMark/>
                                </w:tcPr>
                                <w:p w14:paraId="56AECA0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noWrap/>
                                  <w:hideMark/>
                                </w:tcPr>
                                <w:p w14:paraId="0A89E7F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r w:rsidR="008E12F7" w:rsidRPr="008E12F7" w14:paraId="4B6C5C1E" w14:textId="77777777" w:rsidTr="008E12F7">
                              <w:trPr>
                                <w:trHeight w:val="288"/>
                              </w:trPr>
                              <w:tc>
                                <w:tcPr>
                                  <w:tcW w:w="851" w:type="dxa"/>
                                  <w:tcBorders>
                                    <w:bottom w:val="single" w:sz="4" w:space="0" w:color="auto"/>
                                  </w:tcBorders>
                                  <w:noWrap/>
                                  <w:hideMark/>
                                </w:tcPr>
                                <w:p w14:paraId="6709C6EE"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ALT_6</w:t>
                                  </w:r>
                                </w:p>
                              </w:tc>
                              <w:tc>
                                <w:tcPr>
                                  <w:tcW w:w="721" w:type="dxa"/>
                                  <w:tcBorders>
                                    <w:bottom w:val="single" w:sz="4" w:space="0" w:color="auto"/>
                                  </w:tcBorders>
                                  <w:noWrap/>
                                  <w:hideMark/>
                                </w:tcPr>
                                <w:p w14:paraId="7D21856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0,056 </w:t>
                                  </w:r>
                                </w:p>
                              </w:tc>
                              <w:tc>
                                <w:tcPr>
                                  <w:tcW w:w="721" w:type="dxa"/>
                                  <w:tcBorders>
                                    <w:bottom w:val="single" w:sz="4" w:space="0" w:color="auto"/>
                                  </w:tcBorders>
                                  <w:noWrap/>
                                  <w:hideMark/>
                                </w:tcPr>
                                <w:p w14:paraId="0A07C4A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0,137 </w:t>
                                  </w:r>
                                </w:p>
                              </w:tc>
                              <w:tc>
                                <w:tcPr>
                                  <w:tcW w:w="721" w:type="dxa"/>
                                  <w:tcBorders>
                                    <w:bottom w:val="single" w:sz="4" w:space="0" w:color="auto"/>
                                  </w:tcBorders>
                                  <w:noWrap/>
                                  <w:hideMark/>
                                </w:tcPr>
                                <w:p w14:paraId="67109E8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bottom w:val="single" w:sz="4" w:space="0" w:color="auto"/>
                                  </w:tcBorders>
                                  <w:noWrap/>
                                  <w:hideMark/>
                                </w:tcPr>
                                <w:p w14:paraId="039E62A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0,062 </w:t>
                                  </w:r>
                                </w:p>
                              </w:tc>
                              <w:tc>
                                <w:tcPr>
                                  <w:tcW w:w="721" w:type="dxa"/>
                                  <w:tcBorders>
                                    <w:bottom w:val="single" w:sz="4" w:space="0" w:color="auto"/>
                                  </w:tcBorders>
                                  <w:noWrap/>
                                  <w:hideMark/>
                                </w:tcPr>
                                <w:p w14:paraId="6E3C8B8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721" w:type="dxa"/>
                                  <w:tcBorders>
                                    <w:bottom w:val="single" w:sz="4" w:space="0" w:color="auto"/>
                                  </w:tcBorders>
                                  <w:noWrap/>
                                  <w:hideMark/>
                                </w:tcPr>
                                <w:p w14:paraId="23C247A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721" w:type="dxa"/>
                                  <w:tcBorders>
                                    <w:bottom w:val="single" w:sz="4" w:space="0" w:color="auto"/>
                                  </w:tcBorders>
                                  <w:noWrap/>
                                  <w:hideMark/>
                                </w:tcPr>
                                <w:p w14:paraId="6F4300A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0,136 </w:t>
                                  </w:r>
                                </w:p>
                              </w:tc>
                              <w:tc>
                                <w:tcPr>
                                  <w:tcW w:w="721" w:type="dxa"/>
                                  <w:tcBorders>
                                    <w:bottom w:val="single" w:sz="4" w:space="0" w:color="auto"/>
                                  </w:tcBorders>
                                  <w:noWrap/>
                                  <w:hideMark/>
                                </w:tcPr>
                                <w:p w14:paraId="787D92C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bottom w:val="single" w:sz="4" w:space="0" w:color="auto"/>
                                  </w:tcBorders>
                                  <w:noWrap/>
                                  <w:hideMark/>
                                </w:tcPr>
                                <w:p w14:paraId="047419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bottom w:val="single" w:sz="4" w:space="0" w:color="auto"/>
                                  </w:tcBorders>
                                  <w:noWrap/>
                                  <w:hideMark/>
                                </w:tcPr>
                                <w:p w14:paraId="74FE96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bottom w:val="single" w:sz="4" w:space="0" w:color="auto"/>
                                  </w:tcBorders>
                                  <w:noWrap/>
                                  <w:hideMark/>
                                </w:tcPr>
                                <w:p w14:paraId="65E6342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bl>
                          <w:p w14:paraId="5E765E64" w14:textId="77777777" w:rsidR="008E12F7" w:rsidRDefault="008E12F7" w:rsidP="008E12F7">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6C6E" id="Text Box 5" o:spid="_x0000_s1030" type="#_x0000_t202" style="position:absolute;left:0;text-align:left;margin-left:-2.15pt;margin-top:10.2pt;width:488.95pt;height:1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" filled="f" stroked="f" strokeweight=".5pt">
                <v:textbox>
                  <w:txbxContent>
                    <w:p w14:paraId="43FEAFE9" w14:textId="77777777" w:rsidR="008E12F7" w:rsidRPr="006D1605" w:rsidRDefault="008E12F7" w:rsidP="008E12F7">
                      <w:pPr>
                        <w:tabs>
                          <w:tab w:val="left" w:pos="7015"/>
                        </w:tabs>
                        <w:ind w:left="0" w:hanging="2"/>
                        <w:jc w:val="both"/>
                        <w:rPr>
                          <w:rFonts w:ascii="Arial" w:hAnsi="Arial" w:cs="Arial"/>
                          <w:sz w:val="20"/>
                          <w:szCs w:val="20"/>
                        </w:rPr>
                      </w:pPr>
                      <w:r w:rsidRPr="006D1605">
                        <w:rPr>
                          <w:rFonts w:ascii="Arial" w:hAnsi="Arial" w:cs="Arial"/>
                          <w:sz w:val="20"/>
                          <w:szCs w:val="20"/>
                        </w:rPr>
                        <w:t>Table 10 Normalization of alternative values</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721"/>
                        <w:gridCol w:w="721"/>
                        <w:gridCol w:w="721"/>
                        <w:gridCol w:w="721"/>
                        <w:gridCol w:w="721"/>
                        <w:gridCol w:w="721"/>
                        <w:gridCol w:w="721"/>
                        <w:gridCol w:w="721"/>
                        <w:gridCol w:w="721"/>
                        <w:gridCol w:w="810"/>
                        <w:gridCol w:w="810"/>
                      </w:tblGrid>
                      <w:tr w:rsidR="008E12F7" w:rsidRPr="008E12F7" w14:paraId="38F6EDA0" w14:textId="77777777" w:rsidTr="008E12F7">
                        <w:trPr>
                          <w:trHeight w:val="288"/>
                        </w:trPr>
                        <w:tc>
                          <w:tcPr>
                            <w:tcW w:w="851" w:type="dxa"/>
                            <w:tcBorders>
                              <w:top w:val="single" w:sz="4" w:space="0" w:color="auto"/>
                              <w:bottom w:val="single" w:sz="4" w:space="0" w:color="auto"/>
                            </w:tcBorders>
                            <w:noWrap/>
                            <w:hideMark/>
                          </w:tcPr>
                          <w:p w14:paraId="3F8EFB1F"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b/>
                                <w:bCs/>
                                <w:color w:val="000000"/>
                                <w:sz w:val="16"/>
                                <w:szCs w:val="16"/>
                                <w:lang w:eastAsia="en-ID"/>
                              </w:rPr>
                              <w:t>Alternative</w:t>
                            </w:r>
                          </w:p>
                        </w:tc>
                        <w:tc>
                          <w:tcPr>
                            <w:tcW w:w="721" w:type="dxa"/>
                            <w:tcBorders>
                              <w:top w:val="single" w:sz="4" w:space="0" w:color="auto"/>
                              <w:bottom w:val="single" w:sz="4" w:space="0" w:color="auto"/>
                            </w:tcBorders>
                            <w:noWrap/>
                            <w:hideMark/>
                          </w:tcPr>
                          <w:p w14:paraId="6B449FD3"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CRT_1</w:t>
                            </w:r>
                          </w:p>
                        </w:tc>
                        <w:tc>
                          <w:tcPr>
                            <w:tcW w:w="721" w:type="dxa"/>
                            <w:tcBorders>
                              <w:top w:val="single" w:sz="4" w:space="0" w:color="auto"/>
                              <w:bottom w:val="single" w:sz="4" w:space="0" w:color="auto"/>
                            </w:tcBorders>
                            <w:noWrap/>
                            <w:hideMark/>
                          </w:tcPr>
                          <w:p w14:paraId="42B455CB"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CRT_2</w:t>
                            </w:r>
                          </w:p>
                        </w:tc>
                        <w:tc>
                          <w:tcPr>
                            <w:tcW w:w="721" w:type="dxa"/>
                            <w:tcBorders>
                              <w:top w:val="single" w:sz="4" w:space="0" w:color="auto"/>
                              <w:bottom w:val="single" w:sz="4" w:space="0" w:color="auto"/>
                            </w:tcBorders>
                            <w:noWrap/>
                            <w:hideMark/>
                          </w:tcPr>
                          <w:p w14:paraId="1B4C1534"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CRT_3</w:t>
                            </w:r>
                          </w:p>
                        </w:tc>
                        <w:tc>
                          <w:tcPr>
                            <w:tcW w:w="721" w:type="dxa"/>
                            <w:tcBorders>
                              <w:top w:val="single" w:sz="4" w:space="0" w:color="auto"/>
                              <w:bottom w:val="single" w:sz="4" w:space="0" w:color="auto"/>
                            </w:tcBorders>
                            <w:noWrap/>
                            <w:hideMark/>
                          </w:tcPr>
                          <w:p w14:paraId="50D6382B"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CRT_4</w:t>
                            </w:r>
                          </w:p>
                        </w:tc>
                        <w:tc>
                          <w:tcPr>
                            <w:tcW w:w="721" w:type="dxa"/>
                            <w:tcBorders>
                              <w:top w:val="single" w:sz="4" w:space="0" w:color="auto"/>
                              <w:bottom w:val="single" w:sz="4" w:space="0" w:color="auto"/>
                            </w:tcBorders>
                            <w:noWrap/>
                            <w:hideMark/>
                          </w:tcPr>
                          <w:p w14:paraId="4535A003"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CRT_5</w:t>
                            </w:r>
                          </w:p>
                        </w:tc>
                        <w:tc>
                          <w:tcPr>
                            <w:tcW w:w="721" w:type="dxa"/>
                            <w:tcBorders>
                              <w:top w:val="single" w:sz="4" w:space="0" w:color="auto"/>
                              <w:bottom w:val="single" w:sz="4" w:space="0" w:color="auto"/>
                            </w:tcBorders>
                            <w:noWrap/>
                            <w:hideMark/>
                          </w:tcPr>
                          <w:p w14:paraId="35487D7D"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CRT_6</w:t>
                            </w:r>
                          </w:p>
                        </w:tc>
                        <w:tc>
                          <w:tcPr>
                            <w:tcW w:w="721" w:type="dxa"/>
                            <w:tcBorders>
                              <w:top w:val="single" w:sz="4" w:space="0" w:color="auto"/>
                              <w:bottom w:val="single" w:sz="4" w:space="0" w:color="auto"/>
                            </w:tcBorders>
                            <w:noWrap/>
                            <w:hideMark/>
                          </w:tcPr>
                          <w:p w14:paraId="3902FB8D"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CRT_7</w:t>
                            </w:r>
                          </w:p>
                        </w:tc>
                        <w:tc>
                          <w:tcPr>
                            <w:tcW w:w="721" w:type="dxa"/>
                            <w:tcBorders>
                              <w:top w:val="single" w:sz="4" w:space="0" w:color="auto"/>
                              <w:bottom w:val="single" w:sz="4" w:space="0" w:color="auto"/>
                            </w:tcBorders>
                            <w:noWrap/>
                            <w:hideMark/>
                          </w:tcPr>
                          <w:p w14:paraId="42793394"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CRT_8</w:t>
                            </w:r>
                          </w:p>
                        </w:tc>
                        <w:tc>
                          <w:tcPr>
                            <w:tcW w:w="721" w:type="dxa"/>
                            <w:tcBorders>
                              <w:top w:val="single" w:sz="4" w:space="0" w:color="auto"/>
                              <w:bottom w:val="single" w:sz="4" w:space="0" w:color="auto"/>
                            </w:tcBorders>
                            <w:noWrap/>
                            <w:hideMark/>
                          </w:tcPr>
                          <w:p w14:paraId="3EBC890F"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CRT_9</w:t>
                            </w:r>
                          </w:p>
                        </w:tc>
                        <w:tc>
                          <w:tcPr>
                            <w:tcW w:w="810" w:type="dxa"/>
                            <w:tcBorders>
                              <w:top w:val="single" w:sz="4" w:space="0" w:color="auto"/>
                              <w:bottom w:val="single" w:sz="4" w:space="0" w:color="auto"/>
                            </w:tcBorders>
                            <w:noWrap/>
                            <w:hideMark/>
                          </w:tcPr>
                          <w:p w14:paraId="61E2EB8C"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CRT_10</w:t>
                            </w:r>
                          </w:p>
                        </w:tc>
                        <w:tc>
                          <w:tcPr>
                            <w:tcW w:w="810" w:type="dxa"/>
                            <w:tcBorders>
                              <w:top w:val="single" w:sz="4" w:space="0" w:color="auto"/>
                              <w:bottom w:val="single" w:sz="4" w:space="0" w:color="auto"/>
                            </w:tcBorders>
                            <w:noWrap/>
                            <w:hideMark/>
                          </w:tcPr>
                          <w:p w14:paraId="597357AA" w14:textId="77777777" w:rsidR="008E12F7" w:rsidRPr="008E12F7" w:rsidRDefault="008E12F7" w:rsidP="008E12F7">
                            <w:pPr>
                              <w:ind w:left="0" w:hanging="2"/>
                              <w:jc w:val="center"/>
                              <w:rPr>
                                <w:rFonts w:ascii="Arial" w:eastAsia="Times New Roman" w:hAnsi="Arial" w:cs="Arial"/>
                                <w:b/>
                                <w:bCs/>
                                <w:color w:val="000000"/>
                                <w:sz w:val="16"/>
                                <w:szCs w:val="16"/>
                                <w:lang w:eastAsia="en-ID"/>
                              </w:rPr>
                            </w:pPr>
                            <w:r w:rsidRPr="008E12F7">
                              <w:rPr>
                                <w:rFonts w:ascii="Arial" w:eastAsia="Times New Roman" w:hAnsi="Arial" w:cs="Arial"/>
                                <w:color w:val="000000"/>
                                <w:sz w:val="16"/>
                                <w:szCs w:val="16"/>
                                <w:lang w:eastAsia="en-ID"/>
                              </w:rPr>
                              <w:t>CRT_11</w:t>
                            </w:r>
                          </w:p>
                        </w:tc>
                      </w:tr>
                      <w:tr w:rsidR="008E12F7" w:rsidRPr="008E12F7" w14:paraId="1B0F0855" w14:textId="77777777" w:rsidTr="008E12F7">
                        <w:trPr>
                          <w:trHeight w:val="288"/>
                        </w:trPr>
                        <w:tc>
                          <w:tcPr>
                            <w:tcW w:w="851" w:type="dxa"/>
                            <w:tcBorders>
                              <w:top w:val="single" w:sz="4" w:space="0" w:color="auto"/>
                            </w:tcBorders>
                            <w:noWrap/>
                            <w:hideMark/>
                          </w:tcPr>
                          <w:p w14:paraId="7406D6EF"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ALT_1</w:t>
                            </w:r>
                          </w:p>
                        </w:tc>
                        <w:tc>
                          <w:tcPr>
                            <w:tcW w:w="721" w:type="dxa"/>
                            <w:tcBorders>
                              <w:top w:val="single" w:sz="4" w:space="0" w:color="auto"/>
                            </w:tcBorders>
                            <w:noWrap/>
                            <w:hideMark/>
                          </w:tcPr>
                          <w:p w14:paraId="4570776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06A259F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1D61B8D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0,123</w:t>
                            </w:r>
                          </w:p>
                        </w:tc>
                        <w:tc>
                          <w:tcPr>
                            <w:tcW w:w="721" w:type="dxa"/>
                            <w:tcBorders>
                              <w:top w:val="single" w:sz="4" w:space="0" w:color="auto"/>
                            </w:tcBorders>
                            <w:noWrap/>
                            <w:hideMark/>
                          </w:tcPr>
                          <w:p w14:paraId="48FBCED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0,000</w:t>
                            </w:r>
                          </w:p>
                        </w:tc>
                        <w:tc>
                          <w:tcPr>
                            <w:tcW w:w="721" w:type="dxa"/>
                            <w:tcBorders>
                              <w:top w:val="single" w:sz="4" w:space="0" w:color="auto"/>
                            </w:tcBorders>
                            <w:noWrap/>
                            <w:hideMark/>
                          </w:tcPr>
                          <w:p w14:paraId="7F3BE32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37872EF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58213F5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0E882B1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top w:val="single" w:sz="4" w:space="0" w:color="auto"/>
                            </w:tcBorders>
                            <w:noWrap/>
                            <w:hideMark/>
                          </w:tcPr>
                          <w:p w14:paraId="18E9476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top w:val="single" w:sz="4" w:space="0" w:color="auto"/>
                            </w:tcBorders>
                            <w:noWrap/>
                            <w:hideMark/>
                          </w:tcPr>
                          <w:p w14:paraId="4865098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top w:val="single" w:sz="4" w:space="0" w:color="auto"/>
                            </w:tcBorders>
                            <w:noWrap/>
                            <w:hideMark/>
                          </w:tcPr>
                          <w:p w14:paraId="672BEC2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r w:rsidR="008E12F7" w:rsidRPr="008E12F7" w14:paraId="1909047C" w14:textId="77777777" w:rsidTr="008E12F7">
                        <w:trPr>
                          <w:trHeight w:val="288"/>
                        </w:trPr>
                        <w:tc>
                          <w:tcPr>
                            <w:tcW w:w="851" w:type="dxa"/>
                            <w:noWrap/>
                            <w:hideMark/>
                          </w:tcPr>
                          <w:p w14:paraId="2ABF63E5"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ALT_2</w:t>
                            </w:r>
                          </w:p>
                        </w:tc>
                        <w:tc>
                          <w:tcPr>
                            <w:tcW w:w="721" w:type="dxa"/>
                            <w:noWrap/>
                            <w:hideMark/>
                          </w:tcPr>
                          <w:p w14:paraId="0B6818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0,067 </w:t>
                            </w:r>
                          </w:p>
                        </w:tc>
                        <w:tc>
                          <w:tcPr>
                            <w:tcW w:w="721" w:type="dxa"/>
                            <w:noWrap/>
                            <w:hideMark/>
                          </w:tcPr>
                          <w:p w14:paraId="338CCE7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0,038 </w:t>
                            </w:r>
                          </w:p>
                        </w:tc>
                        <w:tc>
                          <w:tcPr>
                            <w:tcW w:w="721" w:type="dxa"/>
                            <w:noWrap/>
                            <w:hideMark/>
                          </w:tcPr>
                          <w:p w14:paraId="3BDA4C9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0,122 </w:t>
                            </w:r>
                          </w:p>
                        </w:tc>
                        <w:tc>
                          <w:tcPr>
                            <w:tcW w:w="721" w:type="dxa"/>
                            <w:noWrap/>
                            <w:hideMark/>
                          </w:tcPr>
                          <w:p w14:paraId="40B99CD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0,062 </w:t>
                            </w:r>
                          </w:p>
                        </w:tc>
                        <w:tc>
                          <w:tcPr>
                            <w:tcW w:w="721" w:type="dxa"/>
                            <w:noWrap/>
                            <w:hideMark/>
                          </w:tcPr>
                          <w:p w14:paraId="2BC1D4D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0,113 </w:t>
                            </w:r>
                          </w:p>
                        </w:tc>
                        <w:tc>
                          <w:tcPr>
                            <w:tcW w:w="721" w:type="dxa"/>
                            <w:noWrap/>
                            <w:hideMark/>
                          </w:tcPr>
                          <w:p w14:paraId="460F30E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0,137 </w:t>
                            </w:r>
                          </w:p>
                        </w:tc>
                        <w:tc>
                          <w:tcPr>
                            <w:tcW w:w="721" w:type="dxa"/>
                            <w:noWrap/>
                            <w:hideMark/>
                          </w:tcPr>
                          <w:p w14:paraId="4FD4880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0,080 </w:t>
                            </w:r>
                          </w:p>
                        </w:tc>
                        <w:tc>
                          <w:tcPr>
                            <w:tcW w:w="721" w:type="dxa"/>
                            <w:noWrap/>
                            <w:hideMark/>
                          </w:tcPr>
                          <w:p w14:paraId="27735A8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0F64825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810" w:type="dxa"/>
                            <w:noWrap/>
                            <w:hideMark/>
                          </w:tcPr>
                          <w:p w14:paraId="1DE8741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810" w:type="dxa"/>
                            <w:noWrap/>
                            <w:hideMark/>
                          </w:tcPr>
                          <w:p w14:paraId="79BB145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0,136 </w:t>
                            </w:r>
                          </w:p>
                        </w:tc>
                      </w:tr>
                      <w:tr w:rsidR="008E12F7" w:rsidRPr="008E12F7" w14:paraId="10CC9308" w14:textId="77777777" w:rsidTr="008E12F7">
                        <w:trPr>
                          <w:trHeight w:val="288"/>
                        </w:trPr>
                        <w:tc>
                          <w:tcPr>
                            <w:tcW w:w="851" w:type="dxa"/>
                            <w:noWrap/>
                            <w:hideMark/>
                          </w:tcPr>
                          <w:p w14:paraId="09FDD4A7"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ALT_3</w:t>
                            </w:r>
                          </w:p>
                        </w:tc>
                        <w:tc>
                          <w:tcPr>
                            <w:tcW w:w="721" w:type="dxa"/>
                            <w:noWrap/>
                            <w:hideMark/>
                          </w:tcPr>
                          <w:p w14:paraId="69D3C8B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0,019 </w:t>
                            </w:r>
                          </w:p>
                        </w:tc>
                        <w:tc>
                          <w:tcPr>
                            <w:tcW w:w="721" w:type="dxa"/>
                            <w:noWrap/>
                            <w:hideMark/>
                          </w:tcPr>
                          <w:p w14:paraId="7CC7B0E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0,061 </w:t>
                            </w:r>
                          </w:p>
                        </w:tc>
                        <w:tc>
                          <w:tcPr>
                            <w:tcW w:w="721" w:type="dxa"/>
                            <w:noWrap/>
                            <w:hideMark/>
                          </w:tcPr>
                          <w:p w14:paraId="13D97B8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0,062 </w:t>
                            </w:r>
                          </w:p>
                        </w:tc>
                        <w:tc>
                          <w:tcPr>
                            <w:tcW w:w="721" w:type="dxa"/>
                            <w:noWrap/>
                            <w:hideMark/>
                          </w:tcPr>
                          <w:p w14:paraId="1964071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0,037 </w:t>
                            </w:r>
                          </w:p>
                        </w:tc>
                        <w:tc>
                          <w:tcPr>
                            <w:tcW w:w="721" w:type="dxa"/>
                            <w:noWrap/>
                            <w:hideMark/>
                          </w:tcPr>
                          <w:p w14:paraId="2D6FCCAD"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0,068 </w:t>
                            </w:r>
                          </w:p>
                        </w:tc>
                        <w:tc>
                          <w:tcPr>
                            <w:tcW w:w="721" w:type="dxa"/>
                            <w:noWrap/>
                            <w:hideMark/>
                          </w:tcPr>
                          <w:p w14:paraId="350BD6D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0,080 </w:t>
                            </w:r>
                          </w:p>
                        </w:tc>
                        <w:tc>
                          <w:tcPr>
                            <w:tcW w:w="721" w:type="dxa"/>
                            <w:noWrap/>
                            <w:hideMark/>
                          </w:tcPr>
                          <w:p w14:paraId="223E200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44601E5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721" w:type="dxa"/>
                            <w:noWrap/>
                            <w:hideMark/>
                          </w:tcPr>
                          <w:p w14:paraId="3678A900"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810" w:type="dxa"/>
                            <w:noWrap/>
                            <w:hideMark/>
                          </w:tcPr>
                          <w:p w14:paraId="4DF8441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0,091 </w:t>
                            </w:r>
                          </w:p>
                        </w:tc>
                        <w:tc>
                          <w:tcPr>
                            <w:tcW w:w="810" w:type="dxa"/>
                            <w:noWrap/>
                            <w:hideMark/>
                          </w:tcPr>
                          <w:p w14:paraId="4858C6B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0,5</w:t>
                            </w:r>
                          </w:p>
                        </w:tc>
                      </w:tr>
                      <w:tr w:rsidR="008E12F7" w:rsidRPr="008E12F7" w14:paraId="69E5E9C4" w14:textId="77777777" w:rsidTr="008E12F7">
                        <w:trPr>
                          <w:trHeight w:val="288"/>
                        </w:trPr>
                        <w:tc>
                          <w:tcPr>
                            <w:tcW w:w="851" w:type="dxa"/>
                            <w:noWrap/>
                            <w:hideMark/>
                          </w:tcPr>
                          <w:p w14:paraId="13315BFF"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ALT_4</w:t>
                            </w:r>
                          </w:p>
                        </w:tc>
                        <w:tc>
                          <w:tcPr>
                            <w:tcW w:w="721" w:type="dxa"/>
                            <w:noWrap/>
                            <w:hideMark/>
                          </w:tcPr>
                          <w:p w14:paraId="67A3010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0,061 </w:t>
                            </w:r>
                          </w:p>
                        </w:tc>
                        <w:tc>
                          <w:tcPr>
                            <w:tcW w:w="721" w:type="dxa"/>
                            <w:noWrap/>
                            <w:hideMark/>
                          </w:tcPr>
                          <w:p w14:paraId="736C517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0,031 </w:t>
                            </w:r>
                          </w:p>
                        </w:tc>
                        <w:tc>
                          <w:tcPr>
                            <w:tcW w:w="721" w:type="dxa"/>
                            <w:noWrap/>
                            <w:hideMark/>
                          </w:tcPr>
                          <w:p w14:paraId="1D7F660E"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0,225 </w:t>
                            </w:r>
                          </w:p>
                        </w:tc>
                        <w:tc>
                          <w:tcPr>
                            <w:tcW w:w="721" w:type="dxa"/>
                            <w:noWrap/>
                            <w:hideMark/>
                          </w:tcPr>
                          <w:p w14:paraId="3B7AF6B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0,045 </w:t>
                            </w:r>
                          </w:p>
                        </w:tc>
                        <w:tc>
                          <w:tcPr>
                            <w:tcW w:w="721" w:type="dxa"/>
                            <w:noWrap/>
                            <w:hideMark/>
                          </w:tcPr>
                          <w:p w14:paraId="7758675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0,040 </w:t>
                            </w:r>
                          </w:p>
                        </w:tc>
                        <w:tc>
                          <w:tcPr>
                            <w:tcW w:w="721" w:type="dxa"/>
                            <w:noWrap/>
                            <w:hideMark/>
                          </w:tcPr>
                          <w:p w14:paraId="1581FED4"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3719CCB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721" w:type="dxa"/>
                            <w:noWrap/>
                            <w:hideMark/>
                          </w:tcPr>
                          <w:p w14:paraId="73CFE0D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0,213 </w:t>
                            </w:r>
                          </w:p>
                        </w:tc>
                        <w:tc>
                          <w:tcPr>
                            <w:tcW w:w="721" w:type="dxa"/>
                            <w:noWrap/>
                            <w:hideMark/>
                          </w:tcPr>
                          <w:p w14:paraId="08F2BB0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0,136 </w:t>
                            </w:r>
                          </w:p>
                        </w:tc>
                        <w:tc>
                          <w:tcPr>
                            <w:tcW w:w="810" w:type="dxa"/>
                            <w:noWrap/>
                            <w:hideMark/>
                          </w:tcPr>
                          <w:p w14:paraId="62FDEAA9"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0,333 </w:t>
                            </w:r>
                          </w:p>
                        </w:tc>
                        <w:tc>
                          <w:tcPr>
                            <w:tcW w:w="810" w:type="dxa"/>
                            <w:noWrap/>
                            <w:hideMark/>
                          </w:tcPr>
                          <w:p w14:paraId="42203D8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r w:rsidR="008E12F7" w:rsidRPr="008E12F7" w14:paraId="679555CF" w14:textId="77777777" w:rsidTr="008E12F7">
                        <w:trPr>
                          <w:trHeight w:val="288"/>
                        </w:trPr>
                        <w:tc>
                          <w:tcPr>
                            <w:tcW w:w="851" w:type="dxa"/>
                            <w:noWrap/>
                            <w:hideMark/>
                          </w:tcPr>
                          <w:p w14:paraId="3445F01A"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ALT_5</w:t>
                            </w:r>
                          </w:p>
                        </w:tc>
                        <w:tc>
                          <w:tcPr>
                            <w:tcW w:w="721" w:type="dxa"/>
                            <w:noWrap/>
                            <w:hideMark/>
                          </w:tcPr>
                          <w:p w14:paraId="7A18DE7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0,020 </w:t>
                            </w:r>
                          </w:p>
                        </w:tc>
                        <w:tc>
                          <w:tcPr>
                            <w:tcW w:w="721" w:type="dxa"/>
                            <w:noWrap/>
                            <w:hideMark/>
                          </w:tcPr>
                          <w:p w14:paraId="271CB22A"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0,112 </w:t>
                            </w:r>
                          </w:p>
                        </w:tc>
                        <w:tc>
                          <w:tcPr>
                            <w:tcW w:w="721" w:type="dxa"/>
                            <w:noWrap/>
                            <w:hideMark/>
                          </w:tcPr>
                          <w:p w14:paraId="12EBAAD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0,274 </w:t>
                            </w:r>
                          </w:p>
                        </w:tc>
                        <w:tc>
                          <w:tcPr>
                            <w:tcW w:w="721" w:type="dxa"/>
                            <w:noWrap/>
                            <w:hideMark/>
                          </w:tcPr>
                          <w:p w14:paraId="76058258"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0,053 </w:t>
                            </w:r>
                          </w:p>
                        </w:tc>
                        <w:tc>
                          <w:tcPr>
                            <w:tcW w:w="721" w:type="dxa"/>
                            <w:noWrap/>
                            <w:hideMark/>
                          </w:tcPr>
                          <w:p w14:paraId="4C66696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0,093 </w:t>
                            </w:r>
                          </w:p>
                        </w:tc>
                        <w:tc>
                          <w:tcPr>
                            <w:tcW w:w="721" w:type="dxa"/>
                            <w:noWrap/>
                            <w:hideMark/>
                          </w:tcPr>
                          <w:p w14:paraId="0FE72D0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0,153 </w:t>
                            </w:r>
                          </w:p>
                        </w:tc>
                        <w:tc>
                          <w:tcPr>
                            <w:tcW w:w="721" w:type="dxa"/>
                            <w:noWrap/>
                            <w:hideMark/>
                          </w:tcPr>
                          <w:p w14:paraId="32B722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721" w:type="dxa"/>
                            <w:noWrap/>
                            <w:hideMark/>
                          </w:tcPr>
                          <w:p w14:paraId="36AEF65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0,272 </w:t>
                            </w:r>
                          </w:p>
                        </w:tc>
                        <w:tc>
                          <w:tcPr>
                            <w:tcW w:w="721" w:type="dxa"/>
                            <w:noWrap/>
                            <w:hideMark/>
                          </w:tcPr>
                          <w:p w14:paraId="712C9721"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1</w:t>
                            </w:r>
                          </w:p>
                        </w:tc>
                        <w:tc>
                          <w:tcPr>
                            <w:tcW w:w="810" w:type="dxa"/>
                            <w:noWrap/>
                            <w:hideMark/>
                          </w:tcPr>
                          <w:p w14:paraId="56AECA0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noWrap/>
                            <w:hideMark/>
                          </w:tcPr>
                          <w:p w14:paraId="0A89E7F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r w:rsidR="008E12F7" w:rsidRPr="008E12F7" w14:paraId="4B6C5C1E" w14:textId="77777777" w:rsidTr="008E12F7">
                        <w:trPr>
                          <w:trHeight w:val="288"/>
                        </w:trPr>
                        <w:tc>
                          <w:tcPr>
                            <w:tcW w:w="851" w:type="dxa"/>
                            <w:tcBorders>
                              <w:bottom w:val="single" w:sz="4" w:space="0" w:color="auto"/>
                            </w:tcBorders>
                            <w:noWrap/>
                            <w:hideMark/>
                          </w:tcPr>
                          <w:p w14:paraId="6709C6EE" w14:textId="77777777" w:rsidR="008E12F7" w:rsidRPr="008E12F7" w:rsidRDefault="008E12F7" w:rsidP="008E12F7">
                            <w:pPr>
                              <w:ind w:left="0" w:hanging="2"/>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ALT_6</w:t>
                            </w:r>
                          </w:p>
                        </w:tc>
                        <w:tc>
                          <w:tcPr>
                            <w:tcW w:w="721" w:type="dxa"/>
                            <w:tcBorders>
                              <w:bottom w:val="single" w:sz="4" w:space="0" w:color="auto"/>
                            </w:tcBorders>
                            <w:noWrap/>
                            <w:hideMark/>
                          </w:tcPr>
                          <w:p w14:paraId="7D218567"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0,056 </w:t>
                            </w:r>
                          </w:p>
                        </w:tc>
                        <w:tc>
                          <w:tcPr>
                            <w:tcW w:w="721" w:type="dxa"/>
                            <w:tcBorders>
                              <w:bottom w:val="single" w:sz="4" w:space="0" w:color="auto"/>
                            </w:tcBorders>
                            <w:noWrap/>
                            <w:hideMark/>
                          </w:tcPr>
                          <w:p w14:paraId="0A07C4A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0,137 </w:t>
                            </w:r>
                          </w:p>
                        </w:tc>
                        <w:tc>
                          <w:tcPr>
                            <w:tcW w:w="721" w:type="dxa"/>
                            <w:tcBorders>
                              <w:bottom w:val="single" w:sz="4" w:space="0" w:color="auto"/>
                            </w:tcBorders>
                            <w:noWrap/>
                            <w:hideMark/>
                          </w:tcPr>
                          <w:p w14:paraId="67109E86"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bottom w:val="single" w:sz="4" w:space="0" w:color="auto"/>
                            </w:tcBorders>
                            <w:noWrap/>
                            <w:hideMark/>
                          </w:tcPr>
                          <w:p w14:paraId="039E62AF"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0,062 </w:t>
                            </w:r>
                          </w:p>
                        </w:tc>
                        <w:tc>
                          <w:tcPr>
                            <w:tcW w:w="721" w:type="dxa"/>
                            <w:tcBorders>
                              <w:bottom w:val="single" w:sz="4" w:space="0" w:color="auto"/>
                            </w:tcBorders>
                            <w:noWrap/>
                            <w:hideMark/>
                          </w:tcPr>
                          <w:p w14:paraId="6E3C8B8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0,076 </w:t>
                            </w:r>
                          </w:p>
                        </w:tc>
                        <w:tc>
                          <w:tcPr>
                            <w:tcW w:w="721" w:type="dxa"/>
                            <w:tcBorders>
                              <w:bottom w:val="single" w:sz="4" w:space="0" w:color="auto"/>
                            </w:tcBorders>
                            <w:noWrap/>
                            <w:hideMark/>
                          </w:tcPr>
                          <w:p w14:paraId="23C247A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0,071 </w:t>
                            </w:r>
                          </w:p>
                        </w:tc>
                        <w:tc>
                          <w:tcPr>
                            <w:tcW w:w="721" w:type="dxa"/>
                            <w:tcBorders>
                              <w:bottom w:val="single" w:sz="4" w:space="0" w:color="auto"/>
                            </w:tcBorders>
                            <w:noWrap/>
                            <w:hideMark/>
                          </w:tcPr>
                          <w:p w14:paraId="6F4300AB"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 xml:space="preserve">0,136 </w:t>
                            </w:r>
                          </w:p>
                        </w:tc>
                        <w:tc>
                          <w:tcPr>
                            <w:tcW w:w="721" w:type="dxa"/>
                            <w:tcBorders>
                              <w:bottom w:val="single" w:sz="4" w:space="0" w:color="auto"/>
                            </w:tcBorders>
                            <w:noWrap/>
                            <w:hideMark/>
                          </w:tcPr>
                          <w:p w14:paraId="787D92C2"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721" w:type="dxa"/>
                            <w:tcBorders>
                              <w:bottom w:val="single" w:sz="4" w:space="0" w:color="auto"/>
                            </w:tcBorders>
                            <w:noWrap/>
                            <w:hideMark/>
                          </w:tcPr>
                          <w:p w14:paraId="04741963"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bottom w:val="single" w:sz="4" w:space="0" w:color="auto"/>
                            </w:tcBorders>
                            <w:noWrap/>
                            <w:hideMark/>
                          </w:tcPr>
                          <w:p w14:paraId="74FE96A5"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c>
                          <w:tcPr>
                            <w:tcW w:w="810" w:type="dxa"/>
                            <w:tcBorders>
                              <w:bottom w:val="single" w:sz="4" w:space="0" w:color="auto"/>
                            </w:tcBorders>
                            <w:noWrap/>
                            <w:hideMark/>
                          </w:tcPr>
                          <w:p w14:paraId="65E6342C" w14:textId="77777777" w:rsidR="008E12F7" w:rsidRPr="008E12F7" w:rsidRDefault="008E12F7" w:rsidP="008E12F7">
                            <w:pPr>
                              <w:ind w:left="0" w:hanging="2"/>
                              <w:jc w:val="right"/>
                              <w:rPr>
                                <w:rFonts w:ascii="Arial" w:eastAsia="Times New Roman" w:hAnsi="Arial" w:cs="Arial"/>
                                <w:color w:val="000000"/>
                                <w:sz w:val="16"/>
                                <w:szCs w:val="16"/>
                                <w:lang w:eastAsia="en-ID"/>
                              </w:rPr>
                            </w:pPr>
                            <w:r w:rsidRPr="008E12F7">
                              <w:rPr>
                                <w:rFonts w:ascii="Arial" w:eastAsia="Times New Roman" w:hAnsi="Arial" w:cs="Arial"/>
                                <w:color w:val="000000"/>
                                <w:sz w:val="16"/>
                                <w:szCs w:val="16"/>
                                <w:lang w:eastAsia="en-ID"/>
                              </w:rPr>
                              <w:t>0</w:t>
                            </w:r>
                          </w:p>
                        </w:tc>
                      </w:tr>
                    </w:tbl>
                    <w:p w14:paraId="5E765E64" w14:textId="77777777" w:rsidR="008E12F7" w:rsidRDefault="008E12F7" w:rsidP="008E12F7">
                      <w:pPr>
                        <w:ind w:left="0" w:hanging="2"/>
                      </w:pPr>
                    </w:p>
                  </w:txbxContent>
                </v:textbox>
                <w10:wrap anchorx="margin"/>
              </v:shape>
            </w:pict>
          </mc:Fallback>
        </mc:AlternateContent>
      </w:r>
    </w:p>
    <w:p w14:paraId="7813EE1C" w14:textId="066D1236" w:rsidR="003D1DB8"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14:paraId="73DB4FDD" w14:textId="158042EA"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253FF581" w14:textId="21BA14F5"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AC2AC3B" w14:textId="19563A3D"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1C04F1BB" w14:textId="04BA55EC"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B7F010B" w14:textId="5257F9AF"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14127DA0" w14:textId="246A2ECE"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189259D9" w14:textId="418D9879"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01F2E19" w14:textId="7738749B"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4BDE6481" w14:textId="2DC28EFE"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AA5B22A" w14:textId="77777777" w:rsidR="00AB52E8" w:rsidRDefault="00164614"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Furthermore, respondents were also asked to provide an assessment of the alternatives for each criterion. The results are shown in Table 8.</w:t>
      </w:r>
    </w:p>
    <w:p w14:paraId="0BAE3D53" w14:textId="6BC7CA38" w:rsidR="00164614" w:rsidRDefault="00164614"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Then, perform normalization calculations on alternative values ​​for each criterion using Equation 2. The results of these calculations are summarized in Tables 9 and 10.</w:t>
      </w:r>
    </w:p>
    <w:p w14:paraId="538BA39A" w14:textId="2F101E6B"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186BAFB0" w14:textId="763FAAFB"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38F5A4B" w14:textId="46B99882"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49FE47E9" w14:textId="1B4F722D"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E351EA2" w14:textId="6AAE50D1"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BA60152" w14:textId="2D60DA72"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1C7EEC5C" w14:textId="7CCB73FB"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BFC8B81" w14:textId="46DC2E0A"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477EAA28" w14:textId="6152A276"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A2F7238" w14:textId="493D90A8"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9E34D5A" w14:textId="605E716A"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6E8DCDA" w14:textId="1E6D5C35"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4772A47" w14:textId="51F0DDE4"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693281A" w14:textId="50A21E19"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118A3F8" w14:textId="19571DB7"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E1BA6EF" w14:textId="64FF60F3"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BA6EB31" w14:textId="0D997AEA"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40D1AC1" w14:textId="4D156B9D"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DE65400" w14:textId="5E8D2948"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2A5F81F7" w14:textId="0E2A7297"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969C328" w14:textId="26280997"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1709B2E3" w14:textId="6C2E6AE8"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A68090B" w14:textId="7E3095BB"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C0BA489" w14:textId="477306A9"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2FF1D91" w14:textId="12520744"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59A27A1" w14:textId="65EF37E8"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2540B91E" w14:textId="3F0A74B6"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F2C4888" w14:textId="30E737CA"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1540492" w14:textId="7F4013C0"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842AE3A" w14:textId="1122BC1E"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C978497" w14:textId="5BC68FD0"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B87FB3F" w14:textId="5ABE942D"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C475897" w14:textId="381E7551"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38783D0" w14:textId="4BA4787F"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FAF7A0C" w14:textId="09EA1D5E" w:rsidR="00253AC2" w:rsidRDefault="00253AC2"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5754E20" w14:textId="77777777" w:rsidR="00253AC2" w:rsidRDefault="00253AC2"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C85802D" w14:textId="789301EE"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ABE0D05" w14:textId="28065D4C"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63AC95AC" w14:textId="45EEC07A"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2951C737" w14:textId="4154551C"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B51DBA0" w14:textId="6E637BC3"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98FE498" w14:textId="77777777"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ED2F741" w14:textId="4E643096"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74A8B844" w14:textId="07B1F760"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16BDC4A" w14:textId="31EEE87D"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3559C293" w14:textId="4F8A5FF6"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0A90430D" w14:textId="5B6905AA"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sz w:val="20"/>
          <w:szCs w:val="20"/>
        </w:rPr>
      </w:pPr>
    </w:p>
    <w:p w14:paraId="55FB58C6" w14:textId="3614520D" w:rsidR="008E12F7" w:rsidRPr="006D1605" w:rsidRDefault="008E12F7"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 xml:space="preserve">Next, calculate </w:t>
      </w:r>
      <w:r>
        <w:rPr>
          <w:rFonts w:ascii="Arial" w:hAnsi="Arial" w:cs="Arial"/>
          <w:sz w:val="20"/>
          <w:szCs w:val="20"/>
        </w:rPr>
        <w:t>each alternative's S and R values ​​</w:t>
      </w:r>
      <w:r w:rsidRPr="006D1605">
        <w:rPr>
          <w:rFonts w:ascii="Arial" w:hAnsi="Arial" w:cs="Arial"/>
          <w:sz w:val="20"/>
          <w:szCs w:val="20"/>
        </w:rPr>
        <w:t>using equations 3 and 4. The results of these calculations are shown in Table 11.</w:t>
      </w:r>
    </w:p>
    <w:p w14:paraId="268975C1" w14:textId="77777777" w:rsidR="008E12F7" w:rsidRPr="006D1605" w:rsidRDefault="008E12F7"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Table 11 S and R Values</w:t>
      </w:r>
    </w:p>
    <w:tbl>
      <w:tblPr>
        <w:tblStyle w:val="TableGrid"/>
        <w:tblW w:w="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60"/>
        <w:gridCol w:w="960"/>
      </w:tblGrid>
      <w:tr w:rsidR="008E12F7" w:rsidRPr="006D1605" w14:paraId="41B661FA" w14:textId="77777777" w:rsidTr="000B688A">
        <w:trPr>
          <w:trHeight w:val="288"/>
        </w:trPr>
        <w:tc>
          <w:tcPr>
            <w:tcW w:w="1418" w:type="dxa"/>
            <w:tcBorders>
              <w:top w:val="single" w:sz="4" w:space="0" w:color="auto"/>
              <w:bottom w:val="single" w:sz="4" w:space="0" w:color="auto"/>
            </w:tcBorders>
            <w:noWrap/>
            <w:hideMark/>
          </w:tcPr>
          <w:p w14:paraId="5EA719FD"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Alternative</w:t>
            </w:r>
          </w:p>
        </w:tc>
        <w:tc>
          <w:tcPr>
            <w:tcW w:w="960" w:type="dxa"/>
            <w:tcBorders>
              <w:top w:val="single" w:sz="4" w:space="0" w:color="auto"/>
              <w:bottom w:val="single" w:sz="4" w:space="0" w:color="auto"/>
            </w:tcBorders>
            <w:noWrap/>
            <w:hideMark/>
          </w:tcPr>
          <w:p w14:paraId="4B9CE796"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Score S</w:t>
            </w:r>
          </w:p>
        </w:tc>
        <w:tc>
          <w:tcPr>
            <w:tcW w:w="960" w:type="dxa"/>
            <w:tcBorders>
              <w:top w:val="single" w:sz="4" w:space="0" w:color="auto"/>
              <w:bottom w:val="single" w:sz="4" w:space="0" w:color="auto"/>
            </w:tcBorders>
            <w:noWrap/>
            <w:hideMark/>
          </w:tcPr>
          <w:p w14:paraId="5D6D35D0"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Score R</w:t>
            </w:r>
          </w:p>
        </w:tc>
      </w:tr>
      <w:tr w:rsidR="008E12F7" w:rsidRPr="006D1605" w14:paraId="4C0CD194" w14:textId="77777777" w:rsidTr="000B688A">
        <w:trPr>
          <w:trHeight w:val="288"/>
        </w:trPr>
        <w:tc>
          <w:tcPr>
            <w:tcW w:w="1418" w:type="dxa"/>
            <w:tcBorders>
              <w:top w:val="single" w:sz="4" w:space="0" w:color="auto"/>
            </w:tcBorders>
            <w:noWrap/>
            <w:hideMark/>
          </w:tcPr>
          <w:p w14:paraId="0CD97F80"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ALT_1</w:t>
            </w:r>
          </w:p>
        </w:tc>
        <w:tc>
          <w:tcPr>
            <w:tcW w:w="960" w:type="dxa"/>
            <w:tcBorders>
              <w:top w:val="single" w:sz="4" w:space="0" w:color="auto"/>
            </w:tcBorders>
            <w:noWrap/>
            <w:hideMark/>
          </w:tcPr>
          <w:p w14:paraId="0EFD1683" w14:textId="77777777" w:rsidR="008E12F7" w:rsidRPr="006D1605" w:rsidRDefault="008E12F7" w:rsidP="00953AE5">
            <w:pPr>
              <w:ind w:left="0" w:hanging="2"/>
              <w:jc w:val="right"/>
              <w:rPr>
                <w:rFonts w:ascii="Arial" w:eastAsia="Times New Roman" w:hAnsi="Arial" w:cs="Arial"/>
                <w:b/>
                <w:bCs/>
                <w:color w:val="000000"/>
                <w:sz w:val="20"/>
                <w:szCs w:val="20"/>
                <w:lang w:eastAsia="en-ID"/>
              </w:rPr>
            </w:pPr>
            <w:r w:rsidRPr="006D1605">
              <w:rPr>
                <w:rFonts w:ascii="Arial" w:eastAsia="Times New Roman" w:hAnsi="Arial" w:cs="Arial"/>
                <w:b/>
                <w:bCs/>
                <w:color w:val="000000"/>
                <w:sz w:val="20"/>
                <w:szCs w:val="20"/>
                <w:lang w:eastAsia="en-ID"/>
              </w:rPr>
              <w:t>0,123</w:t>
            </w:r>
          </w:p>
        </w:tc>
        <w:tc>
          <w:tcPr>
            <w:tcW w:w="960" w:type="dxa"/>
            <w:tcBorders>
              <w:top w:val="single" w:sz="4" w:space="0" w:color="auto"/>
            </w:tcBorders>
            <w:noWrap/>
            <w:hideMark/>
          </w:tcPr>
          <w:p w14:paraId="1E555E3B" w14:textId="77777777" w:rsidR="008E12F7" w:rsidRPr="006D1605" w:rsidRDefault="008E12F7" w:rsidP="00953AE5">
            <w:pPr>
              <w:ind w:left="0" w:hanging="2"/>
              <w:jc w:val="right"/>
              <w:rPr>
                <w:rFonts w:ascii="Arial" w:eastAsia="Times New Roman" w:hAnsi="Arial" w:cs="Arial"/>
                <w:b/>
                <w:bCs/>
                <w:color w:val="000000"/>
                <w:sz w:val="20"/>
                <w:szCs w:val="20"/>
                <w:lang w:eastAsia="en-ID"/>
              </w:rPr>
            </w:pPr>
            <w:r w:rsidRPr="006D1605">
              <w:rPr>
                <w:rFonts w:ascii="Arial" w:eastAsia="Times New Roman" w:hAnsi="Arial" w:cs="Arial"/>
                <w:b/>
                <w:bCs/>
                <w:color w:val="000000"/>
                <w:sz w:val="20"/>
                <w:szCs w:val="20"/>
                <w:lang w:eastAsia="en-ID"/>
              </w:rPr>
              <w:t>0,123</w:t>
            </w:r>
          </w:p>
        </w:tc>
      </w:tr>
      <w:tr w:rsidR="008E12F7" w:rsidRPr="006D1605" w14:paraId="056D48CE" w14:textId="77777777" w:rsidTr="000B688A">
        <w:trPr>
          <w:trHeight w:val="288"/>
        </w:trPr>
        <w:tc>
          <w:tcPr>
            <w:tcW w:w="1418" w:type="dxa"/>
            <w:noWrap/>
            <w:hideMark/>
          </w:tcPr>
          <w:p w14:paraId="22D0F3EF"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ALT_2</w:t>
            </w:r>
          </w:p>
        </w:tc>
        <w:tc>
          <w:tcPr>
            <w:tcW w:w="960" w:type="dxa"/>
            <w:noWrap/>
            <w:hideMark/>
          </w:tcPr>
          <w:p w14:paraId="452AD125"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1</w:t>
            </w:r>
          </w:p>
        </w:tc>
        <w:tc>
          <w:tcPr>
            <w:tcW w:w="960" w:type="dxa"/>
            <w:noWrap/>
            <w:hideMark/>
          </w:tcPr>
          <w:p w14:paraId="16A6508F"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0,137</w:t>
            </w:r>
          </w:p>
        </w:tc>
      </w:tr>
      <w:tr w:rsidR="008E12F7" w:rsidRPr="006D1605" w14:paraId="2D82FED0" w14:textId="77777777" w:rsidTr="000B688A">
        <w:trPr>
          <w:trHeight w:val="288"/>
        </w:trPr>
        <w:tc>
          <w:tcPr>
            <w:tcW w:w="1418" w:type="dxa"/>
            <w:noWrap/>
            <w:hideMark/>
          </w:tcPr>
          <w:p w14:paraId="4C8ECBEB"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lastRenderedPageBreak/>
              <w:t>ALT_3</w:t>
            </w:r>
          </w:p>
        </w:tc>
        <w:tc>
          <w:tcPr>
            <w:tcW w:w="960" w:type="dxa"/>
            <w:noWrap/>
            <w:hideMark/>
          </w:tcPr>
          <w:p w14:paraId="1D31E258"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1,162 </w:t>
            </w:r>
          </w:p>
        </w:tc>
        <w:tc>
          <w:tcPr>
            <w:tcW w:w="960" w:type="dxa"/>
            <w:noWrap/>
            <w:hideMark/>
          </w:tcPr>
          <w:p w14:paraId="1DC519FF"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0,5</w:t>
            </w:r>
          </w:p>
        </w:tc>
      </w:tr>
      <w:tr w:rsidR="008E12F7" w:rsidRPr="006D1605" w14:paraId="0C87E2E7" w14:textId="77777777" w:rsidTr="000B688A">
        <w:trPr>
          <w:trHeight w:val="288"/>
        </w:trPr>
        <w:tc>
          <w:tcPr>
            <w:tcW w:w="1418" w:type="dxa"/>
            <w:noWrap/>
            <w:hideMark/>
          </w:tcPr>
          <w:p w14:paraId="15764DBA"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ALT_4</w:t>
            </w:r>
          </w:p>
        </w:tc>
        <w:tc>
          <w:tcPr>
            <w:tcW w:w="960" w:type="dxa"/>
            <w:noWrap/>
            <w:hideMark/>
          </w:tcPr>
          <w:p w14:paraId="76909C14"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1,257 </w:t>
            </w:r>
          </w:p>
        </w:tc>
        <w:tc>
          <w:tcPr>
            <w:tcW w:w="960" w:type="dxa"/>
            <w:noWrap/>
            <w:hideMark/>
          </w:tcPr>
          <w:p w14:paraId="24C09E5C"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0,333 </w:t>
            </w:r>
          </w:p>
        </w:tc>
      </w:tr>
      <w:tr w:rsidR="008E12F7" w:rsidRPr="006D1605" w14:paraId="674F1678" w14:textId="77777777" w:rsidTr="000B688A">
        <w:trPr>
          <w:trHeight w:val="288"/>
        </w:trPr>
        <w:tc>
          <w:tcPr>
            <w:tcW w:w="1418" w:type="dxa"/>
            <w:noWrap/>
            <w:hideMark/>
          </w:tcPr>
          <w:p w14:paraId="5418633A"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ALT_5</w:t>
            </w:r>
          </w:p>
        </w:tc>
        <w:tc>
          <w:tcPr>
            <w:tcW w:w="960" w:type="dxa"/>
            <w:noWrap/>
            <w:hideMark/>
          </w:tcPr>
          <w:p w14:paraId="46A38176" w14:textId="77777777" w:rsidR="008E12F7" w:rsidRPr="006D1605" w:rsidRDefault="008E12F7" w:rsidP="00953AE5">
            <w:pPr>
              <w:ind w:left="0" w:hanging="2"/>
              <w:jc w:val="right"/>
              <w:rPr>
                <w:rFonts w:ascii="Arial" w:eastAsia="Times New Roman" w:hAnsi="Arial" w:cs="Arial"/>
                <w:b/>
                <w:bCs/>
                <w:color w:val="000000"/>
                <w:sz w:val="20"/>
                <w:szCs w:val="20"/>
                <w:lang w:eastAsia="en-ID"/>
              </w:rPr>
            </w:pPr>
            <w:r w:rsidRPr="006D1605">
              <w:rPr>
                <w:rFonts w:ascii="Arial" w:eastAsia="Times New Roman" w:hAnsi="Arial" w:cs="Arial"/>
                <w:b/>
                <w:bCs/>
                <w:color w:val="000000"/>
                <w:sz w:val="20"/>
                <w:szCs w:val="20"/>
                <w:lang w:eastAsia="en-ID"/>
              </w:rPr>
              <w:t>2,053</w:t>
            </w:r>
          </w:p>
        </w:tc>
        <w:tc>
          <w:tcPr>
            <w:tcW w:w="960" w:type="dxa"/>
            <w:noWrap/>
            <w:hideMark/>
          </w:tcPr>
          <w:p w14:paraId="09AA5A19" w14:textId="77777777" w:rsidR="008E12F7" w:rsidRPr="006D1605" w:rsidRDefault="008E12F7" w:rsidP="00953AE5">
            <w:pPr>
              <w:ind w:left="0" w:hanging="2"/>
              <w:jc w:val="right"/>
              <w:rPr>
                <w:rFonts w:ascii="Arial" w:eastAsia="Times New Roman" w:hAnsi="Arial" w:cs="Arial"/>
                <w:b/>
                <w:bCs/>
                <w:color w:val="000000"/>
                <w:sz w:val="20"/>
                <w:szCs w:val="20"/>
                <w:lang w:eastAsia="en-ID"/>
              </w:rPr>
            </w:pPr>
            <w:r w:rsidRPr="006D1605">
              <w:rPr>
                <w:rFonts w:ascii="Arial" w:eastAsia="Times New Roman" w:hAnsi="Arial" w:cs="Arial"/>
                <w:b/>
                <w:bCs/>
                <w:color w:val="000000"/>
                <w:sz w:val="20"/>
                <w:szCs w:val="20"/>
                <w:lang w:eastAsia="en-ID"/>
              </w:rPr>
              <w:t>1</w:t>
            </w:r>
          </w:p>
        </w:tc>
      </w:tr>
      <w:tr w:rsidR="008E12F7" w:rsidRPr="006D1605" w14:paraId="32E88713" w14:textId="77777777" w:rsidTr="000B688A">
        <w:trPr>
          <w:trHeight w:val="288"/>
        </w:trPr>
        <w:tc>
          <w:tcPr>
            <w:tcW w:w="1418" w:type="dxa"/>
            <w:tcBorders>
              <w:bottom w:val="single" w:sz="4" w:space="0" w:color="auto"/>
            </w:tcBorders>
            <w:noWrap/>
            <w:hideMark/>
          </w:tcPr>
          <w:p w14:paraId="601DEBEF"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ALT_6</w:t>
            </w:r>
          </w:p>
        </w:tc>
        <w:tc>
          <w:tcPr>
            <w:tcW w:w="960" w:type="dxa"/>
            <w:tcBorders>
              <w:bottom w:val="single" w:sz="4" w:space="0" w:color="auto"/>
            </w:tcBorders>
            <w:noWrap/>
            <w:hideMark/>
          </w:tcPr>
          <w:p w14:paraId="76F110B4"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0,540 </w:t>
            </w:r>
          </w:p>
        </w:tc>
        <w:tc>
          <w:tcPr>
            <w:tcW w:w="960" w:type="dxa"/>
            <w:tcBorders>
              <w:bottom w:val="single" w:sz="4" w:space="0" w:color="auto"/>
            </w:tcBorders>
            <w:noWrap/>
            <w:hideMark/>
          </w:tcPr>
          <w:p w14:paraId="191AC447"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0,137 </w:t>
            </w:r>
          </w:p>
        </w:tc>
      </w:tr>
    </w:tbl>
    <w:p w14:paraId="5E631531" w14:textId="3BD41445" w:rsidR="0096266C" w:rsidRDefault="0096266C" w:rsidP="00953AE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3D38C04E" w14:textId="76F50ABB" w:rsidR="008E12F7" w:rsidRPr="006D1605" w:rsidRDefault="008E12F7"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Based on Table 11, the largest and smallest values ​​in S and R can be seen. The most significant value in S is alternative 5 with a score of 2.053, and the most minor score is alternative 1 with a score of 0.123. Meanwhile, the most significant value in R is alternative five (Alt_5)</w:t>
      </w:r>
      <w:r>
        <w:rPr>
          <w:rFonts w:ascii="Arial" w:hAnsi="Arial" w:cs="Arial"/>
          <w:sz w:val="20"/>
          <w:szCs w:val="20"/>
        </w:rPr>
        <w:t>,</w:t>
      </w:r>
      <w:r w:rsidRPr="006D1605">
        <w:rPr>
          <w:rFonts w:ascii="Arial" w:hAnsi="Arial" w:cs="Arial"/>
          <w:sz w:val="20"/>
          <w:szCs w:val="20"/>
        </w:rPr>
        <w:t xml:space="preserve"> and the smallest is alternative 1. Furthermore, from these results, the VIKOR index value is calculated using equations 5 and 6, the results of which are summarized in Table 12.</w:t>
      </w:r>
    </w:p>
    <w:p w14:paraId="711D7D60" w14:textId="53B4DDFF" w:rsidR="008E12F7" w:rsidRPr="006D1605" w:rsidRDefault="008E12F7"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 xml:space="preserve">Based on the calculation results in Table 12 provide information about the alternative ranking value. </w:t>
      </w:r>
      <w:r w:rsidR="000B688A">
        <w:rPr>
          <w:rFonts w:ascii="Arial" w:hAnsi="Arial" w:cs="Arial"/>
          <w:sz w:val="20"/>
          <w:szCs w:val="20"/>
        </w:rPr>
        <w:t>F</w:t>
      </w:r>
      <w:r w:rsidRPr="006D1605">
        <w:rPr>
          <w:rFonts w:ascii="Arial" w:hAnsi="Arial" w:cs="Arial"/>
          <w:sz w:val="20"/>
          <w:szCs w:val="20"/>
        </w:rPr>
        <w:t>urthermore, the best alternative from the results is alternative 6 (Increasing collaboration between stakeholders) with a value of around 0.048, where this value is the smallest value of all existing alternatives.</w:t>
      </w:r>
    </w:p>
    <w:p w14:paraId="4536405A" w14:textId="4D02C548" w:rsidR="008E12F7" w:rsidRPr="006D1605" w:rsidRDefault="008E12F7"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Table 12 alternative ranking values</w:t>
      </w:r>
    </w:p>
    <w:tbl>
      <w:tblPr>
        <w:tblStyle w:val="TableGrid"/>
        <w:tblW w:w="2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78"/>
      </w:tblGrid>
      <w:tr w:rsidR="008E12F7" w:rsidRPr="006D1605" w14:paraId="792E5BD0" w14:textId="77777777" w:rsidTr="00C258C2">
        <w:trPr>
          <w:trHeight w:val="288"/>
        </w:trPr>
        <w:tc>
          <w:tcPr>
            <w:tcW w:w="1843" w:type="dxa"/>
            <w:tcBorders>
              <w:top w:val="single" w:sz="4" w:space="0" w:color="auto"/>
              <w:bottom w:val="single" w:sz="4" w:space="0" w:color="auto"/>
            </w:tcBorders>
            <w:noWrap/>
            <w:hideMark/>
          </w:tcPr>
          <w:p w14:paraId="1387F3B9"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Alternative</w:t>
            </w:r>
          </w:p>
        </w:tc>
        <w:tc>
          <w:tcPr>
            <w:tcW w:w="978" w:type="dxa"/>
            <w:tcBorders>
              <w:top w:val="single" w:sz="4" w:space="0" w:color="auto"/>
              <w:bottom w:val="single" w:sz="4" w:space="0" w:color="auto"/>
            </w:tcBorders>
            <w:noWrap/>
            <w:hideMark/>
          </w:tcPr>
          <w:p w14:paraId="619DAE23"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Score S</w:t>
            </w:r>
          </w:p>
        </w:tc>
      </w:tr>
      <w:tr w:rsidR="008E12F7" w:rsidRPr="006D1605" w14:paraId="10440824" w14:textId="77777777" w:rsidTr="00C258C2">
        <w:trPr>
          <w:trHeight w:val="288"/>
        </w:trPr>
        <w:tc>
          <w:tcPr>
            <w:tcW w:w="1843" w:type="dxa"/>
            <w:tcBorders>
              <w:top w:val="single" w:sz="4" w:space="0" w:color="auto"/>
            </w:tcBorders>
            <w:noWrap/>
            <w:hideMark/>
          </w:tcPr>
          <w:p w14:paraId="0285385F"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ALT_1</w:t>
            </w:r>
          </w:p>
        </w:tc>
        <w:tc>
          <w:tcPr>
            <w:tcW w:w="978" w:type="dxa"/>
            <w:tcBorders>
              <w:top w:val="single" w:sz="4" w:space="0" w:color="auto"/>
            </w:tcBorders>
            <w:noWrap/>
            <w:hideMark/>
          </w:tcPr>
          <w:p w14:paraId="4BD04717"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1</w:t>
            </w:r>
          </w:p>
        </w:tc>
      </w:tr>
      <w:tr w:rsidR="008E12F7" w:rsidRPr="006D1605" w14:paraId="775CC340" w14:textId="77777777" w:rsidTr="00C258C2">
        <w:trPr>
          <w:trHeight w:val="288"/>
        </w:trPr>
        <w:tc>
          <w:tcPr>
            <w:tcW w:w="1843" w:type="dxa"/>
            <w:noWrap/>
            <w:hideMark/>
          </w:tcPr>
          <w:p w14:paraId="1CF8FBD6"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ALT_2</w:t>
            </w:r>
          </w:p>
        </w:tc>
        <w:tc>
          <w:tcPr>
            <w:tcW w:w="978" w:type="dxa"/>
            <w:noWrap/>
            <w:hideMark/>
          </w:tcPr>
          <w:p w14:paraId="16E20168"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0,160 </w:t>
            </w:r>
          </w:p>
        </w:tc>
      </w:tr>
      <w:tr w:rsidR="008E12F7" w:rsidRPr="006D1605" w14:paraId="29A6293B" w14:textId="77777777" w:rsidTr="00C258C2">
        <w:trPr>
          <w:trHeight w:val="288"/>
        </w:trPr>
        <w:tc>
          <w:tcPr>
            <w:tcW w:w="1843" w:type="dxa"/>
            <w:noWrap/>
            <w:hideMark/>
          </w:tcPr>
          <w:p w14:paraId="3CBB719A"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ALT_3</w:t>
            </w:r>
          </w:p>
        </w:tc>
        <w:tc>
          <w:tcPr>
            <w:tcW w:w="978" w:type="dxa"/>
            <w:noWrap/>
            <w:hideMark/>
          </w:tcPr>
          <w:p w14:paraId="7E01E474"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0,406 </w:t>
            </w:r>
          </w:p>
        </w:tc>
      </w:tr>
      <w:tr w:rsidR="008E12F7" w:rsidRPr="006D1605" w14:paraId="2A3E37D6" w14:textId="77777777" w:rsidTr="00C258C2">
        <w:trPr>
          <w:trHeight w:val="288"/>
        </w:trPr>
        <w:tc>
          <w:tcPr>
            <w:tcW w:w="1843" w:type="dxa"/>
            <w:noWrap/>
            <w:hideMark/>
          </w:tcPr>
          <w:p w14:paraId="66889645"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ALT_4</w:t>
            </w:r>
          </w:p>
        </w:tc>
        <w:tc>
          <w:tcPr>
            <w:tcW w:w="978" w:type="dxa"/>
            <w:noWrap/>
            <w:hideMark/>
          </w:tcPr>
          <w:p w14:paraId="20F9CD1B"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0,334 </w:t>
            </w:r>
          </w:p>
        </w:tc>
      </w:tr>
      <w:tr w:rsidR="008E12F7" w:rsidRPr="006D1605" w14:paraId="01BE7BD0" w14:textId="77777777" w:rsidTr="00C258C2">
        <w:trPr>
          <w:trHeight w:val="288"/>
        </w:trPr>
        <w:tc>
          <w:tcPr>
            <w:tcW w:w="1843" w:type="dxa"/>
            <w:noWrap/>
            <w:hideMark/>
          </w:tcPr>
          <w:p w14:paraId="2FF0DAF8"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ALT_5</w:t>
            </w:r>
          </w:p>
        </w:tc>
        <w:tc>
          <w:tcPr>
            <w:tcW w:w="978" w:type="dxa"/>
            <w:noWrap/>
            <w:hideMark/>
          </w:tcPr>
          <w:p w14:paraId="460D27D9" w14:textId="77777777" w:rsidR="008E12F7" w:rsidRPr="006D1605" w:rsidRDefault="008E12F7" w:rsidP="00953AE5">
            <w:pPr>
              <w:ind w:left="0" w:hanging="2"/>
              <w:jc w:val="right"/>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 xml:space="preserve">0,908 </w:t>
            </w:r>
          </w:p>
        </w:tc>
      </w:tr>
      <w:tr w:rsidR="008E12F7" w:rsidRPr="006D1605" w14:paraId="61126D71" w14:textId="77777777" w:rsidTr="00C258C2">
        <w:trPr>
          <w:trHeight w:val="288"/>
        </w:trPr>
        <w:tc>
          <w:tcPr>
            <w:tcW w:w="1843" w:type="dxa"/>
            <w:tcBorders>
              <w:bottom w:val="single" w:sz="4" w:space="0" w:color="auto"/>
            </w:tcBorders>
            <w:noWrap/>
            <w:hideMark/>
          </w:tcPr>
          <w:p w14:paraId="03A09516" w14:textId="77777777" w:rsidR="008E12F7" w:rsidRPr="006D1605" w:rsidRDefault="008E12F7" w:rsidP="00953AE5">
            <w:pPr>
              <w:ind w:left="0" w:hanging="2"/>
              <w:rPr>
                <w:rFonts w:ascii="Arial" w:eastAsia="Times New Roman" w:hAnsi="Arial" w:cs="Arial"/>
                <w:color w:val="000000"/>
                <w:sz w:val="20"/>
                <w:szCs w:val="20"/>
                <w:lang w:eastAsia="en-ID"/>
              </w:rPr>
            </w:pPr>
            <w:r w:rsidRPr="006D1605">
              <w:rPr>
                <w:rFonts w:ascii="Arial" w:eastAsia="Times New Roman" w:hAnsi="Arial" w:cs="Arial"/>
                <w:color w:val="000000"/>
                <w:sz w:val="20"/>
                <w:szCs w:val="20"/>
                <w:lang w:eastAsia="en-ID"/>
              </w:rPr>
              <w:t>ALT_6</w:t>
            </w:r>
          </w:p>
        </w:tc>
        <w:tc>
          <w:tcPr>
            <w:tcW w:w="978" w:type="dxa"/>
            <w:tcBorders>
              <w:bottom w:val="single" w:sz="4" w:space="0" w:color="auto"/>
            </w:tcBorders>
            <w:noWrap/>
            <w:hideMark/>
          </w:tcPr>
          <w:p w14:paraId="42841B27" w14:textId="77777777" w:rsidR="008E12F7" w:rsidRPr="006D1605" w:rsidRDefault="008E12F7" w:rsidP="00953AE5">
            <w:pPr>
              <w:ind w:left="0" w:hanging="2"/>
              <w:jc w:val="right"/>
              <w:rPr>
                <w:rFonts w:ascii="Arial" w:eastAsia="Times New Roman" w:hAnsi="Arial" w:cs="Arial"/>
                <w:b/>
                <w:bCs/>
                <w:color w:val="000000"/>
                <w:sz w:val="20"/>
                <w:szCs w:val="20"/>
                <w:lang w:eastAsia="en-ID"/>
              </w:rPr>
            </w:pPr>
            <w:r w:rsidRPr="006D1605">
              <w:rPr>
                <w:rFonts w:ascii="Arial" w:eastAsia="Times New Roman" w:hAnsi="Arial" w:cs="Arial"/>
                <w:b/>
                <w:bCs/>
                <w:color w:val="000000"/>
                <w:sz w:val="20"/>
                <w:szCs w:val="20"/>
                <w:lang w:eastAsia="en-ID"/>
              </w:rPr>
              <w:t xml:space="preserve">0,048 </w:t>
            </w:r>
          </w:p>
        </w:tc>
      </w:tr>
    </w:tbl>
    <w:p w14:paraId="3C861B45" w14:textId="7FD10333"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7E48177C" w14:textId="77777777" w:rsidR="008E12F7" w:rsidRPr="006D1605" w:rsidRDefault="008E12F7" w:rsidP="00953AE5">
      <w:pPr>
        <w:tabs>
          <w:tab w:val="left" w:pos="7015"/>
        </w:tabs>
        <w:spacing w:line="240" w:lineRule="auto"/>
        <w:ind w:left="0" w:hanging="2"/>
        <w:jc w:val="both"/>
        <w:rPr>
          <w:rFonts w:ascii="Arial" w:hAnsi="Arial" w:cs="Arial"/>
          <w:sz w:val="20"/>
          <w:szCs w:val="20"/>
        </w:rPr>
      </w:pPr>
      <w:r w:rsidRPr="006D1605">
        <w:rPr>
          <w:rFonts w:ascii="Arial" w:hAnsi="Arial" w:cs="Arial"/>
          <w:sz w:val="20"/>
          <w:szCs w:val="20"/>
        </w:rPr>
        <w:t>Based on the calculation results displayed in Table 12, provide information about the alternative ranking value. Furthermore, the best alternative from the results is alternative 6 (Increasing collaboration between stakeholders) with a value of around 0.048, where this value is the smallest value of all existing alternatives.</w:t>
      </w:r>
    </w:p>
    <w:p w14:paraId="11888242" w14:textId="780DAED9" w:rsidR="008E12F7" w:rsidRDefault="008E12F7" w:rsidP="00953AE5">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DISCUSSION</w:t>
      </w:r>
    </w:p>
    <w:p w14:paraId="3FF9B14B" w14:textId="77777777"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In this study, we combine two methods in determining the biodiesel development strategy by applying the SWOT method and the VIKOR method. In the SWOT method, the selected expert respondents make an assessment related to strengths, weaknesses, opportunities, and threats. Based on the assessment results, it can be seen that the total value of the most significant strength is 3.29, and the total value of threats is 2.58. In addition, the opportunity and weakness values ​​each have a score of around 3.16 and 2.99. </w:t>
      </w:r>
      <w:r w:rsidRPr="00953AE5">
        <w:rPr>
          <w:rFonts w:ascii="Arial" w:hAnsi="Arial" w:cs="Arial"/>
          <w:sz w:val="20"/>
          <w:szCs w:val="20"/>
        </w:rPr>
        <w:t>The significant strength factor in biodiesel development is Environmental consciousness, which has a value of 1.52. The significant weakness factor in biodiesel development is high investment costs, which have a value of 1.48. In addition, the significant opportunity factor in biodiesel development is Becoming an environmentally friendly energy solution, with a score of 1.32, and the significant threat factor is Weak financial support, with a score of 1.24.</w:t>
      </w:r>
    </w:p>
    <w:p w14:paraId="69136AD4" w14:textId="77777777"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Furthermore, based on the selection of priority alternatives by applying the VIKOR method, it can be seen that alternative 6 (Increased collaboration between stakeholders) is the most significant choice based on expert assessments. Increased collaboration between stakeholders will contribute to reducing high investment costs, which are one of the weaknesses—for example, working with financial institutions to obtain soft loans that do not burden biodiesel producers. In addition, soft loans will also reduce the threat of financial support. Mutually beneficial cooperation between stakeholders has the potential to provide positive value to the development of biodiesel in Indonesia. </w:t>
      </w:r>
    </w:p>
    <w:p w14:paraId="28F62607" w14:textId="72A10254"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The strategy for developing biodiesel production using BSF Maggots will make a significant contribution to achieving sustainable development goals (SDGs) in Indonesia. Several targets in the SDGs that are directly related to the biodiesel development strategy include Goal 7 and Goal 13. Furthermore, through the development of biodiesel using BSF Maggots, it can provide access to contemporary, cost-effective and sustainable energy sources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{"citationItems":[{"id":"ITEM-1","itemData":{"author":[{"dropping-particle":"","family":"Agbaraji","given":"Emmanuel Chukwudi","non-dropping-particle":"","parse-names":false,"suffix":""},{"dropping-particle":"","family":"Nekede","given":"Federal Polytechnic","non-dropping-particle":"","parse-names":false,"suffix":""},{"dropping-particle":"","family":"Udeani","given":"Uchenna Henrietta","non-dropping-particle":"","parse-names":false,"suffix":""}],"id":"ITEM-1","issue":"February","issued":{"date-parts":[["2022"]]},"page":"0-8","title":"Renewable Energy as a Cost Effective and Sustainable Power Source for Industry","type":"article-journal"},"uris":["http://www.mendeley.com/documents/?uuid=ced773c0-faeb-4918-b446-c05216dd589c"]}],"mendeley":{"formattedCitation":"[55]","plainTextFormattedCitation":"[55]","previouslyFormattedCitation":"[55]"},"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[55]</w:t>
      </w:r>
      <w:r w:rsidRPr="00953AE5">
        <w:rPr>
          <w:rFonts w:ascii="Arial" w:hAnsi="Arial" w:cs="Arial"/>
          <w:sz w:val="20"/>
          <w:szCs w:val="20"/>
        </w:rPr>
        <w:fldChar w:fldCharType="end"/>
      </w:r>
      <w:r w:rsidRPr="00953AE5">
        <w:rPr>
          <w:rFonts w:ascii="Arial" w:hAnsi="Arial" w:cs="Arial"/>
          <w:sz w:val="20"/>
          <w:szCs w:val="20"/>
        </w:rPr>
        <w:t xml:space="preserve">, addressing energy poverty in marginalized areas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{"citationItems":[{"id":"ITEM-1","itemData":{"DOI":"10.1007/s43621-024-00426-9","ISBN":"0123456789","ISSN":"2662-9984","author":[{"dropping-particle":"","family":"Filho","given":"Walter Leal","non-dropping-particle":"","parse-names":false,"suffix":""},{"dropping-particle":"","family":"Begum","given":"Halima","non-dropping-particle":"","parse-names":false,"suffix":""},{"dropping-particle":"","family":"Anholon","given":"Rosley","non-dropping-particle":"","parse-names":false,"suffix":""},{"dropping-particle":"","family":"Quelhas","given":"Osvaldo","non-dropping-particle":"","parse-names":false,"suffix":""},{"dropping-particle":"","family":"Rampasso","given":"Izabela","non-dropping-particle":"","parse-names":false,"suffix":""}],"container-title":"Discover Sustainability","id":"ITEM-1","issued":{"date-parts":[["2024"]]},"publisher":"Springer International Publishing","title":"Discover Sustainability Addressing the challenges posed by energy poverty in Latin American countries","type":"article-journal"},"uris":["http://www.mendeley.com/documents/?uuid=77e4fab1-ff44-43ea-85f5-d9acae87c477"]}],"mendeley":{"formattedCitation":"[56]","plainTextFormattedCitation":"[56]","previouslyFormattedCitation":"[56]"},"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[56]</w:t>
      </w:r>
      <w:r w:rsidRPr="00953AE5">
        <w:rPr>
          <w:rFonts w:ascii="Arial" w:hAnsi="Arial" w:cs="Arial"/>
          <w:sz w:val="20"/>
          <w:szCs w:val="20"/>
        </w:rPr>
        <w:fldChar w:fldCharType="end"/>
      </w:r>
      <w:r w:rsidRPr="00953AE5">
        <w:rPr>
          <w:rFonts w:ascii="Arial" w:hAnsi="Arial" w:cs="Arial"/>
          <w:sz w:val="20"/>
          <w:szCs w:val="20"/>
        </w:rPr>
        <w:t>. In addition, biodiesel development also has the potential to reduce greenhouse gas emissions, which are important in the transition to a low-carbon economy</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{"citationItems":[{"id":"ITEM-1","itemData":{"author":[{"dropping-particle":"","family":"Yohanes","given":"Ardi","non-dropping-particle":"","parse-names":false,"suffix":""},{"dropping-particle":"","family":"Aliefiansyah","given":"M Naufal","non-dropping-particle":"","parse-names":false,"suffix":""},{"dropping-particle":"","family":"Parapat","given":"Riny Yolandha","non-dropping-particle":"","parse-names":false,"suffix":""}],"id":"ITEM-1","issued":{"date-parts":[["2024"]]},"page":"105-118","title":"Review of Ecological Impacts and Future Developments of Biodiesel","type":"article-journal","volume":"8"},"uris":["http://www.mendeley.com/documents/?uuid=9ee71421-3340-4e23-9b04-2187ab0a0aff"]}],"mendeley":{"formattedCitation":"[57]","plainTextFormattedCitation":"[57]","previouslyFormattedCitation":"[57]"},"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[57]</w:t>
      </w:r>
      <w:r w:rsidRPr="00953AE5">
        <w:rPr>
          <w:rFonts w:ascii="Arial" w:hAnsi="Arial" w:cs="Arial"/>
          <w:sz w:val="20"/>
          <w:szCs w:val="20"/>
        </w:rPr>
        <w:fldChar w:fldCharType="end"/>
      </w:r>
      <w:r w:rsidRPr="00953AE5">
        <w:rPr>
          <w:rFonts w:ascii="Arial" w:hAnsi="Arial" w:cs="Arial"/>
          <w:sz w:val="20"/>
          <w:szCs w:val="20"/>
        </w:rPr>
        <w:t xml:space="preserve">. Through the development of biodiesel using Maggots, it can reduce environmental damage associated with the extraction and consumption of fossil fuels. Based on the analysis using the SWOT and VIKOR methods related to the strategy for developing biodiesel using BSF Maggots, it will also encourage job creation in production, maintenance and research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10.1186/s13068-024-02571-9","ISSN":"2731-3654","author":[{"dropping-particle":"","family":"Araby","given":"El","non-dropping-particle":"","parse-names":false,"suffix":""},{"dropping-particle":"El","family":"Araby","given":"R","non-dropping-particle":"","parse-names":false,"suffix":""}],"container-title":"Biotechnology for Biofuels and Bioproducts","id":"ITEM-1","issued":{"date-parts":[["2024"]]},"publisher":"BioMed Central","title":"Biofuel production : exploring renewable energy solutions for a greener future","type":"article-journal"},"uris":["http://www.mendeley.com/documents/?uuid=57949fbb-52b4-4be0-8fba-56a20663de72"]}],"mendeley":{"formattedCitation":"[58]","plainTextFormattedCitation":"[58]","previouslyFormattedCitation":"[58]"},"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[58]</w:t>
      </w:r>
      <w:r w:rsidRPr="00953AE5">
        <w:rPr>
          <w:rFonts w:ascii="Arial" w:hAnsi="Arial" w:cs="Arial"/>
          <w:sz w:val="20"/>
          <w:szCs w:val="20"/>
        </w:rPr>
        <w:fldChar w:fldCharType="end"/>
      </w:r>
      <w:r w:rsidRPr="00953AE5">
        <w:rPr>
          <w:rFonts w:ascii="Arial" w:hAnsi="Arial" w:cs="Arial"/>
          <w:sz w:val="20"/>
          <w:szCs w:val="20"/>
        </w:rPr>
        <w:t xml:space="preserve">. Thus, increasing regional economic resilience can be realized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{"citationItems":[{"id":"ITEM-1","itemData":{"DOI":"doi.org/10.30689/R2019:11.1403-2503","author":[{"dropping-particle":"","family":"Giacometti","given":"By Alberto","non-dropping-particle":"","parse-names":false,"suffix":""},{"dropping-particle":"","family":"Aalto","given":"Heikki","non-dropping-particle":"","parse-names":false,"suffix":""}],"id":"ITEM-1","issued":{"date-parts":[["2019"]]},"publisher-place":"Sweden","title":"Social And Economic Resilience","type":"report"},"uris":["http://www.mendeley.com/documents/?uuid=c9a5701b-cc0c-4525-bb1a-85ec6d688215"]}],"mendeley":{"formattedCitation":"[59]","plainTextFormattedCitation":"[59]","previouslyFormattedCitation":"[59]"},"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[59]</w:t>
      </w:r>
      <w:r w:rsidRPr="00953AE5">
        <w:rPr>
          <w:rFonts w:ascii="Arial" w:hAnsi="Arial" w:cs="Arial"/>
          <w:sz w:val="20"/>
          <w:szCs w:val="20"/>
        </w:rPr>
        <w:fldChar w:fldCharType="end"/>
      </w:r>
      <w:r w:rsidRPr="00953AE5">
        <w:rPr>
          <w:rFonts w:ascii="Arial" w:hAnsi="Arial" w:cs="Arial"/>
          <w:sz w:val="20"/>
          <w:szCs w:val="20"/>
        </w:rPr>
        <w:t xml:space="preserve">. Furthermore, the renewable energy development strategy can be carried out by creating a decentralized system to improve energy security in a disaster-prone area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{"citationItems":[{"id":"ITEM-1","itemData":{"DOI":"doi.org/10.30689/R2019:11.1403-2503","author":[{"dropping-particle":"","family":"Giacometti","given":"By Alberto","non-dropping-particle":"","parse-names":false,"suffix":""},{"dropping-particle":"","family":"Aalto","given":"Heikki","non-dropping-particle":"","parse-names":false,"suffix":""}],"id":"ITEM-1","issued":{"date-parts":[["2019"]]},"publisher-place":"Sweden","title":"Social And Economic Resilience","type":"report"},"uris":["http://www.mendeley.com/documents/?uuid=c9a5701b-cc0c-4525-bb1a-85ec6d688215"]}],"mendeley":{"formattedCitation":"[59]","plainTextFormattedCitation":"[59]","previouslyFormattedCitation":"[59]"},"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[59]</w:t>
      </w:r>
      <w:r w:rsidRPr="00953AE5">
        <w:rPr>
          <w:rFonts w:ascii="Arial" w:hAnsi="Arial" w:cs="Arial"/>
          <w:sz w:val="20"/>
          <w:szCs w:val="20"/>
        </w:rPr>
        <w:fldChar w:fldCharType="end"/>
      </w:r>
      <w:r w:rsidRPr="00953AE5">
        <w:rPr>
          <w:rFonts w:ascii="Arial" w:hAnsi="Arial" w:cs="Arial"/>
          <w:sz w:val="20"/>
          <w:szCs w:val="20"/>
        </w:rPr>
        <w:t>.</w:t>
      </w:r>
    </w:p>
    <w:p w14:paraId="061D9A50" w14:textId="48A73BA9"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The approach to developing biodiesel as a renewable energy source has significant consequences for the environment, society, </w:t>
      </w:r>
      <w:r w:rsidRPr="00953AE5">
        <w:rPr>
          <w:rFonts w:ascii="Arial" w:hAnsi="Arial" w:cs="Arial"/>
          <w:sz w:val="20"/>
          <w:szCs w:val="20"/>
        </w:rPr>
        <w:lastRenderedPageBreak/>
        <w:t xml:space="preserve">economy, and government policy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{"citationItems":[{"id":"ITEM-1","itemData":{"DOI":"10.5772/20923","author":[{"dropping-particle":"","family":"Chauhan","given":"Sippy K","non-dropping-particle":"","parse-names":false,"suffix":""},{"dropping-particle":"","family":"Shukla","given":"Anuradha","non-dropping-particle":"","parse-names":false,"suffix":""}],"id":"ITEM-1","issue":"April","issued":{"date-parts":[["2014"]]},"title":"Environmental Impacts of Production of Biodiesel and Its Use in Transportation Sector","type":"article-journal"},"uris":["http://www.mendeley.com/documents/?uuid=8e7027fd-bf0b-4164-9b2f-ea0b1c07dc41"]}],"mendeley":{"formattedCitation":"[60]","plainTextFormattedCitation":"[60]","previouslyFormattedCitation":"[60]"},"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[60]</w:t>
      </w:r>
      <w:r w:rsidRPr="00953AE5">
        <w:rPr>
          <w:rFonts w:ascii="Arial" w:hAnsi="Arial" w:cs="Arial"/>
          <w:sz w:val="20"/>
          <w:szCs w:val="20"/>
        </w:rPr>
        <w:fldChar w:fldCharType="end"/>
      </w:r>
      <w:r w:rsidRPr="00953AE5">
        <w:rPr>
          <w:rFonts w:ascii="Arial" w:hAnsi="Arial" w:cs="Arial"/>
          <w:sz w:val="20"/>
          <w:szCs w:val="20"/>
        </w:rPr>
        <w:t xml:space="preserve">. From an environmental perspective, there are several positive impacts, such as reduced greenhouse gas emissions, where biodiesel generally produces lower levels of carbon dioxide, sulfur dioxide, and particles compared to fossil fuels, thus contributing to climate change mitigation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{"citationItems":[{"id":"ITEM-1","itemData":{"DOI":"https://doi.org/10.1016/j.rser.2024.114369","ISSN":"1364-0321","abstract":"In a scenario characterized by the constant rise of global temperatures and extreme climatic events, the need for sustainable energy alternatives is urgent. Biofuels, derived from biomass, emerge as a promising option to reduce greenhouse gas emissions and combat global warming. Biofuels are categorized into different generations, each with specific characteristics in terms of raw materials and production technology. While the first generation uses food sources such as corn and sugarcane, the second and third generations focus on non-food raw materials, like agricultural residues and algae, offering a more favorable carbon balance and lesser environmental impact. Advances in the fourth generation, involving techniques like artificial photosynthesis, represent a significant leap in energy efficiency and sustainability. The sustainability of production, responsible agricultural practices, and distribution infrastructure are crucial aspects for the effective integration of biofuels into the energy matrix. This study recommends integrated policies, investment in research and development, promotion of second and third generation biofuels, public awareness, and sustainable production practices. Investing in infrastructure and monitoring and evaluation systems is also essential. The transition to biofuels requires a holistic approach, balancing energy needs with environmental protection, and considering social and economic implications. Successful implementation of biofuels can signify a significant step towards a cleaner and more sustainable energy future.","author":[{"dropping-particle":"","family":"Rial","given":"Rafael Cardoso","non-dropping-particle":"","parse-names":false,"suffix":""}],"container-title":"Renewable and Sustainable Energy Reviews","id":"ITEM-1","issued":{"date-parts":[["2024"]]},"page":"114369","title":"Biofuels versus climate change: Exploring potentials and challenges in the energy transition","type":"article-journal","volume":"196"},"uris":["http://www.mendeley.com/documents/?uuid=9a4923fc-a82b-4577-b005-9b9555a011af"]}],"mendeley":{"formattedCitation":"[61]","plainTextFormattedCitation":"[61]","previouslyFormattedCitation":"[61]"},"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[61]</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{"citationItems":[{"id":"ITEM-1","itemData":{"author":[{"dropping-particle":"","family":"Neupane","given":"Dhurba","non-dropping-particle":"","parse-names":false,"suffix":""}],"id":"ITEM-1","issued":{"date-parts":[["2023"]]},"title":"Biofuels from Renewable Sources , a Potential Option for Biodiesel Production","type":"article-journal"},"uris":["http://www.mendeley.com/documents/?uuid=d301edc2-f1bd-4421-8c2d-6d86eb933aee"]}],"mendeley":{"formattedCitation":"[62]","plainTextFormattedCitation":"[62]","previouslyFormattedCitation":"[62]"},"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[62]</w:t>
      </w:r>
      <w:r w:rsidRPr="00953AE5">
        <w:rPr>
          <w:rFonts w:ascii="Arial" w:hAnsi="Arial" w:cs="Arial"/>
          <w:sz w:val="20"/>
          <w:szCs w:val="20"/>
        </w:rPr>
        <w:fldChar w:fldCharType="end"/>
      </w:r>
      <w:r w:rsidRPr="00953AE5">
        <w:rPr>
          <w:rFonts w:ascii="Arial" w:hAnsi="Arial" w:cs="Arial"/>
          <w:sz w:val="20"/>
          <w:szCs w:val="20"/>
        </w:rPr>
        <w:t xml:space="preserve">. Furthermore, reduced air pollution as biodiesel combustion produces fewer harmful pollutants, such as unburned hydrocarbons and carbon monoxide. In addition, studies conducted by Neupane underline that biodiesel is non-toxic and biodegradable, reducing the potential for environmental pollution in the event of a spill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{"citationItems":[{"id":"ITEM-1","itemData":{"author":[{"dropping-particle":"","family":"Neupane","given":"Dhurba","non-dropping-particle":"","parse-names":false,"suffix":""}],"id":"ITEM-1","issued":{"date-parts":[["2023"]]},"title":"Biofuels from Renewable Sources , a Potential Option for Biodiesel Production","type":"article-journal"},"uris":["http://www.mendeley.com/documents/?uuid=d301edc2-f1bd-4421-8c2d-6d86eb933aee"]}],"mendeley":{"formattedCitation":"[62]","plainTextFormattedCitation":"[62]","previouslyFormattedCitation":"[62]"},"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[62]</w:t>
      </w:r>
      <w:r w:rsidRPr="00953AE5">
        <w:rPr>
          <w:rFonts w:ascii="Arial" w:hAnsi="Arial" w:cs="Arial"/>
          <w:sz w:val="20"/>
          <w:szCs w:val="20"/>
        </w:rPr>
        <w:fldChar w:fldCharType="end"/>
      </w:r>
      <w:r w:rsidRPr="00953AE5">
        <w:rPr>
          <w:rFonts w:ascii="Arial" w:hAnsi="Arial" w:cs="Arial"/>
          <w:sz w:val="20"/>
          <w:szCs w:val="20"/>
        </w:rPr>
        <w:t xml:space="preserve">. Meanwhile, several studies have shown resource efficiency by using agricultural by-products and waste oil, thereby reducing the environmental consequences of waste disposal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{"citationItems":[{"id":"ITEM-1","itemData":{"DOI":"https://doi.org/10.1016/j.jclepro.2023.139989","ISSN":"0959-6526","abstract":"Agriculture has a historical significance in human society and its present-day role as a vital sector of the global economy is irrefutable. However, the increase in agricultural production prompted by the rising demands has resulted in negative environmental consequences associated waste generation. Agricultural waste (agro-waste) constitutes a significant portion of the waste generated worldwide, causing environmental contamination and posing health risks when not managed properly. It is therefore crucial to formulate pioneering approaches that effectively mitigate the adverse impacts of agricultural waste, necessitating a deeper understanding of agro-waste. This review provides an overview of agro-waste, offering insights into its generation, categorization, composition and associated environmental implications. The sustainable utilization of the agro-waste is explored addressing pressing waste management and resource optimization issues. The paper engages in a comprehensive discussion regarding how agricultural practices contribute to soil degradation, air and water pollution, emphasising their interconnection and the need for integrated solutions. Promising pathways for utilizing agricultural waste, encompassing composting, production of animal feed, bioenergy generation, fiber extractions and biochar production are explored. Additionally, the review examines the complexities of efficiently managing and utilizing agricultural waste, addressing challenges such as the diverse nature of waste sources, compositional variations, contaminants, and practical feasibility considerations. It also explores potential solutions, including the need for further research, infrastructure development, and the establishment of regulatory frameworks and policies to improve agricultural waste management.","author":[{"dropping-particle":"","family":"Phiri","given":"Resego","non-dropping-particle":"","parse-names":false,"suffix":""},{"dropping-particle":"","family":"Mavinkere Rangappa","given":"Sanjay","non-dropping-particle":"","parse-names":false,"suffix":""},{"dropping-particle":"","family":"Siengchin","given":"Suchart","non-dropping-particle":"","parse-names":false,"suffix":""}],"container-title":"Journal of Cleaner Production","id":"ITEM-1","issued":{"date-parts":[["2024"]]},"page":"139989","title":"Agro-waste for renewable and sustainable green production: A review","type":"article-journal","volume":"434"},"uris":["http://www.mendeley.com/documents/?uuid=0883adec-0ea9-4207-bef4-88c29a7a02ce"]}],"mendeley":{"formattedCitation":"[63]","plainTextFormattedCitation":"[63]","previouslyFormattedCitation":"[63]"},"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[63]</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ISBN":"9789334102437","author":[{"dropping-particle":"","family":"Awasthi","given":"Neha","non-dropping-particle":"","parse-names":false,"suffix":""},{"dropping-particle":"","family":"Sharma","given":"Shivani","non-dropping-particle":"","parse-names":false,"suffix":""}],"id":"ITEM-1","issue":"October","issued":{"date-parts":[["2024"]]},"title":"Environmental safety , sustainability and Agricultural waste management","type":"article-journal"},"uris":["http://www.mendeley.com/documents/?uuid=432b82ba-19b7-4c2e-af92-31880078ea59"]}],"mendeley":{"formattedCitation":"[64]","plainTextFormattedCitation":"[64]","previouslyFormattedCitation":"[64]"},"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[64]</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{"citationItems":[{"id":"ITEM-1","itemData":{"author":[{"dropping-particle":"","family":"Pal","given":"Priti","non-dropping-particle":"","parse-names":false,"suffix":""},{"dropping-particle":"","family":"Singh","given":"Akhilesh Kumar","non-dropping-particle":"","parse-names":false,"suffix":""},{"dropping-particle":"","family":"Srivastava","given":"Rajesh Kumar","non-dropping-particle":"","parse-names":false,"suffix":""},{"dropping-particle":"","family":"Rathore","given":"Saurabh Singh","non-dropping-particle":"","parse-names":false,"suffix":""}],"id":"ITEM-1","issued":{"date-parts":[["2024"]]},"title":"Circular Bioeconomy in Action : Transforming Food Wastes into","type":"article-journal"},"uris":["http://www.mendeley.com/documents/?uuid=f4976052-4274-45b0-b526-d155b19777d5"]}],"mendeley":{"formattedCitation":"[65]","plainTextFormattedCitation":"[65]","previouslyFormattedCitation":"[65]"},"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[65]</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 xml:space="preserve">ADDIN CSL_CITATION {"citationItems":[{"id":"ITEM-1","itemData":{"DOI":"10.1007/s10311-023-01639-6","ISBN":"0123456789","ISSN":"1610-3661","author":[{"dropping-particle":"","family":"Rashwan","given":"Ahmed K","non-dropping-particle":"","parse-names":false,"suffix":""},{"dropping-particle":"","family":"Bai","given":"Haotian","non-dropping-particle":"","parse-names":false,"suffix":""},{"dropping-particle":"","family":"Osman","given":"Ahmed I","non-dropping-particle":"","parse-names":false,"suffix":""},{"dropping-particle":"","family":"Eltohamy","given":"Kamel M","non-dropping-particle":"","parse-names":false,"suffix":""},{"dropping-particle":"","family":"Chen","given":"Zhonghao","non-dropping-particle":"","parse-names":false,"suffix":""},{"dropping-particle":"","family":"Younis","given":"Hala A","non-dropping-particle":"","parse-names":false,"suffix":""},{"dropping-particle":"","family":"Al","given":"Ahmed","non-dropping-particle":"","parse-names":false,"suffix":""},{"dropping-particle":"","family":"David","given":"Fatesh","non-dropping-particle":"","parse-names":false,"suffix":""},{"dropping-particle":"","family":"Pow","given":"W Rooney","non-dropping-particle":"","parse-names":false,"suffix":""},{"dropping-particle":"","family":"Yap","given":"Seng","non-dropping-particle":"","parse-names":false,"suffix":""}],"container-title":"Environmental Chemistry Letters","id":"ITEM-1","issue":"6","issued":{"date-parts":[["2023"]]},"page":"3351-3375","publisher":"Springer International Publishing","title":"Recycling food and agriculture by </w:instrText>
      </w:r>
      <w:r w:rsidR="00253AC2" w:rsidRPr="00953AE5">
        <w:rPr>
          <w:rFonts w:ascii="Cambria Math" w:hAnsi="Cambria Math" w:cs="Cambria Math"/>
          <w:sz w:val="20"/>
          <w:szCs w:val="20"/>
        </w:rPr>
        <w:instrText>‑</w:instrText>
      </w:r>
      <w:r w:rsidR="00253AC2" w:rsidRPr="00953AE5">
        <w:rPr>
          <w:rFonts w:ascii="Arial" w:hAnsi="Arial" w:cs="Arial"/>
          <w:sz w:val="20"/>
          <w:szCs w:val="20"/>
        </w:rPr>
        <w:instrText xml:space="preserve"> products to mitigate climate change : a review","type":"article-journal","volume":"21"},"uris":["http://www.mendeley.com/documents/?uuid=baf9a73c-0932-4e3d-9bff-fc40d5b34883"]}],"mendeley":{"formattedCitation":"[66]","plainTextFormattedCitation":"[66]","previouslyFormattedCitation":"[66]"},"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[66]</w:t>
      </w:r>
      <w:r w:rsidRPr="00953AE5">
        <w:rPr>
          <w:rFonts w:ascii="Arial" w:hAnsi="Arial" w:cs="Arial"/>
          <w:sz w:val="20"/>
          <w:szCs w:val="20"/>
        </w:rPr>
        <w:fldChar w:fldCharType="end"/>
      </w:r>
      <w:r w:rsidRPr="00953AE5">
        <w:rPr>
          <w:rFonts w:ascii="Arial" w:hAnsi="Arial" w:cs="Arial"/>
          <w:sz w:val="20"/>
          <w:szCs w:val="20"/>
        </w:rPr>
        <w:t>.</w:t>
      </w:r>
    </w:p>
    <w:p w14:paraId="38B59248" w14:textId="06A2DD3B"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On the other hand, there are potential disadvantages, for example, changes in land use, where the production of plant-based biodiesel can result in deforestation, habitat destruction, and reduced biodiversity if the raw materials are obtained through unsustainable methods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10.1186/s13068-024-02571-9","ISSN":"2731-3654","author":[{"dropping-particle":"","family":"Araby","given":"El","non-dropping-particle":"","parse-names":false,"suffix":""},{"dropping-particle":"El","family":"Araby","given":"R","non-dropping-particle":"","parse-names":false,"suffix":""}],"container-title":"Biotechnology for Biofuels and Bioproducts","id":"ITEM-1","issued":{"date-parts":[["2024"]]},"publisher":"BioMed Central","title":"Biofuel production : exploring renewable energy solutions for a greener future","type":"article-journal"},"uris":["http://www.mendeley.com/documents/?uuid=47a494b2-0fb5-425f-9041-00996b2a3166"]}],"mendeley":{"formattedCitation":"[58]","plainTextFormattedCitation":"[58]","previouslyFormattedCitation":"[58]"},"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[58]</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{"citationItems":[{"id":"ITEM-1","itemData":{"DOI":"https://doi.org/10.1016/j.ccst.2024.100264","ISSN":"2772-6568","abstract":"Biodiesel synthesis and purification are critical stages in the production process, continually evolving to address environmental concerns and improve operational efficiency. Currently, biodiesel production has seen significant growth with numerous commercial plants operating worldwide, contributing to the blend of biodiesel with fossil fuels to reduce carbon emissions. Diverse feedstocks, including vegetable oils, animal fats, and waste oils, are increasingly used to enhance the sustainability of biodiesel production. This review examines recent innovations and challenges in biodiesel synthesis and purification, encompassing a diverse range of methodologies. Emphasizing the importance of biodiesel feedstock, the study conducts a comprehensive analysis of various sources contributing to biodiesel production. Synthesis methods, including transesterification, direct use, blending, micro-emulsion, and thermal cracking, are evaluated for their environmental impact and economic feasibility. Furthermore, purification strategies such as wet washing, distillation, adsorption, membrane separation, and solvent-aided crystallization (SAC) are scrutinized for their effectiveness and environmental implications. The review discusses the role of technological advancements in addressing challenges associated with traditional methods, such as high water consumption, energy-intensive processes, and wastewater generation. Moreover, it provides insights into how these innovations can enhance the sustainability, cost-effectiveness, and scalability of biodiesel production. This academically rigorous review offers a nuanced understanding of biodiesel production, combining analysis of feedstock considerations, synthesis methods, and purification strategies to advance discourse on sustainable biofuel production.","author":[{"dropping-particle":"","family":"Wan Osman","given":"Wan Nur Aisyah","non-dropping-particle":"","parse-names":false,"suffix":""},{"dropping-particle":"","family":"Rosli","given":"Mohd Hakimi","non-dropping-particle":"","parse-names":false,"suffix":""},{"dropping-particle":"","family":"Mazli","given":"Wan Nur Athirah","non-dropping-particle":"","parse-names":false,"suffix":""},{"dropping-particle":"","family":"Samsuri","given":"Shafirah","non-dropping-particle":"","parse-names":false,"suffix":""}],"container-title":"Carbon Capture Science &amp; Technology","id":"ITEM-1","issued":{"date-parts":[["2024"]]},"page":"100264","title":"Comparative review of biodiesel production and purification","type":"article-journal","volume":"13"},"uris":["http://www.mendeley.com/documents/?uuid=6866cb14-882f-4911-86e4-a43f32e33283"]}],"mendeley":{"formattedCitation":"[67]","plainTextFormattedCitation":"[67]","previouslyFormattedCitation":"[67]"},"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[67]</w:t>
      </w:r>
      <w:r w:rsidRPr="00953AE5">
        <w:rPr>
          <w:rFonts w:ascii="Arial" w:hAnsi="Arial" w:cs="Arial"/>
          <w:sz w:val="20"/>
          <w:szCs w:val="20"/>
        </w:rPr>
        <w:fldChar w:fldCharType="end"/>
      </w:r>
      <w:r w:rsidRPr="00953AE5">
        <w:rPr>
          <w:rFonts w:ascii="Arial" w:hAnsi="Arial" w:cs="Arial"/>
          <w:sz w:val="20"/>
          <w:szCs w:val="20"/>
        </w:rPr>
        <w:t xml:space="preserve">. Furthermore, several studies have reported water and soil pollution caused by the increased use of fertilizers and pesticides for crop cultivation to produce biodiesel, and this can have adverse effects on aquatic ecosystems and reduce soil integrity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{"citationItems":[{"id":"ITEM-1","itemData":{"DOI":"https://doi.org/10.1016/j.biombioe.2011.02.041","ISSN":"0961-9534","abstract":"The challenges we face in transitioning to a global production of biomass as renewable feedstock sources in a way that is both economical feasible environmentally sustainable are ubiquitous. In this study, the Soil and Water Assessment Tool (SWAT) was used to predict the possible long-term environmental implications, specifically water quality, due to large-scale bioenergy cropping system expansion based on four landuse scenarios and 15 bioenergy crop rotations for four watersheds, totaling 244 model simulations. The study area consists of four watersheds totaling 53,358 km2 located in Michigan. The results suggest that perennial grass species are the most suitable for large-scale implementation, whereas traditional intensive row crops should be implemented with caution on such a broad scale. Row crops also had the highest increases of high priority areas for sediment, nitrogen, and phosphorus. Based on the data from this study, it is not recommended that marginal land be converted to any bioenergy rotation in areas with preexisting high nitrogen levels. Statistical analyses demonstrate that perennial grass species significantly reduce sediment on all lands except marginal lands. With the exception of row crops cultivated on marginal lands and all agricultural land, the majority of bioenergy crops significantly reduce total phosphorus loads.","author":[{"dropping-particle":"","family":"Love","given":"Bradley J","non-dropping-particle":"","parse-names":false,"suffix":""},{"dropping-particle":"","family":"Nejadhashemi","given":"A Pouyan","non-dropping-particle":"","parse-names":false,"suffix":""}],"container-title":"Biomass and Bioenergy","id":"ITEM-1","issue":"5","issued":{"date-parts":[["2011"]]},"page":"2200-2216","title":"Water quality impact assessment of large-scale biofuel crops expansion in agricultural regions of Michigan","type":"article-journal","volume":"35"},"uris":["http://www.mendeley.com/documents/?uuid=19c2a898-8393-459e-9a4b-2634d04cbec0"]}],"mendeley":{"formattedCitation":"[68]","plainTextFormattedCitation":"[68]","previouslyFormattedCitation":"[68]"},"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[68]</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{"citationItems":[{"id":"ITEM-1","itemData":{"ISBN":"9780309292412","author":[{"dropping-particle":"","family":"Pool","given":"Robert","non-dropping-particle":"","parse-names":false,"suffix":""}],"id":"ITEM-1","issued":{"date-parts":[["2014"]]},"publisher":"National Academies Press","publisher-place":"Washington DC","title":"The Nexus of Biofuels, Climate Change, and Human Health","type":"book"},"uris":["http://www.mendeley.com/documents/?uuid=be66bbdd-640e-494b-b999-43bba4f68daa"]}],"mendeley":{"formattedCitation":"[69]","plainTextFormattedCitation":"[69]","previouslyFormattedCitation":"[69]"},"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[69]</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Motevali","given":"Ali","non-dropping-particle":"","parse-names":false,"suffix":""},{"dropping-particle":"","family":"Hooshmandzadeh","given":"Niusha","non-dropping-particle":"","parse-names":false,"suffix":""},{"dropping-particle":"","family":"Fayyazi","given":"Ebrahim","non-dropping-particle":"","parse-names":false,"suffix":""},{"dropping-particle":"","family":"Valipour","given":"Mohammad","non-dropping-particle":"","parse-names":false,"suffix":""},{"dropping-particle":"","family":"Yue","given":"Jun","non-dropping-particle":"","parse-names":false,"suffix":""}],"id":"ITEM-1","issued":{"date-parts":[["2023"]]},"title":"Environmental Impacts of Biodiesel Production Cycle from Farm to Manufactory : An Application of Sustainable Systems Engineering","type":"article-journal"},"uris":["http://www.mendeley.com/documents/?uuid=2d3447b8-75d5-4190-be5d-548e7ff07501"]}],"mendeley":{"formattedCitation":"[70]","plainTextFormattedCitation":"[70]","previouslyFormattedCitation":"[70]"},"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[70]</w:t>
      </w:r>
      <w:r w:rsidRPr="00953AE5">
        <w:rPr>
          <w:rFonts w:ascii="Arial" w:hAnsi="Arial" w:cs="Arial"/>
          <w:sz w:val="20"/>
          <w:szCs w:val="20"/>
        </w:rPr>
        <w:fldChar w:fldCharType="end"/>
      </w:r>
      <w:r w:rsidRPr="00953AE5">
        <w:rPr>
          <w:rFonts w:ascii="Arial" w:hAnsi="Arial" w:cs="Arial"/>
          <w:sz w:val="20"/>
          <w:szCs w:val="20"/>
        </w:rPr>
        <w:t xml:space="preserve">. In addition to energy input, particular biodiesel production exhibits significant energy requirements, potentially negating environmental benefits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{"citationItems":[{"id":"ITEM-1","itemData":{"DOI":"https://doi.org/10.1016/j.seta.2021.101265","ISSN":"2213-1388","abstract":"Biodiesel, the most suitable diesel fuel alternative, is currently gaining popularity due to its advantages and potential environmental protection. Besides, one of the environmental sustainability approaches in biodiesel production process would be the reuse of biomass waste. In this regard, this work focuses on sustainability and environmental factor assessment of waste cooking oil biodiesel production and the application of artificial neural networks to predict the biodiesel yield and its engine characteristics. The artificial neural network model was developed to predict the biodiesel yield, engine performance, and emission characteristics. It was observed that biodiesel production with 1% (wt/wt) catalyst concentration, 9:1 methanol to waste cooking oil molar ratio, 60 min reaction time with 500 rpm mixing intensity generates lesser wastes, and the process exhibits positive environmental impacts. In the process of predicting the biodiesel yield, the overall regression coefficient was calculated as 0.98. Moreover, in case of biodiesel fueled engine characteristics, the overall regression coefficient was computed as 0.99. It is disclosed from the analysis that artificial neural networks are excellent tools to simulate and predict the biodiesel produced from waste cooking oil and its engine characteristics.","author":[{"dropping-particle":"","family":"Fangfang","given":"Fan","non-dropping-particle":"","parse-names":false,"suffix":""},{"dropping-particle":"","family":"Alagumalai","given":"Avinash","non-dropping-particle":"","parse-names":false,"suffix":""},{"dropping-particle":"","family":"Mahian","given":"Omid","non-dropping-particle":"","parse-names":false,"suffix":""}],"container-title":"Sustainable Energy Technologies and Assessments","id":"ITEM-1","issued":{"date-parts":[["2021"]]},"page":"101265","title":"Sustainable biodiesel production from waste cooking oil: ANN modeling and environmental factor assessment","type":"article-journal","volume":"46"},"uris":["http://www.mendeley.com/documents/?uuid=52a2f8a4-a3e2-4f4a-b2bf-50d915b57124"]}],"mendeley":{"formattedCitation":"[71]","plainTextFormattedCitation":"[71]","previouslyFormattedCitation":"[71]"},"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[71]</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10.35429/H.2021.6.37.50","ISBN":"0000000189781","author":[{"dropping-particle":"","family":"Alanis","given":"Claudia","non-dropping-particle":"","parse-names":false,"suffix":""},{"dropping-particle":"","family":"Romero","given":"Rubi","non-dropping-particle":"","parse-names":false,"suffix":""},{"dropping-particle":"","family":"Natividad","given":"Reyna","non-dropping-particle":"","parse-names":false,"suffix":""}],"id":"ITEM-1","issue":"December","issued":{"date-parts":[["2021"]]},"title":"Chapter 3 Biodiesel production as an alternative to reduce the environmental impact of University food courts Capítulo 3 Producción de biodiesel como escenario alternativo para mejorar el desempeño ambiental de cafeterías universitarias","type":"article-journal"},"uris":["http://www.mendeley.com/documents/?uuid=84238c78-5d21-4a45-81f2-fc40788a965b"]}],"mendeley":{"formattedCitation":"[72]","plainTextFormattedCitation":"[72]","previouslyFormattedCitation":"[72]"},"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[72]</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{"citationItems":[{"id":"ITEM-1","itemData":{"author":[{"dropping-particle":"","family":"Suhara","given":"Ade","non-dropping-particle":"","parse-names":false,"suffix":""},{"dropping-particle":"","family":"Herawan","given":"Safarudin Gazali","non-dropping-particle":"","parse-names":false,"suffix":""},{"dropping-particle":"","family":"Tirta","given":"Andy","non-dropping-particle":"","parse-names":false,"suffix":""},{"dropping-particle":"","family":"Idris","given":"Muhammad","non-dropping-particle":"","parse-names":false,"suffix":""},{"dropping-particle":"","family":"Roslan","given":"Muhammad Faizullizam","non-dropping-particle":"","parse-names":false,"suffix":""},{"dropping-particle":"","family":"Putra","given":"Nicky Rahmana","non-dropping-particle":"","parse-names":false,"suffix":""},{"dropping-particle":"","family":"Hananto","given":"April Lia","non-dropping-particle":"","parse-names":false,"suffix":""},{"dropping-particle":"","family":"Veza","given":"Ibham","non-dropping-particle":"","parse-names":false,"suffix":""}],"id":"ITEM-1","issued":{"date-parts":[["2024"]]},"page":"886-906","title":"clean technologies Biodiesel Sustainability : Review of Progress and Challenges of Biodiesel as Sustainable Biofuel","type":"article-journal"},"uris":["http://www.mendeley.com/documents/?uuid=bb7c2e32-9522-4a20-8a62-c6b0fac9df9e"]}],"mendeley":{"formattedCitation":"[73]","plainTextFormattedCitation":"[73]","previouslyFormattedCitation":"[73]"},"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[73]</w:t>
      </w:r>
      <w:r w:rsidRPr="00953AE5">
        <w:rPr>
          <w:rFonts w:ascii="Arial" w:hAnsi="Arial" w:cs="Arial"/>
          <w:sz w:val="20"/>
          <w:szCs w:val="20"/>
        </w:rPr>
        <w:fldChar w:fldCharType="end"/>
      </w:r>
      <w:r w:rsidRPr="00953AE5">
        <w:rPr>
          <w:rFonts w:ascii="Arial" w:hAnsi="Arial" w:cs="Arial"/>
          <w:sz w:val="20"/>
          <w:szCs w:val="20"/>
        </w:rPr>
        <w:t>.</w:t>
      </w:r>
    </w:p>
    <w:p w14:paraId="28B995DF" w14:textId="614A8458"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The biodiesel development strategy also has social implications. Various previous studies provide information that the social implications of biodiesel development have the potential to reduce dependence on imported fossil fuels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Yunus","given":"Saifuddin","non-dropping-particle":"","parse-names":false,"suffix":""},{"dropping-particle":"","family":"Bachri","given":"Naufal","non-dropping-particle":"","parse-names":false,"suffix":""},{"dropping-particle":"","family":"Haykal","given":"Muhammad","non-dropping-particle":"","parse-names":false,"suffix":""}],"id":"ITEM-1","issue":"3","issued":{"date-parts":[["2021"]]},"page":"1001-1010","title":"Impact Of Feedstock Biodiesel Development On Society Around PTPN I Company","type":"article-journal","volume":"5"},"uris":["http://www.mendeley.com/documents/?uuid=449b3db2-0bd9-472c-8a67-c7ab8dfb895d"]}],"mendeley":{"formattedCitation":"[74]","plainTextFormattedCitation":"[74]","previouslyFormattedCitation":"[74]"},"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[74]</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{"citationItems":[{"id":"ITEM-1","itemData":{"DOI":"https://doi.org/10.1016/j.rser.2021.111431","ISSN":"1364-0321","abstract":"Crude palm oil (CPO)-based biodiesel is Indonesia's main product as part of the Government of Indonesia's (GoI) biofuel policy to secure energy, reduce trade balance deficit and subsidy, and lower emissions. Indonesia's biodiesel policy is progressive. In late 2019, biodiesel blending reached 30% of fatty acid methyl ester (FAME) and 70% of diesel, known as B30. The government sees the biodiesel policy as beneficial on the basis of its expected diesel import saving. However, it fails to take into account the potential export loss emerging from the opportunity cost of foreign exchange. Moreover, the macroeconomic impacts of biodiesel policy remain understudied. Using available input and output data, CPO and biodiesel projected balance sheets were constructed for 2020 to 2030 based on four biodiesel blending scenarios. Assessments were then made to reveal each scenario's impact on trade balance, subsidy, and land expansion. The present study found that: (1) while the biodiesel policy lowers diesel imports, the potential CPO export loss outweighs the import savings, (2) the biodiesel policy's impact on subsidy is highly dependent on the subsidy rate of FAME and diesel, and (3) land expansion of 48% to 76% of current productive oil palm plantation area is inevitable to support the ambitious biodiesel policy. Overall, the findings indicate that more progressive policies pose greater macroeconomic and environmental risks. The GoI should develop a clear roadmap for optimal biodiesel blending levels to deliver energy security and desirable economic and environmental impacts.","author":[{"dropping-particle":"","family":"Halimatussadiah","given":"A","non-dropping-particle":"","parse-names":false,"suffix":""},{"dropping-particle":"","family":"Nainggolan","given":"D","non-dropping-particle":"","parse-names":false,"suffix":""},{"dropping-particle":"","family":"Yui","given":"S","non-dropping-particle":"","parse-names":false,"suffix":""},{"dropping-particle":"","family":"Moeis","given":"F R","non-dropping-particle":"","parse-names":false,"suffix":""},{"dropping-particle":"","family":"Siregar","given":"A A","non-dropping-particle":"","parse-names":false,"suffix":""}],"container-title":"Renewable and Sustainable Energy Reviews","id":"ITEM-1","issued":{"date-parts":[["2021"]]},"page":"111431","title":"Progressive biodiesel policy in Indonesia: Does the Government's economic proposition hold?","type":"article-journal","volume":"150"},"uris":["http://www.mendeley.com/documents/?uuid=0339cd61-4b41-4001-91e6-3e898a8bc933"]}],"mendeley":{"formattedCitation":"[75]","plainTextFormattedCitation":"[75]","previouslyFormattedCitation":"[75]"},"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[75]</w:t>
      </w:r>
      <w:r w:rsidRPr="00953AE5">
        <w:rPr>
          <w:rFonts w:ascii="Arial" w:hAnsi="Arial" w:cs="Arial"/>
          <w:sz w:val="20"/>
          <w:szCs w:val="20"/>
        </w:rPr>
        <w:fldChar w:fldCharType="end"/>
      </w:r>
      <w:r w:rsidRPr="00953AE5">
        <w:rPr>
          <w:rFonts w:ascii="Arial" w:hAnsi="Arial" w:cs="Arial"/>
          <w:sz w:val="20"/>
          <w:szCs w:val="20"/>
        </w:rPr>
        <w:t>. Thus, reducing this dependence will encourage energy independence and stability in a country</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Tiara","given":"Nyphadear","non-dropping-particle":"","parse-names":false,"suffix":""},{"dropping-particle":"","family":"Ananda","given":"Scoorpy","non-dropping-particle":"","parse-names":false,"suffix":""}],"id":"ITEM-1","issue":"1","issued":{"date-parts":[["2024"]]},"page":"16-34","title":"Energy Independency and Sustainable Development in International Relations Context","type":"article-journal","volume":"5"},"uris":["http://www.mendeley.com/documents/?uuid=c9eb7d12-8a72-4be1-8654-56dfc37ca3a4"]}],"mendeley":{"formattedCitation":"[76]","plainTextFormattedCitation":"[76]","previouslyFormattedCitation":"[76]"},"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[76]</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{"citationItems":[{"id":"ITEM-1","itemData":{"author":[{"dropping-particle":"","family":"Kim","given":"Jaden","non-dropping-particle":"","parse-names":false,"suffix":""},{"dropping-particle":"","family":"Panton","given":"Augustus J","non-dropping-particle":"","parse-names":false,"suffix":""},{"dropping-particle":"","family":"Schwerhoff","given":"Gregor","non-dropping-particle":"","parse-names":false,"suffix":""}],"id":"ITEM-1","issued":{"date-parts":[["2024"]]},"title":"Green Transition","type":"article-journal"},"uris":["http://www.mendeley.com/documents/?uuid=120fea9d-f264-4ef7-9416-564d5892e711"]}],"mendeley":{"formattedCitation":"[77]","plainTextFormattedCitation":"[77]","previouslyFormattedCitation":"[77]"},"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[77]</w:t>
      </w:r>
      <w:r w:rsidRPr="00953AE5">
        <w:rPr>
          <w:rFonts w:ascii="Arial" w:hAnsi="Arial" w:cs="Arial"/>
          <w:sz w:val="20"/>
          <w:szCs w:val="20"/>
        </w:rPr>
        <w:fldChar w:fldCharType="end"/>
      </w:r>
      <w:r w:rsidRPr="00953AE5">
        <w:rPr>
          <w:rFonts w:ascii="Arial" w:hAnsi="Arial" w:cs="Arial"/>
          <w:sz w:val="20"/>
          <w:szCs w:val="20"/>
        </w:rPr>
        <w:t xml:space="preserve">. Furthermore, biodiesel development has the potential to create jobs, increase community income, and change the local economy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{"citationItems":[{"id":"ITEM-1","itemData":{"DOI":"10.1002/wcc.241","author":[{"dropping-particle":"","family":"Gheewala","given":"Shabbir H","non-dropping-particle":"","parse-names":false,"suffix":""},{"dropping-particle":"","family":"Damen","given":"Beau","non-dropping-particle":"","parse-names":false,"suffix":""},{"dropping-particle":"","family":"Shi","given":"Xunpeng","non-dropping-particle":"","parse-names":false,"suffix":""}],"id":"ITEM-1","issue":"November","issued":{"date-parts":[["2013"]]},"title":"Biofuels : Economic , environmental and social benefits and costs for developing countries in Asia Gheewala S *, Damen B &amp; Shi X , 2013 . Biofuels : economic , environmental and social benefits and costs for developing countries in Asia . Wiley Interdisciplinary Reviews : Article type : Advanced Review Article title : Biofuels : economic , environmental and social benefits and costs for developing countries in Asia","type":"article-journal"},"uris":["http://www.mendeley.com/documents/?uuid=e1378b8f-2bd1-440e-80f6-ac354d22ca7c"]}],"mendeley":{"formattedCitation":"[78]","plainTextFormattedCitation":"[78]","previouslyFormattedCitation":"[78]"},"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[78]</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10.1016/j.jenvman.2023.117644","author":[{"dropping-particle":"","family":"Hasan","given":"Morshadul","non-dropping-particle":"","parse-names":false,"suffix":""},{"dropping-particle":"","family":"Zoynul","given":"Mohammad","non-dropping-particle":"","parse-names":false,"suffix":""},{"dropping-particle":"","family":"Bin","given":"Mohamamd","non-dropping-particle":"","parse-names":false,"suffix":""}],"id":"ITEM-1","issue":"November 2022","issued":{"date-parts":[["2023"]]},"title":"Sustainable biofuel economy : A mapping through bibliometric research","type":"article-journal","volume":"336"},"uris":["http://www.mendeley.com/documents/?uuid=825c82d0-b394-48bf-a6b8-f9cba80f148e"]}],"mendeley":{"formattedCitation":"[79]","plainTextFormattedCitation":"[79]","previouslyFormattedCitation":"[79]"},"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[79]</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{"citationItems":[{"id":"ITEM-1","itemData":{"author":[{"dropping-particle":"","family":"IEA","given":"","non-dropping-particle":"","parse-names":false,"suffix":""}],"id":"ITEM-1","issued":{"date-parts":[["2023"]]},"title":"Opportunities of bioenergy and biofuels in developing economies Opportunities of bioenergy and biofuels in developing economies","type":"report"},"uris":["http://www.mendeley.com/documents/?uuid=1a4e0c89-0b68-4ac4-8f6a-08a3422d578a"]}],"mendeley":{"formattedCitation":"[80]","plainTextFormattedCitation":"[80]","previouslyFormattedCitation":"[80]"},"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[80]</w:t>
      </w:r>
      <w:r w:rsidRPr="00953AE5">
        <w:rPr>
          <w:rFonts w:ascii="Arial" w:hAnsi="Arial" w:cs="Arial"/>
          <w:sz w:val="20"/>
          <w:szCs w:val="20"/>
        </w:rPr>
        <w:fldChar w:fldCharType="end"/>
      </w:r>
      <w:r w:rsidRPr="00953AE5">
        <w:rPr>
          <w:rFonts w:ascii="Arial" w:hAnsi="Arial" w:cs="Arial"/>
          <w:sz w:val="20"/>
          <w:szCs w:val="20"/>
        </w:rPr>
        <w:t xml:space="preserve">. In addition, the diversion of food crops such as soybeans and corn to produce biodiesel has the potential to worsen food insecurity by increasing prices and reducing the availability of food reserves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Cause","given":"Could","non-dropping-particle":"","parse-names":false,"suffix":""},{"dropping-particle":"","family":"Hunger","given":"More","non-dropping-particle":"","parse-names":false,"suffix":""}],"id":"ITEM-1","issue":"6","issued":{"date-parts":[["2008"]]},"page":"254-257","title":"Food Fuel","type":"article-journal","volume":"Div"},"uris":["http://www.mendeley.com/documents/?uuid=058876dd-045e-4033-b0a4-4f0877ecd709"]}],"mendeley":{"formattedCitation":"[81]","plainTextFormattedCitation":"[81]","previouslyFormattedCitation":"[81]"},"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[81]</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{"citationItems":[{"id":"ITEM-1","itemData":{"author":[{"dropping-particle":"","family":"Boly","given":"Mohamed and Aicha Sanou","non-dropping-particle":"","parse-names":false,"suffix":""}],"container-title":"Energy Policy","id":"ITEM-1","issue":"163","issued":{"date-parts":[["2024"]]},"page":"0-13","title":"Biofuels and food security : evidence from Indonesia and Mexico To cite this version : HAL Id : hal-03602227","type":"article-journal"},"uris":["http://www.mendeley.com/documents/?uuid=12079a5f-b7d8-4723-875b-a796bfb69d51"]}],"mendeley":{"formattedCitation":"[82]","plainTextFormattedCitation":"[82]","previouslyFormattedCitation":"[82]"},"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[82]</w:t>
      </w:r>
      <w:r w:rsidRPr="00953AE5">
        <w:rPr>
          <w:rFonts w:ascii="Arial" w:hAnsi="Arial" w:cs="Arial"/>
          <w:sz w:val="20"/>
          <w:szCs w:val="20"/>
        </w:rPr>
        <w:fldChar w:fldCharType="end"/>
      </w:r>
      <w:r w:rsidRPr="00953AE5">
        <w:rPr>
          <w:rFonts w:ascii="Arial" w:hAnsi="Arial" w:cs="Arial"/>
          <w:sz w:val="20"/>
          <w:szCs w:val="20"/>
        </w:rPr>
        <w:t xml:space="preserve">. Socially, biodiesel development can also improve air quality by reducing emissions and resulting in better public health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{"citationItems":[{"id":"ITEM-1","itemData":{"author":[{"dropping-particle":"","family":"Malley","given":"Jane O","non-dropping-particle":"","parse-names":false,"suffix":""},{"dropping-particle":"","family":"Searle","given":"Stephanie","non-dropping-particle":"","parse-names":false,"suffix":""}],"id":"ITEM-1","issue":"March","issued":{"date-parts":[["2021"]]},"title":"AIR QUALITY IMPACTS OF BIODIESEL IN THE UNITED STATES","type":"article-journal"},"uris":["http://www.mendeley.com/documents/?uuid=e01baaac-9fd5-4baa-bc0f-cbd443af46ad"]}],"mendeley":{"formattedCitation":"[83]","plainTextFormattedCitation":"[83]","previouslyFormattedCitation":"[83]"},"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[83]</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{"citationItems":[{"id":"ITEM-1","itemData":{"DOI":"10.4209/aaqr.2017.11.0449","author":[{"dropping-particle":"","family":"Vormittag","given":"Evangelina M P A","non-dropping-particle":"","parse-names":false,"suffix":""},{"dropping-particle":"","family":"Rodrigues","given":"Cristina Guimarães","non-dropping-particle":"","parse-names":false,"suffix":""},{"dropping-particle":"De","family":"André","given":"Paulo Afonso","non-dropping-particle":"","parse-names":false,"suffix":""},{"dropping-particle":"","family":"Hilário","given":"Paulo","non-dropping-particle":"","parse-names":false,"suffix":""},{"dropping-particle":"","family":"Saldiva","given":"Nascimento","non-dropping-particle":"","parse-names":false,"suffix":""}],"id":"ITEM-1","issued":{"date-parts":[["2018"]]},"page":"2375-2382","title":"Assessment and Valuation of Public Health Impacts from Gradual Biodiesel Implementation in the Transport Energy Matrix in Brazil","type":"article-journal"},"uris":["http://www.mendeley.com/documents/?uuid=900c55ad-ac30-4a74-bf7e-0a9bdf4390e1"]}],"mendeley":{"formattedCitation":"[84]","plainTextFormattedCitation":"[84]","previouslyFormattedCitation":"[84]"},"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[84]</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{"citationItems":[{"id":"ITEM-1","itemData":{"DOI":"https://doi.org/10.1016/j.atmosenv.2021.118570","ISSN":"1352-2310","abstract":"Biofuels may reduce road transport carbon intensity; however, it is uncertain whether displacing fossil diesel would alter the engine-derived particulate toxicity. The primary objective of this work was to determine whether there is a fuel effect on the comparative in vitro toxicity of biodiesel exhaust particulates relative to those from fossil diesel. A secondary aim was to determine qualitatively whether the observed outcome is related to the organic phase, namely Polycyclic Aromatic Hydrocarbons (PAHs). In vitro and acellular exposure studies were recovered from a literature survey following the PRISMA framework. Biological responses attributable to biodiesel and paired fossil diesel particles, including particle-extracts were selected. To qualify for inclusion, either of the paired responses must differ statistically significantly (p &lt; 0.05) from the control or each other. Paired responses were assigned to one-of-five categories which best represents the pathophysiological role of the biomarker: inflammation, oxidative stress, cytotoxicity, genotoxicity and mutagenicity. Biodiesel reduced particle toxicity in two-thirds of paired responses, however, there were large differences between biodiesels for category-specific biomarkers. Particles derived from Rapeseed oil Methyl Ester (RME) were less inflammatory, whereas Soybean oil Methyl Ester (SME) particles were more inflammatory than fossil diesel on average. Conversely, SME reduced oxidative stress while few trends emerged for mutagenicity and genotoxicity. The largest fuel effect was observed for cytotoxicity: Waste Cooking Oil Methyl Ester (WCOME) increased and Palm oil Methyl Ester (PME) decreased particle cytotoxicity. Particle-phase PAH emissions compiled on a mass-of-soot basis also followed this trend, however, literature focusing on both these aspects is limited; careful consideration of fuel composition and use of normal primary human cell types and omics technologies, could resolve this open question. This assessment systematically compares biological responses from particulate only exposure, with co-exposure necessarily excluded due to an absence of understanding of how gaseous components modify particulate toxicity.","author":[{"dropping-particle":"","family":"Southern","given":"Daniel","non-dropping-particle":"","parse-names":false,"suffix":""},{"dropping-particle":"","family":"Hellier","given":"Paul","non-dropping-particle":"","parse-names":false,"suffix":""},{"dropping-particle":"","family":"Talibi","given":"Midhat","non-dropping-particle":"","parse-names":false,"suffix":""},{"dropping-particle":"","family":"Leonard","given":"Martin O","non-dropping-particle":"","parse-names":false,"suffix":""},{"dropping-particle":"","family":"Ladommatos","given":"Nicos","non-dropping-particle":"","parse-names":false,"suffix":""}],"container-title":"Atmospheric Environment","id":"ITEM-1","issued":{"date-parts":[["2021"]]},"page":"118570","title":"Re-assessing the toxicity of particles from biodiesel combustion: A quantitative analysis of in vitro studies","type":"article-journal","volume":"261"},"uris":["http://www.mendeley.com/documents/?uuid=0123d9b1-ed8c-47b4-bed9-8e5358cf2db3"]}],"mendeley":{"formattedCitation":"[85]","plainTextFormattedCitation":"[85]","previouslyFormattedCitation":"[85]"},"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[85]</w:t>
      </w:r>
      <w:r w:rsidRPr="00953AE5">
        <w:rPr>
          <w:rFonts w:ascii="Arial" w:hAnsi="Arial" w:cs="Arial"/>
          <w:sz w:val="20"/>
          <w:szCs w:val="20"/>
        </w:rPr>
        <w:fldChar w:fldCharType="end"/>
      </w:r>
      <w:r w:rsidRPr="00953AE5">
        <w:rPr>
          <w:rFonts w:ascii="Arial" w:hAnsi="Arial" w:cs="Arial"/>
          <w:sz w:val="20"/>
          <w:szCs w:val="20"/>
        </w:rPr>
        <w:t>.</w:t>
      </w:r>
    </w:p>
    <w:p w14:paraId="72B74AF3" w14:textId="3F4426EF"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Economically, biodiesel development will encourage implications for energy portfolio diversification and stimulate the growth of green industries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uthor":[{"dropping-particle":"","family":"Pistonesi","given":"Héctor","non-dropping-particle":"","parse-names":false,"suffix":""},{"dropping-particle":"","family":"Nadal","given":"Gustavo","non-dropping-particle":"","parse-names":false,"suffix":""},{"dropping-particle":"","family":"Bravo","given":"Víctor","non-dropping-particle":"","parse-names":false,"suffix":""},{"dropping-particle":"","family":"Bouille","given":"Daniel","non-dropping-particle":"","parse-names":false,"suffix":""}],"id":"ITEM-1","issued":{"date-parts":[["2008"]]},"publisher-place":"Santiago, Chile.","title":"The contribution of biofuels to the sustainability of development in Latin America and the Caribbean","type":"report"},"uris":["http://www.mendeley.com/documents/?uuid=0dcf0c81-e2cd-41a8-ae14-67c4c33d3f7b"]}],"mendeley":{"formattedCitation":"[86]","plainTextFormattedCitation":"[86]","previouslyFormattedCitation":"[86]"},"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[86]</w:t>
      </w:r>
      <w:r w:rsidRPr="00953AE5">
        <w:rPr>
          <w:rFonts w:ascii="Arial" w:hAnsi="Arial" w:cs="Arial"/>
          <w:sz w:val="20"/>
          <w:szCs w:val="20"/>
        </w:rPr>
        <w:fldChar w:fldCharType="end"/>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10.1186/s40008-022-00281-9","ISSN":"2193-2409","author":[{"dropping-particle":"","family":"Dermawan","given":"Ahmad","non-dropping-particle":"","parse-names":false,"suffix":""},{"dropping-particle":"","family":"Amaliah","given":"Syarifah","non-dropping-particle":"","parse-names":false,"suffix":""},{"dropping-particle":"","family":"Irawan","given":"Tony","non-dropping-particle":"","parse-names":false,"suffix":""},{"dropping-particle":"","family":"Dilla","given":"Salsa","non-dropping-particle":"","parse-names":false,"suffix":""}],"container-title":"Journal of Economic Structures","id":"ITEM-1","issued":{"date-parts":[["2022"]]},"publisher":"Springer Berlin Heidelberg","title":"Economic impacts of biodiesel policy in Indonesia : a computable general equilibrium approach","type":"article-journal"},"uris":["http://www.mendeley.com/documents/?uuid=4678bcda-d301-4e2f-b9b2-57ddc3919694"]}],"mendeley":{"formattedCitation":"[87]","plainTextFormattedCitation":"[87]","previouslyFormattedCitation":"[87]"},"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[87]</w:t>
      </w:r>
      <w:r w:rsidRPr="00953AE5">
        <w:rPr>
          <w:rFonts w:ascii="Arial" w:hAnsi="Arial" w:cs="Arial"/>
          <w:sz w:val="20"/>
          <w:szCs w:val="20"/>
        </w:rPr>
        <w:fldChar w:fldCharType="end"/>
      </w:r>
      <w:r w:rsidRPr="00953AE5">
        <w:rPr>
          <w:rFonts w:ascii="Arial" w:hAnsi="Arial" w:cs="Arial"/>
          <w:sz w:val="20"/>
          <w:szCs w:val="20"/>
        </w:rPr>
        <w:t xml:space="preserve">. Furthermore, the biodiesel supply chain from agriculture to production and distribution can create jobs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{"citationItems":[{"id":"ITEM-1","itemData":{"DOI":"10.3389/fenrg.2023.1222787","author":[{"dropping-particle":"","family":"Munir","given":"M Adeel","non-dropping-particle":"","parse-names":false,"suffix":""},{"dropping-particle":"","family":"Imran","given":"Shahid","non-dropping-particle":"","parse-names":false,"suffix":""},{"dropping-particle":"","family":"Farooq","given":"M","non-dropping-particle":"","parse-names":false,"suffix":""},{"dropping-particle":"","family":"Latif","given":"Huma","non-dropping-particle":"","parse-names":false,"suffix":""}],"id":"ITEM-1","issue":"June","issued":{"date-parts":[["2023"]]},"page":"1-13","title":"Development of a supply chain model for the production of biodiesel from waste cooking oil for sustainable development","type":"article-journal"},"uris":["http://www.mendeley.com/documents/?uuid=1485288f-4f52-44d3-bf6c-7e151eff52e0"]}],"mendeley":{"formattedCitation":"[88]","plainTextFormattedCitation":"[88]","previouslyFormattedCitation":"[88]"},"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[88]</w:t>
      </w:r>
      <w:r w:rsidRPr="00953AE5">
        <w:rPr>
          <w:rFonts w:ascii="Arial" w:hAnsi="Arial" w:cs="Arial"/>
          <w:sz w:val="20"/>
          <w:szCs w:val="20"/>
        </w:rPr>
        <w:fldChar w:fldCharType="end"/>
      </w:r>
      <w:r w:rsidRPr="00953AE5">
        <w:rPr>
          <w:rFonts w:ascii="Arial" w:hAnsi="Arial" w:cs="Arial"/>
          <w:sz w:val="20"/>
          <w:szCs w:val="20"/>
        </w:rPr>
        <w:t xml:space="preserve">. In addition, the </w:t>
      </w:r>
      <w:r w:rsidRPr="00953AE5">
        <w:rPr>
          <w:rFonts w:ascii="Arial" w:hAnsi="Arial" w:cs="Arial"/>
          <w:sz w:val="20"/>
          <w:szCs w:val="20"/>
        </w:rPr>
        <w:t>demand for biodiesel feedstock can increase commodity prices that benefit farmers but potentially burden consumers</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{"citationItems":[{"id":"ITEM-1","itemData":{"abstract":"GHG emissions related to commercial air travel were already significant, at 10% of the domestic transportation emissions and 3% of the global greenhouse gas emissions prior to the pandemic, and are expected to double by 2050, even with modest projected growth in air travel. Since Sustainable Aviation Fuel (SAF) is the only way that medium to long haul commercial aviation can be decarbonized, a US government wide \"SAF Grand Challenge\" was issued to encourage industry to develop capabilities to produce SAF, to reduce cost, improve sustainability, build value chains, and to scale production capabilities (1). The targets are to expand current domestic SAF 2022 production by 200X to 3 billion gallons per year by 2030, and then further by 12X to 35 billion gallons by 2050, while achieving life cycle GHG reduction of 50% relative to fossil Jet A. Following the SAF Grand Challenge, the DOE, USDA, EPA and FAA collaboratively developed a comprehensive strategy, outlined in the \"SAF Grand Challenge Roadmap\" (2), to inform stakeholders of the actions necessary to achieve the above volumetric targets. The purpose of this study is to provide an assessment of the current state of the SAF production industry and identify challenges and hurdles that industry may face in delivering the 2030 goals. This assessment is for the potential feedstocks and conversion pathways expected to contribute to 2030 goals and will generally follow action areas in the SAF Grand Challenge: feedstocks, conversion technology, supply chain, and policy &amp; valuation.","author":[{"dropping-particle":"","family":"Calderon","given":"Oscar Rosales","non-dropping-particle":"","parse-names":false,"suffix":""},{"dropping-particle":"","family":"Tao","given":"Ling","non-dropping-particle":"","parse-names":false,"suffix":""},{"dropping-particle":"","family":"Abdullah","given":"Zia","non-dropping-particle":"","parse-names":false,"suffix":""},{"dropping-particle":"","family":"Moriarty","given":"Kristi","non-dropping-particle":"","parse-names":false,"suffix":""},{"dropping-particle":"","family":"Smolinski","given":"Sharon","non-dropping-particle":"","parse-names":false,"suffix":""},{"dropping-particle":"","family":"Milbrandt","given":"Anelia","non-dropping-particle":"","parse-names":false,"suffix":""},{"dropping-particle":"","family":"Calderon","given":"Oscar Rosales","non-dropping-particle":"","parse-names":false,"suffix":""},{"dropping-particle":"","family":"Tao","given":"Ling","non-dropping-particle":"","parse-names":false,"suffix":""},{"dropping-particle":"","family":"Abdullah","given":"Zia","non-dropping-particle":"","parse-names":false,"suffix":""},{"dropping-particle":"","family":"Moriarty","given":"Kristi","non-dropping-particle":"","parse-names":false,"suffix":""},{"dropping-particle":"","family":"Smolinski","given":"Sharon","non-dropping-particle":"","parse-names":false,"suffix":""},{"dropping-particle":"","family":"Milbrandt","given":"Anelia","non-dropping-particle":"","parse-names":false,"suffix":""}],"id":"ITEM-1","issue":"July","issued":{"date-parts":[["2024"]]},"title":"Sustainable Aviation Fuel ( SAF ) State-of-Industry Report : State of SAF Production Process Sustainable Aviation Fuel ( SAF ) State-of-Industry Report : State of SAF Production Process","type":"article-journal"},"uris":["http://www.mendeley.com/documents/?uuid=74f02716-9869-49d4-873a-9f4ebaa5e6d2"]}],"mendeley":{"formattedCitation":"[89]","plainTextFormattedCitation":"[89]","previouslyFormattedCitation":"[89]"},"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[89]</w:t>
      </w:r>
      <w:r w:rsidRPr="00953AE5">
        <w:rPr>
          <w:rFonts w:ascii="Arial" w:hAnsi="Arial" w:cs="Arial"/>
          <w:sz w:val="20"/>
          <w:szCs w:val="20"/>
        </w:rPr>
        <w:fldChar w:fldCharType="end"/>
      </w:r>
      <w:r w:rsidRPr="00953AE5">
        <w:rPr>
          <w:rFonts w:ascii="Arial" w:hAnsi="Arial" w:cs="Arial"/>
          <w:sz w:val="20"/>
          <w:szCs w:val="20"/>
        </w:rPr>
        <w:t xml:space="preserve">. Studies show that raw material price volatility and competition with fossil fuels can drive risks for biodiesel producers from an economic perspective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 10.3390/cleantechnol3010002","author":[{"dropping-particle":"","family":"Mizik","given":"Tamás and Gábor Gyarmati","non-dropping-particle":"","parse-names":false,"suffix":""}],"container-title":"clean technologies","id":"ITEM-1","issued":{"date-parts":[["2021"]]},"page":"19-36","title":"Economic and Sustainability of Biodiesel Production — A Systematic Literature Review","type":"article-journal","volume":"3"},"uris":["http://www.mendeley.com/documents/?uuid=635e4dff-84cf-4ba0-b6fb-d7a149191846"]}],"mendeley":{"formattedCitation":"[90]","plainTextFormattedCitation":"[90]","previouslyFormattedCitation":"[90]"},"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[90]</w:t>
      </w:r>
      <w:r w:rsidRPr="00953AE5">
        <w:rPr>
          <w:rFonts w:ascii="Arial" w:hAnsi="Arial" w:cs="Arial"/>
          <w:sz w:val="20"/>
          <w:szCs w:val="20"/>
        </w:rPr>
        <w:fldChar w:fldCharType="end"/>
      </w:r>
      <w:r w:rsidRPr="00953AE5">
        <w:rPr>
          <w:rFonts w:ascii="Arial" w:hAnsi="Arial" w:cs="Arial"/>
          <w:sz w:val="20"/>
          <w:szCs w:val="20"/>
        </w:rPr>
        <w:t xml:space="preserve">. In addition, the biodiesel sector can attract investment in research, infrastructure, and technology development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{"citationItems":[{"id":"ITEM-1","itemData":{"DOI":"https://doi.org/10.1016/j.enpol.2021.112767","ISSN":"0301-4215","abstract":"In the early 2000s, governments implemented policies stimulating the use of ethanol and biodiesel to reduce carbon emissions and encourage domestic energy production. Blend mandates requiring gasoline or diesel to contain a minimum percentage of these biofuels were a favored policy instrument. Theoretical work by Clancy and Moschini (2017) concluded that, if innovation were stimulated by mandates, then the socially optimal mandate would be higher than if innovation were not possible. We test the impact of blend mandates and other biofuels policies on innovation using measures of patenting activity that correspond with research effort and research output. Our analysis shows that ethanol blend mandates significantly increased both R&amp;D effort and quality-weighted innovation output in biofuels technologies while reducing the R&amp;D inputs to plant technologies. This suggests that biofuels innovation increased in response to the policies, with firms substituting some R&amp;D effort away from plant technologies research. Despite decreased R&amp;D effort, output of plant innovation held steady as effort shifted to biofuels, supporting the presence of a spillover effect between biofuels innovation and plant innovation. We find that biodiesel blend mandates did not significantly impact R&amp;D efforts in either plant or biofuels technologies. Furthermore, policies other than blend mandates had varying effects, ranging from limited increases in R&amp;D activity to significant decreases in innovation. JEL Codes: O31, O38, Q16, Q48, Q55.","author":[{"dropping-particle":"","family":"Nelson","given":"Kelly P","non-dropping-particle":"","parse-names":false,"suffix":""},{"dropping-particle":"","family":"Parton","given":"Lee C","non-dropping-particle":"","parse-names":false,"suffix":""},{"dropping-particle":"","family":"Brown","given":"Zachary S","non-dropping-particle":"","parse-names":false,"suffix":""}],"container-title":"Energy Policy","id":"ITEM-1","issued":{"date-parts":[["2022"]]},"page":"112767","title":"Biofuels policy and innovation impacts: Evidence from biofuels and agricultural patent indicators","type":"article-journal","volume":"162"},"uris":["http://www.mendeley.com/documents/?uuid=44da4270-988e-4956-b2de-240a61fa5a97"]}],"mendeley":{"formattedCitation":"[91]","plainTextFormattedCitation":"[91]","previouslyFormattedCitation":"[91]"},"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[91]</w:t>
      </w:r>
      <w:r w:rsidRPr="00953AE5">
        <w:rPr>
          <w:rFonts w:ascii="Arial" w:hAnsi="Arial" w:cs="Arial"/>
          <w:sz w:val="20"/>
          <w:szCs w:val="20"/>
        </w:rPr>
        <w:fldChar w:fldCharType="end"/>
      </w:r>
      <w:r w:rsidRPr="00953AE5">
        <w:rPr>
          <w:rFonts w:ascii="Arial" w:hAnsi="Arial" w:cs="Arial"/>
          <w:sz w:val="20"/>
          <w:szCs w:val="20"/>
        </w:rPr>
        <w:t>.</w:t>
      </w:r>
    </w:p>
    <w:p w14:paraId="7CC33C4B" w14:textId="7BAFE6CF" w:rsidR="008E12F7" w:rsidRPr="00953AE5" w:rsidRDefault="008E12F7" w:rsidP="00953AE5">
      <w:pPr>
        <w:spacing w:after="0" w:line="240" w:lineRule="auto"/>
        <w:ind w:left="0" w:hanging="2"/>
        <w:jc w:val="both"/>
        <w:rPr>
          <w:rFonts w:ascii="Arial" w:hAnsi="Arial" w:cs="Arial"/>
          <w:sz w:val="20"/>
          <w:szCs w:val="20"/>
        </w:rPr>
      </w:pPr>
      <w:r w:rsidRPr="00953AE5">
        <w:rPr>
          <w:rFonts w:ascii="Arial" w:hAnsi="Arial" w:cs="Arial"/>
          <w:sz w:val="20"/>
          <w:szCs w:val="20"/>
        </w:rPr>
        <w:t xml:space="preserve">The development of biodiesel based on BSF Maggots also has implications for government policy. The government must provide subsidies and tax incentives to encourage biodiesel production and consumption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{"citationItems":[{"id":"ITEM-1","itemData":{"DOI":"https://doi.org/10.1016/j.enpol.2020.111906","ISSN":"0301-4215","abstract":"This study evaluated the effectiveness of technology-push and market-pull policies in encouraging the production and use of biofuels in 15 countries including major biofuels producers. Biofuels production and consumption data for the 12-year period of 2006-2017 showed that in most of the surveyed countries, biofuels policies played an important role in developing and growing regional and national biofuels markets. Blending mandates continue to be the main market-pull policy used to create and expand biofuels markets. Countries with a mixture of market-pull and technology-push policy instruments have been most successful at increasing biofuels production and use and also developing and deploying less mature advanced biofuels. Most policies have primarily promoted the production and use of biofuels for road transport with key long-distance transport sectors (aviation and shipping) drawing less policy attention despite being significant fuel consumers and carbon emitters. While many older policies were originally developed to promote energy security, more recent policies, such as low carbon fuel standard, have reduction in the carbon intensity of transportation fuels as a primary goal. While policies have been essential in promoting the on-going growth of biofuels, they have not been sufficient to drive the level of development needed to decarbonize the transport sector.","author":[{"dropping-particle":"","family":"Ebadian","given":"Mahmood","non-dropping-particle":"","parse-names":false,"suffix":""},{"dropping-particle":"","family":"Dyk","given":"Susan","non-dropping-particle":"van","parse-names":false,"suffix":""},{"dropping-particle":"","family":"McMillan","given":"James D","non-dropping-particle":"","parse-names":false,"suffix":""},{"dropping-particle":"","family":"Saddler","given":"Jack","non-dropping-particle":"","parse-names":false,"suffix":""}],"container-title":"Energy Policy","id":"ITEM-1","issued":{"date-parts":[["2020"]]},"page":"111906","title":"Biofuels policies that have encouraged their production and use: An international perspective","type":"article-journal","volume":"147"},"uris":["http://www.mendeley.com/documents/?uuid=3b4eec4c-b406-4e46-beaa-ee32eb4823c2"]}],"mendeley":{"formattedCitation":"[92]","plainTextFormattedCitation":"[92]","previouslyFormattedCitation":"[92]"},"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[92]</w:t>
      </w:r>
      <w:r w:rsidRPr="00953AE5">
        <w:rPr>
          <w:rFonts w:ascii="Arial" w:hAnsi="Arial" w:cs="Arial"/>
          <w:sz w:val="20"/>
          <w:szCs w:val="20"/>
        </w:rPr>
        <w:fldChar w:fldCharType="end"/>
      </w:r>
      <w:r w:rsidRPr="00953AE5">
        <w:rPr>
          <w:rFonts w:ascii="Arial" w:hAnsi="Arial" w:cs="Arial"/>
          <w:sz w:val="20"/>
          <w:szCs w:val="20"/>
        </w:rPr>
        <w:t xml:space="preserve">. In addition, policies such as blending mandates, carbon pricing, and emission regulations will encourage people to make an energy transition to biodiesel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{"citationItems":[{"id":"ITEM-1","itemData":{"DOI":"10.1016/j.rser.2023.113911","ISSN":"1364-0321","author":[{"dropping-particle":"","family":"Wirawan","given":"Soni S","non-dropping-particle":"","parse-names":false,"suffix":""},{"dropping-particle":"","family":"Solikhah","given":"Maharani D","non-dropping-particle":"","parse-names":false,"suffix":""},{"dropping-particle":"","family":"Setiapraja","given":"Hari","non-dropping-particle":"","parse-names":false,"suffix":""},{"dropping-particle":"","family":"Sugiyono","given":"Agus","non-dropping-particle":"","parse-names":false,"suffix":""}],"container-title":"Renewable and Sustainable Energy Reviews","id":"ITEM-1","issue":"PA","issued":{"date-parts":[["2024"]]},"page":"113911","publisher":"Elsevier Ltd","title":"Biodiesel implementation in Indonesia : Experiences and future perspectives","type":"article-journal","volume":"189"},"uris":["http://www.mendeley.com/documents/?uuid=36b975b0-4609-4a4c-8128-699040e45404"]}],"mendeley":{"formattedCitation":"[93]","plainTextFormattedCitation":"[93]","previouslyFormattedCitation":"[93]"},"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[93]</w:t>
      </w:r>
      <w:r w:rsidRPr="00953AE5">
        <w:rPr>
          <w:rFonts w:ascii="Arial" w:hAnsi="Arial" w:cs="Arial"/>
          <w:sz w:val="20"/>
          <w:szCs w:val="20"/>
        </w:rPr>
        <w:fldChar w:fldCharType="end"/>
      </w:r>
      <w:r w:rsidRPr="00953AE5">
        <w:rPr>
          <w:rFonts w:ascii="Arial" w:hAnsi="Arial" w:cs="Arial"/>
          <w:sz w:val="20"/>
          <w:szCs w:val="20"/>
        </w:rPr>
        <w:t xml:space="preserve">. Furthermore, the government should balance biodiesel production with sustainable land use and allocate natural resources to minimize environmental damage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{"citationItems":[{"id":"ITEM-1","itemData":{"DOI":"10.1051/ocl/2013027","author":[{"dropping-particle":"","family":"Wassim","given":"Ben Aoun","non-dropping-particle":"","parse-names":false,"suffix":""},{"dropping-particle":"","family":"Benoît","given":"Gabrielle","non-dropping-particle":"","parse-names":false,"suffix":""},{"dropping-particle":"","family":"Bruno","given":"Gagnepain","non-dropping-particle":"","parse-names":false,"suffix":""}],"container-title":"Oilseeds and fats, Crops and Lipids","id":"ITEM-1","issue":"5","issued":{"date-parts":[["2014"]]},"title":"The importance of land use change in the environmental balance of biofuels","type":"article-journal","volume":"20"},"uris":["http://www.mendeley.com/documents/?uuid=3e2d9b0b-10eb-4e39-bc6b-6f4add551f59"]}],"mendeley":{"formattedCitation":"[94]","plainTextFormattedCitation":"[94]","previouslyFormattedCitation":"[94]"},"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[94]</w:t>
      </w:r>
      <w:r w:rsidRPr="00953AE5">
        <w:rPr>
          <w:rFonts w:ascii="Arial" w:hAnsi="Arial" w:cs="Arial"/>
          <w:sz w:val="20"/>
          <w:szCs w:val="20"/>
        </w:rPr>
        <w:fldChar w:fldCharType="end"/>
      </w:r>
      <w:r w:rsidRPr="00953AE5">
        <w:rPr>
          <w:rFonts w:ascii="Arial" w:hAnsi="Arial" w:cs="Arial"/>
          <w:sz w:val="20"/>
          <w:szCs w:val="20"/>
        </w:rPr>
        <w:t xml:space="preserve">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{"citationItems":[{"id":"ITEM-1","itemData":{"DOI":"10.1111/j.1523-1739.2007.00879.x","author":[{"dropping-particle":"","family":"Groom","given":"Martha J","non-dropping-particle":"","parse-names":false,"suffix":""},{"dropping-particle":"","family":"Gray","given":"Elizabeth M","non-dropping-particle":"","parse-names":false,"suffix":""},{"dropping-particle":"","family":"Townsend","given":"Patricia A","non-dropping-particle":"","parse-names":false,"suffix":""}],"id":"ITEM-1","issue":"July 2008","issued":{"date-parts":[["2018"]]},"title":"Biofuels and Biodiversity : Principles for Creating Better Policies for Biofuel Production","type":"article-journal"},"uris":["http://www.mendeley.com/documents/?uuid=36abf53c-3afe-4bab-88b9-932686a8fe72"]}],"mendeley":{"formattedCitation":"[95]","plainTextFormattedCitation":"[95]","previouslyFormattedCitation":"[95]"},"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[95]</w:t>
      </w:r>
      <w:r w:rsidRPr="00953AE5">
        <w:rPr>
          <w:rFonts w:ascii="Arial" w:hAnsi="Arial" w:cs="Arial"/>
          <w:sz w:val="20"/>
          <w:szCs w:val="20"/>
        </w:rPr>
        <w:fldChar w:fldCharType="end"/>
      </w:r>
      <w:r w:rsidRPr="00953AE5">
        <w:rPr>
          <w:rFonts w:ascii="Arial" w:hAnsi="Arial" w:cs="Arial"/>
          <w:sz w:val="20"/>
          <w:szCs w:val="20"/>
        </w:rPr>
        <w:t xml:space="preserve">. In addition, biodiesel development will impact trade policy, considering that countries can conduct transactions to buy and sell BSF Maggot raw materials or biodiesel products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10.1186/s40008-022-00281-9","ISSN":"2193-2409","author":[{"dropping-particle":"","family":"Dermawan","given":"Ahmad","non-dropping-particle":"","parse-names":false,"suffix":""},{"dropping-particle":"","family":"Amaliah","given":"Syarifah","non-dropping-particle":"","parse-names":false,"suffix":""},{"dropping-particle":"","family":"Irawan","given":"Tony","non-dropping-particle":"","parse-names":false,"suffix":""},{"dropping-particle":"","family":"Dilla","given":"Salsa","non-dropping-particle":"","parse-names":false,"suffix":""}],"container-title":"Journal of Economic Structures","id":"ITEM-1","issued":{"date-parts":[["2022"]]},"publisher":"Springer Berlin Heidelberg","title":"Economic impacts of biodiesel policy in Indonesia : a computable general equilibrium approach","type":"article-journal"},"uris":["http://www.mendeley.com/documents/?uuid=4678bcda-d301-4e2f-b9b2-57ddc3919694"]}],"mendeley":{"formattedCitation":"[87]","plainTextFormattedCitation":"[87]","previouslyFormattedCitation":"[87]"},"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[87]</w:t>
      </w:r>
      <w:r w:rsidRPr="00953AE5">
        <w:rPr>
          <w:rFonts w:ascii="Arial" w:hAnsi="Arial" w:cs="Arial"/>
          <w:sz w:val="20"/>
          <w:szCs w:val="20"/>
        </w:rPr>
        <w:fldChar w:fldCharType="end"/>
      </w:r>
      <w:r w:rsidRPr="00953AE5">
        <w:rPr>
          <w:rFonts w:ascii="Arial" w:hAnsi="Arial" w:cs="Arial"/>
          <w:sz w:val="20"/>
          <w:szCs w:val="20"/>
        </w:rPr>
        <w:t xml:space="preserve">. The study by van Tol et al. confirms that investment in advanced biodiesel technology is one of the keywords in the efficiency and sustainability of renewable energy programs </w:t>
      </w:r>
      <w:r w:rsidRPr="00953AE5">
        <w:rPr>
          <w:rFonts w:ascii="Arial" w:hAnsi="Arial" w:cs="Arial"/>
          <w:sz w:val="20"/>
          <w:szCs w:val="20"/>
        </w:rPr>
        <w:fldChar w:fldCharType="begin" w:fldLock="1"/>
      </w:r>
      <w:r w:rsidR="00253AC2" w:rsidRPr="00953AE5">
        <w:rPr>
          <w:rFonts w:ascii="Arial" w:hAnsi="Arial" w:cs="Arial"/>
          <w:sz w:val="20"/>
          <w:szCs w:val="20"/>
        </w:rPr>
        <w:instrText>ADDIN CSL_CITATION {"citationItems":[{"id":"ITEM-1","itemData":{"DOI":"https://doi.org/10.1016/j.enpol.2020.112021","ISSN":"0301-4215","abstract":"World biofuel production and trade have grown exponentially in the last decade. Nevertheless, the interaction between the markets for oilseeds (food/feed/bioenergy) and liquid vegetable oil-based biofuels is overwhelmingly complex and thus not well understood. In this study, we developed a spatially explicit agent-based model to provide insights into the effect of farmers' behaviour on trade flows and biodiesel production and to shed light on the influence of import tariffs for both palm oil and biodiesel on system behaviour. This new approach enables us to assess different types of rational economic behaviour for the adoption of crops by farmers. Results show that model outcomes can vary substantially based on the assumptions made concerning the behaviour of farmers. Moreover, we found that biodiesel trade and production are more sensitive to a change in the EU-28's biodiesel import tariff than to a change in the EU-28's palm oil import tariff. Overall, our results show that social processes, actors' heterogeneity, and institutions play an important role in the behaviour of the system.","author":[{"dropping-particle":"","family":"Tol","given":"M C M","non-dropping-particle":"van","parse-names":false,"suffix":""},{"dropping-particle":"","family":"Moncada","given":"J A","non-dropping-particle":"","parse-names":false,"suffix":""},{"dropping-particle":"","family":"Lukszo","given":"Z","non-dropping-particle":"","parse-names":false,"suffix":""},{"dropping-particle":"","family":"Weijnen","given":"M","non-dropping-particle":"","parse-names":false,"suffix":""}],"container-title":"Energy Policy","id":"ITEM-1","issued":{"date-parts":[["2021"]]},"page":"112021","title":"Modelling the interaction between policies and international trade flows for liquid biofuels: an agent-based modelling approach","type":"article-journal","volume":"149"},"uris":["http://www.mendeley.com/documents/?uuid=f5f9127a-fe54-4f5a-a5e2-c18e691a7672"]}],"mendeley":{"formattedCitation":"[96]","plainTextFormattedCitation":"[96]","previouslyFormattedCitation":"[96]"},"properties":{"noteIndex":0},"schema":"https://github.com/citation-style-language/schema/raw/master/csl-citation.json"}</w:instrText>
      </w:r>
      <w:r w:rsidRPr="00953AE5">
        <w:rPr>
          <w:rFonts w:ascii="Arial" w:hAnsi="Arial" w:cs="Arial"/>
          <w:sz w:val="20"/>
          <w:szCs w:val="20"/>
        </w:rPr>
        <w:fldChar w:fldCharType="separate"/>
      </w:r>
      <w:r w:rsidRPr="00953AE5">
        <w:rPr>
          <w:rFonts w:ascii="Arial" w:hAnsi="Arial" w:cs="Arial"/>
          <w:noProof/>
          <w:sz w:val="20"/>
          <w:szCs w:val="20"/>
        </w:rPr>
        <w:t>[96]</w:t>
      </w:r>
      <w:r w:rsidRPr="00953AE5">
        <w:rPr>
          <w:rFonts w:ascii="Arial" w:hAnsi="Arial" w:cs="Arial"/>
          <w:sz w:val="20"/>
          <w:szCs w:val="20"/>
        </w:rPr>
        <w:fldChar w:fldCharType="end"/>
      </w:r>
      <w:r w:rsidRPr="00953AE5">
        <w:rPr>
          <w:rFonts w:ascii="Arial" w:hAnsi="Arial" w:cs="Arial"/>
          <w:sz w:val="20"/>
          <w:szCs w:val="20"/>
        </w:rPr>
        <w:t>.</w:t>
      </w:r>
    </w:p>
    <w:p w14:paraId="43B3B6DA" w14:textId="607AA654" w:rsidR="008E12F7" w:rsidRDefault="008E12F7" w:rsidP="00953AE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26121812" w14:textId="77777777" w:rsidR="008E12F7" w:rsidRDefault="008E12F7" w:rsidP="00953AE5">
      <w:pPr>
        <w:spacing w:after="0" w:line="240" w:lineRule="auto"/>
        <w:ind w:left="0" w:hanging="2"/>
        <w:rPr>
          <w:rFonts w:ascii="Arial" w:eastAsia="Arial" w:hAnsi="Arial" w:cs="Arial"/>
          <w:b/>
          <w:color w:val="1F4E79"/>
          <w:sz w:val="20"/>
          <w:szCs w:val="20"/>
        </w:rPr>
      </w:pPr>
    </w:p>
    <w:p w14:paraId="2FA2992A" w14:textId="77777777" w:rsidR="003D1DB8" w:rsidRDefault="00283E10" w:rsidP="00953AE5">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14:paraId="21E25B25" w14:textId="77777777" w:rsidR="008E12F7" w:rsidRPr="006D1605" w:rsidRDefault="008E12F7" w:rsidP="00953AE5">
      <w:pPr>
        <w:spacing w:line="240" w:lineRule="auto"/>
        <w:ind w:left="0" w:hanging="2"/>
        <w:jc w:val="both"/>
        <w:rPr>
          <w:rFonts w:ascii="Arial" w:hAnsi="Arial" w:cs="Arial"/>
          <w:sz w:val="20"/>
          <w:szCs w:val="20"/>
        </w:rPr>
      </w:pPr>
      <w:r w:rsidRPr="006D1605">
        <w:rPr>
          <w:rFonts w:ascii="Arial" w:hAnsi="Arial" w:cs="Arial"/>
          <w:sz w:val="20"/>
          <w:szCs w:val="20"/>
        </w:rPr>
        <w:t xml:space="preserve">This article aims to develop a strategy for developing BSF Maggot oil-based biodiesel as a sustainable, renewable alternative energy source. The hybrid SWOT and VIKOR methods are applied to identify significant factors and develop a strategy for developing BSF Maggot oil-based biodiesel in Indonesia for renewable energy. This method involves the analysis of strengths, weaknesses, opportunities, and threats. Environmental awareness is a critical component in biodiesel development, with a value of 1.52. A significant weakness in biodiesel production is the high investment cost, quantified at 1.48. A significant opportunity in biodiesel development is its potential as an environmentally friendly sustainable energy alternative, with a score of 1.32, while a significant threat is inadequate financial assistance, with a score of 1.24. In addition, applying the VIKOR approach reveals that alternative 6 (Enhancing collaboration among stakeholders) is the most important option, as indicated by expert evaluation with a value of 0.048. Based on the results of this research, future research can be improved to complete our understanding of the potential of BSF Maggots as </w:t>
      </w:r>
      <w:r w:rsidRPr="006D1605">
        <w:rPr>
          <w:rFonts w:ascii="Arial" w:hAnsi="Arial" w:cs="Arial"/>
          <w:sz w:val="20"/>
          <w:szCs w:val="20"/>
        </w:rPr>
        <w:lastRenderedPageBreak/>
        <w:t xml:space="preserve">one of the sources of raw materials for making biodiesel in Indonesia. Some suggestions that can be used as a basis for future research should build a sustainable biodiesel development model, where this model considers the production capacity of Maggot oil, which will be the raw material for biodiesel. In addition, the built model also considers uncertainty factors, especially those related to the implications of developing biodiesel based on BSF Maggots in Indonesia. </w:t>
      </w:r>
    </w:p>
    <w:p w14:paraId="0181EC51" w14:textId="77777777" w:rsidR="003D1DB8" w:rsidRDefault="00283E10" w:rsidP="00953AE5">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ACKNOWLEDGMENT</w:t>
      </w:r>
    </w:p>
    <w:p w14:paraId="18BF89A9" w14:textId="77777777" w:rsidR="008E12F7" w:rsidRDefault="008E12F7" w:rsidP="00953AE5">
      <w:pPr>
        <w:spacing w:after="0" w:line="240" w:lineRule="auto"/>
        <w:ind w:left="0" w:hanging="2"/>
        <w:jc w:val="both"/>
        <w:rPr>
          <w:rFonts w:ascii="Arial" w:hAnsi="Arial" w:cs="Arial"/>
          <w:sz w:val="20"/>
          <w:szCs w:val="20"/>
        </w:rPr>
      </w:pPr>
      <w:r w:rsidRPr="006D1605">
        <w:rPr>
          <w:rFonts w:ascii="Arial" w:hAnsi="Arial" w:cs="Arial"/>
          <w:sz w:val="20"/>
          <w:szCs w:val="20"/>
        </w:rPr>
        <w:t>This research was funded by the Ministry of Education, Culture, and Technological Research through a research grant with Main Contract Number 105/E5/PG.02.00/PL/2024, Derivative Agreement/Contract Number</w:t>
      </w:r>
    </w:p>
    <w:p w14:paraId="25D29E2F" w14:textId="33B84007" w:rsidR="008E12F7" w:rsidRDefault="008E12F7" w:rsidP="00953AE5">
      <w:pPr>
        <w:spacing w:after="0" w:line="240" w:lineRule="auto"/>
        <w:ind w:left="0" w:hanging="2"/>
        <w:rPr>
          <w:rFonts w:ascii="Arial" w:hAnsi="Arial" w:cs="Arial"/>
          <w:sz w:val="20"/>
          <w:szCs w:val="20"/>
        </w:rPr>
      </w:pPr>
      <w:r w:rsidRPr="006D1605">
        <w:rPr>
          <w:rFonts w:ascii="Arial" w:hAnsi="Arial" w:cs="Arial"/>
          <w:sz w:val="20"/>
          <w:szCs w:val="20"/>
        </w:rPr>
        <w:t>817/LL3/AL.04/2024, and 0037/LPPM/UP/VI/2024.</w:t>
      </w:r>
    </w:p>
    <w:p w14:paraId="7D3EBC7E" w14:textId="77777777" w:rsidR="008E12F7" w:rsidRPr="006D1605" w:rsidRDefault="008E12F7" w:rsidP="00953AE5">
      <w:pPr>
        <w:spacing w:after="0" w:line="240" w:lineRule="auto"/>
        <w:ind w:left="0" w:hanging="2"/>
        <w:jc w:val="both"/>
        <w:rPr>
          <w:rFonts w:ascii="Arial" w:hAnsi="Arial" w:cs="Arial"/>
          <w:sz w:val="20"/>
          <w:szCs w:val="20"/>
        </w:rPr>
      </w:pPr>
    </w:p>
    <w:p w14:paraId="09F1BB6B" w14:textId="19AF9BD7" w:rsidR="008E12F7" w:rsidRDefault="008E12F7" w:rsidP="00953AE5">
      <w:pPr>
        <w:spacing w:after="0" w:line="240" w:lineRule="auto"/>
        <w:ind w:left="0" w:hanging="2"/>
        <w:jc w:val="both"/>
        <w:rPr>
          <w:rFonts w:ascii="Arial" w:eastAsia="Arial" w:hAnsi="Arial" w:cs="Arial"/>
          <w:sz w:val="20"/>
          <w:szCs w:val="20"/>
        </w:rPr>
      </w:pPr>
    </w:p>
    <w:p w14:paraId="00FA41C7" w14:textId="77777777" w:rsidR="008E12F7" w:rsidRDefault="008E12F7" w:rsidP="00953AE5">
      <w:pPr>
        <w:spacing w:after="0" w:line="240" w:lineRule="auto"/>
        <w:ind w:left="0" w:hanging="2"/>
        <w:jc w:val="both"/>
        <w:rPr>
          <w:rFonts w:ascii="Arial" w:eastAsia="Arial" w:hAnsi="Arial" w:cs="Arial"/>
          <w:sz w:val="20"/>
          <w:szCs w:val="20"/>
        </w:rPr>
      </w:pPr>
    </w:p>
    <w:p w14:paraId="5BEF25E1" w14:textId="77777777" w:rsidR="003D1DB8" w:rsidRDefault="00283E10" w:rsidP="00953AE5">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REFERENCES</w:t>
      </w:r>
    </w:p>
    <w:p w14:paraId="686584C2" w14:textId="77777777" w:rsidR="008E12F7" w:rsidRPr="006D1605" w:rsidRDefault="008E12F7" w:rsidP="00953AE5">
      <w:pPr>
        <w:spacing w:after="0" w:line="240" w:lineRule="auto"/>
        <w:ind w:left="0" w:hanging="2"/>
        <w:rPr>
          <w:rFonts w:ascii="Arial" w:hAnsi="Arial" w:cs="Arial"/>
          <w:b/>
          <w:bCs/>
          <w:sz w:val="20"/>
          <w:szCs w:val="20"/>
        </w:rPr>
      </w:pPr>
      <w:r>
        <w:rPr>
          <w:rFonts w:ascii="Arial" w:eastAsia="Arial" w:hAnsi="Arial" w:cs="Arial"/>
          <w:color w:val="000000"/>
          <w:sz w:val="20"/>
          <w:szCs w:val="20"/>
        </w:rPr>
        <w:t xml:space="preserve"> </w:t>
      </w:r>
    </w:p>
    <w:p w14:paraId="75CAD2A9" w14:textId="1918EF05" w:rsidR="00253AC2" w:rsidRPr="00253AC2" w:rsidRDefault="008E12F7"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6D1605">
        <w:rPr>
          <w:rFonts w:ascii="Arial" w:hAnsi="Arial" w:cs="Arial"/>
          <w:sz w:val="20"/>
          <w:szCs w:val="20"/>
        </w:rPr>
        <w:fldChar w:fldCharType="begin" w:fldLock="1"/>
      </w:r>
      <w:r w:rsidRPr="006D1605">
        <w:rPr>
          <w:rFonts w:ascii="Arial" w:hAnsi="Arial" w:cs="Arial"/>
          <w:sz w:val="20"/>
          <w:szCs w:val="20"/>
        </w:rPr>
        <w:instrText xml:space="preserve">ADDIN Mendeley Bibliography CSL_BIBLIOGRAPHY </w:instrText>
      </w:r>
      <w:r w:rsidRPr="006D1605">
        <w:rPr>
          <w:rFonts w:ascii="Arial" w:hAnsi="Arial" w:cs="Arial"/>
          <w:sz w:val="20"/>
          <w:szCs w:val="20"/>
        </w:rPr>
        <w:fldChar w:fldCharType="separate"/>
      </w:r>
      <w:r w:rsidR="00253AC2" w:rsidRPr="00253AC2">
        <w:rPr>
          <w:rFonts w:ascii="Arial" w:hAnsi="Arial" w:cs="Arial"/>
          <w:noProof/>
          <w:sz w:val="20"/>
          <w:szCs w:val="24"/>
        </w:rPr>
        <w:t>[1]</w:t>
      </w:r>
      <w:r w:rsidR="00253AC2" w:rsidRPr="00253AC2">
        <w:rPr>
          <w:rFonts w:ascii="Arial" w:hAnsi="Arial" w:cs="Arial"/>
          <w:noProof/>
          <w:sz w:val="20"/>
          <w:szCs w:val="24"/>
        </w:rPr>
        <w:tab/>
        <w:t xml:space="preserve">J. Wang, “Sustainability Assessment of Bioenergy from a Global Perspective : A Review,” </w:t>
      </w:r>
      <w:r w:rsidR="00253AC2" w:rsidRPr="00253AC2">
        <w:rPr>
          <w:rFonts w:ascii="Arial" w:hAnsi="Arial" w:cs="Arial"/>
          <w:i/>
          <w:iCs/>
          <w:noProof/>
          <w:sz w:val="20"/>
          <w:szCs w:val="24"/>
        </w:rPr>
        <w:t>Sustain.</w:t>
      </w:r>
      <w:r w:rsidR="00253AC2" w:rsidRPr="00253AC2">
        <w:rPr>
          <w:rFonts w:ascii="Arial" w:hAnsi="Arial" w:cs="Arial"/>
          <w:noProof/>
          <w:sz w:val="20"/>
          <w:szCs w:val="24"/>
        </w:rPr>
        <w:t>, vol. 10, no. 2739, pp. 1–19, 2018, doi: 10.3390/su10082739.</w:t>
      </w:r>
    </w:p>
    <w:p w14:paraId="01008E2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w:t>
      </w:r>
      <w:r w:rsidRPr="00253AC2">
        <w:rPr>
          <w:rFonts w:ascii="Arial" w:hAnsi="Arial" w:cs="Arial"/>
          <w:noProof/>
          <w:sz w:val="20"/>
          <w:szCs w:val="24"/>
        </w:rPr>
        <w:tab/>
        <w:t xml:space="preserve">Raksasat et al., “Blended Sewage Sludge – Palm Kernel Expeller to Enhance the,” </w:t>
      </w:r>
      <w:r w:rsidRPr="00253AC2">
        <w:rPr>
          <w:rFonts w:ascii="Arial" w:hAnsi="Arial" w:cs="Arial"/>
          <w:i/>
          <w:iCs/>
          <w:noProof/>
          <w:sz w:val="20"/>
          <w:szCs w:val="24"/>
        </w:rPr>
        <w:t>Processes</w:t>
      </w:r>
      <w:r w:rsidRPr="00253AC2">
        <w:rPr>
          <w:rFonts w:ascii="Arial" w:hAnsi="Arial" w:cs="Arial"/>
          <w:noProof/>
          <w:sz w:val="20"/>
          <w:szCs w:val="24"/>
        </w:rPr>
        <w:t>, vol. 9, no. 297, pp. 1–13, 2021, doi: https://doi.org/10.3390/pr9020297.</w:t>
      </w:r>
    </w:p>
    <w:p w14:paraId="0D5AA2F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w:t>
      </w:r>
      <w:r w:rsidRPr="00253AC2">
        <w:rPr>
          <w:rFonts w:ascii="Arial" w:hAnsi="Arial" w:cs="Arial"/>
          <w:noProof/>
          <w:sz w:val="20"/>
          <w:szCs w:val="24"/>
        </w:rPr>
        <w:tab/>
        <w:t xml:space="preserve">M. C. Gomes Souza, M. Firmino de Oliveira, A. T. Vieira, A. Marcio de Faria, and A. C. Ferreira Batista, “Methylic and ethylic biodiesel production from crambe oil (Crambe abyssinica): New aspects for yield and oxidative stability,” </w:t>
      </w:r>
      <w:r w:rsidRPr="00253AC2">
        <w:rPr>
          <w:rFonts w:ascii="Arial" w:hAnsi="Arial" w:cs="Arial"/>
          <w:i/>
          <w:iCs/>
          <w:noProof/>
          <w:sz w:val="20"/>
          <w:szCs w:val="24"/>
        </w:rPr>
        <w:t>Renew. Energy</w:t>
      </w:r>
      <w:r w:rsidRPr="00253AC2">
        <w:rPr>
          <w:rFonts w:ascii="Arial" w:hAnsi="Arial" w:cs="Arial"/>
          <w:noProof/>
          <w:sz w:val="20"/>
          <w:szCs w:val="24"/>
        </w:rPr>
        <w:t>, vol. 163, pp. 368–374, 2021, doi: https://doi.org/10.1016/j.renene.2020.08.073.</w:t>
      </w:r>
    </w:p>
    <w:p w14:paraId="692AE965"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w:t>
      </w:r>
      <w:r w:rsidRPr="00253AC2">
        <w:rPr>
          <w:rFonts w:ascii="Arial" w:hAnsi="Arial" w:cs="Arial"/>
          <w:noProof/>
          <w:sz w:val="20"/>
          <w:szCs w:val="24"/>
        </w:rPr>
        <w:tab/>
        <w:t>R. Leemans, P. Vellinga, and E. S. Analysis, “The scientific motivation of the internationally agreed ‘ well below 2 o C ’ climate protection target : a historical perspective .,” no. December, 2015.</w:t>
      </w:r>
    </w:p>
    <w:p w14:paraId="2E48C336"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w:t>
      </w:r>
      <w:r w:rsidRPr="00253AC2">
        <w:rPr>
          <w:rFonts w:ascii="Arial" w:hAnsi="Arial" w:cs="Arial"/>
          <w:noProof/>
          <w:sz w:val="20"/>
          <w:szCs w:val="24"/>
        </w:rPr>
        <w:tab/>
        <w:t xml:space="preserve">R. Sindhu, P. Binod, and A. Pandey, “RETRACTED: Biological pretreatment of lignocellulosic biomass – An overview,” </w:t>
      </w:r>
      <w:r w:rsidRPr="00253AC2">
        <w:rPr>
          <w:rFonts w:ascii="Arial" w:hAnsi="Arial" w:cs="Arial"/>
          <w:i/>
          <w:iCs/>
          <w:noProof/>
          <w:sz w:val="20"/>
          <w:szCs w:val="24"/>
        </w:rPr>
        <w:t>Bioresour. Technol.</w:t>
      </w:r>
      <w:r w:rsidRPr="00253AC2">
        <w:rPr>
          <w:rFonts w:ascii="Arial" w:hAnsi="Arial" w:cs="Arial"/>
          <w:noProof/>
          <w:sz w:val="20"/>
          <w:szCs w:val="24"/>
        </w:rPr>
        <w:t>, vol. 199, pp. 76–82, 2016, doi: https://doi.org/10.1016/j.biortech.2015.08.030.</w:t>
      </w:r>
    </w:p>
    <w:p w14:paraId="3875C5FC"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w:t>
      </w:r>
      <w:r w:rsidRPr="00253AC2">
        <w:rPr>
          <w:rFonts w:ascii="Arial" w:hAnsi="Arial" w:cs="Arial"/>
          <w:noProof/>
          <w:sz w:val="20"/>
          <w:szCs w:val="24"/>
        </w:rPr>
        <w:tab/>
        <w:t xml:space="preserve">S.-N. Mohd-Noor </w:t>
      </w:r>
      <w:r w:rsidRPr="00253AC2">
        <w:rPr>
          <w:rFonts w:ascii="Arial" w:hAnsi="Arial" w:cs="Arial"/>
          <w:i/>
          <w:iCs/>
          <w:noProof/>
          <w:sz w:val="20"/>
          <w:szCs w:val="24"/>
        </w:rPr>
        <w:t>et al.</w:t>
      </w:r>
      <w:r w:rsidRPr="00253AC2">
        <w:rPr>
          <w:rFonts w:ascii="Arial" w:hAnsi="Arial" w:cs="Arial"/>
          <w:noProof/>
          <w:sz w:val="20"/>
          <w:szCs w:val="24"/>
        </w:rPr>
        <w:t xml:space="preserve">, “Optimization of self-fermented period of waste coconut endosperm destined to feed black soldier fly </w:t>
      </w:r>
      <w:r w:rsidRPr="00253AC2">
        <w:rPr>
          <w:rFonts w:ascii="Arial" w:hAnsi="Arial" w:cs="Arial"/>
          <w:noProof/>
          <w:sz w:val="20"/>
          <w:szCs w:val="24"/>
        </w:rPr>
        <w:t xml:space="preserve">larvae in enhancing the lipid and protein yields,” </w:t>
      </w:r>
      <w:r w:rsidRPr="00253AC2">
        <w:rPr>
          <w:rFonts w:ascii="Arial" w:hAnsi="Arial" w:cs="Arial"/>
          <w:i/>
          <w:iCs/>
          <w:noProof/>
          <w:sz w:val="20"/>
          <w:szCs w:val="24"/>
        </w:rPr>
        <w:t>Renew. Energy</w:t>
      </w:r>
      <w:r w:rsidRPr="00253AC2">
        <w:rPr>
          <w:rFonts w:ascii="Arial" w:hAnsi="Arial" w:cs="Arial"/>
          <w:noProof/>
          <w:sz w:val="20"/>
          <w:szCs w:val="24"/>
        </w:rPr>
        <w:t>, vol. 111, pp. 646–654, 2017, doi: https://doi.org/10.1016/j.renene.2017.04.067.</w:t>
      </w:r>
    </w:p>
    <w:p w14:paraId="19392672"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w:t>
      </w:r>
      <w:r w:rsidRPr="00253AC2">
        <w:rPr>
          <w:rFonts w:ascii="Arial" w:hAnsi="Arial" w:cs="Arial"/>
          <w:noProof/>
          <w:sz w:val="20"/>
          <w:szCs w:val="24"/>
        </w:rPr>
        <w:tab/>
        <w:t>M. Y. Abduh, R. Manurung, and A. Faustina, “Bioconversion of Pandanus tectorius using black soldier fly larvae for the production of edible oil and protein-rich biomass,” vol. 5, no. 1, pp. 803–809, 2017.</w:t>
      </w:r>
    </w:p>
    <w:p w14:paraId="4084AB5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w:t>
      </w:r>
      <w:r w:rsidRPr="00253AC2">
        <w:rPr>
          <w:rFonts w:ascii="Arial" w:hAnsi="Arial" w:cs="Arial"/>
          <w:noProof/>
          <w:sz w:val="20"/>
          <w:szCs w:val="24"/>
        </w:rPr>
        <w:tab/>
        <w:t xml:space="preserve">F. Xu </w:t>
      </w:r>
      <w:r w:rsidRPr="00253AC2">
        <w:rPr>
          <w:rFonts w:ascii="Arial" w:hAnsi="Arial" w:cs="Arial"/>
          <w:i/>
          <w:iCs/>
          <w:noProof/>
          <w:sz w:val="20"/>
          <w:szCs w:val="24"/>
        </w:rPr>
        <w:t>et al.</w:t>
      </w:r>
      <w:r w:rsidRPr="00253AC2">
        <w:rPr>
          <w:rFonts w:ascii="Arial" w:hAnsi="Arial" w:cs="Arial"/>
          <w:noProof/>
          <w:sz w:val="20"/>
          <w:szCs w:val="24"/>
        </w:rPr>
        <w:t xml:space="preserve">, “Environmental Science liquids : process intensification and the for the production of cellulosic ethanol †,” </w:t>
      </w:r>
      <w:r w:rsidRPr="00253AC2">
        <w:rPr>
          <w:rFonts w:ascii="Arial" w:hAnsi="Arial" w:cs="Arial"/>
          <w:i/>
          <w:iCs/>
          <w:noProof/>
          <w:sz w:val="20"/>
          <w:szCs w:val="24"/>
        </w:rPr>
        <w:t>Energy Environ. Sci.</w:t>
      </w:r>
      <w:r w:rsidRPr="00253AC2">
        <w:rPr>
          <w:rFonts w:ascii="Arial" w:hAnsi="Arial" w:cs="Arial"/>
          <w:noProof/>
          <w:sz w:val="20"/>
          <w:szCs w:val="24"/>
        </w:rPr>
        <w:t>, vol. 9, pp. 1042–1049, 2016, doi: 10.1039/C5EE02940F.</w:t>
      </w:r>
    </w:p>
    <w:p w14:paraId="3CAE3732"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w:t>
      </w:r>
      <w:r w:rsidRPr="00253AC2">
        <w:rPr>
          <w:rFonts w:ascii="Arial" w:hAnsi="Arial" w:cs="Arial"/>
          <w:noProof/>
          <w:sz w:val="20"/>
          <w:szCs w:val="24"/>
        </w:rPr>
        <w:tab/>
        <w:t xml:space="preserve">C. Lalander, S. Diener, C. Zurbrügg, and B. Vinnerås, “Effects of feedstock on larval development and process efficiency in waste treatment with black soldier fly (Hermetia illucens),” </w:t>
      </w:r>
      <w:r w:rsidRPr="00253AC2">
        <w:rPr>
          <w:rFonts w:ascii="Arial" w:hAnsi="Arial" w:cs="Arial"/>
          <w:i/>
          <w:iCs/>
          <w:noProof/>
          <w:sz w:val="20"/>
          <w:szCs w:val="24"/>
        </w:rPr>
        <w:t>J. Clean. Prod.</w:t>
      </w:r>
      <w:r w:rsidRPr="00253AC2">
        <w:rPr>
          <w:rFonts w:ascii="Arial" w:hAnsi="Arial" w:cs="Arial"/>
          <w:noProof/>
          <w:sz w:val="20"/>
          <w:szCs w:val="24"/>
        </w:rPr>
        <w:t>, vol. 208, pp. 211–219, 2019, doi: https://doi.org/10.1016/j.jclepro.2018.10.017.</w:t>
      </w:r>
    </w:p>
    <w:p w14:paraId="0288460B"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[10]</w:t>
      </w:r>
      <w:r w:rsidRPr="00253AC2">
        <w:rPr>
          <w:rFonts w:ascii="Arial" w:hAnsi="Arial" w:cs="Arial"/>
          <w:noProof/>
          <w:sz w:val="20"/>
          <w:szCs w:val="24"/>
        </w:rPr>
        <w:tab/>
        <w:t xml:space="preserve">M. Shumo </w:t>
      </w:r>
      <w:r w:rsidRPr="00253AC2">
        <w:rPr>
          <w:rFonts w:ascii="Arial" w:hAnsi="Arial" w:cs="Arial"/>
          <w:i/>
          <w:iCs/>
          <w:noProof/>
          <w:sz w:val="20"/>
          <w:szCs w:val="24"/>
        </w:rPr>
        <w:t>et al.</w:t>
      </w:r>
      <w:r w:rsidRPr="00253AC2">
        <w:rPr>
          <w:rFonts w:ascii="Arial" w:hAnsi="Arial" w:cs="Arial"/>
          <w:noProof/>
          <w:sz w:val="20"/>
          <w:szCs w:val="24"/>
        </w:rPr>
        <w:t xml:space="preserve">, “The nutritive value of black soldier fly larvae reared on common organic waste streams in Kenya,” </w:t>
      </w:r>
      <w:r w:rsidRPr="00253AC2">
        <w:rPr>
          <w:rFonts w:ascii="Arial" w:hAnsi="Arial" w:cs="Arial"/>
          <w:i/>
          <w:iCs/>
          <w:noProof/>
          <w:sz w:val="20"/>
          <w:szCs w:val="24"/>
        </w:rPr>
        <w:t>Sci. Rep.</w:t>
      </w:r>
      <w:r w:rsidRPr="00253AC2">
        <w:rPr>
          <w:rFonts w:ascii="Arial" w:hAnsi="Arial" w:cs="Arial"/>
          <w:noProof/>
          <w:sz w:val="20"/>
          <w:szCs w:val="24"/>
        </w:rPr>
        <w:t>, no. July, pp. 1–13, 2019, doi: 10.1038/s41598-019-46603-z.</w:t>
      </w:r>
    </w:p>
    <w:p w14:paraId="40F3D56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[11]</w:t>
      </w:r>
      <w:r w:rsidRPr="00253AC2">
        <w:rPr>
          <w:rFonts w:ascii="Arial" w:hAnsi="Arial" w:cs="Arial"/>
          <w:noProof/>
          <w:sz w:val="20"/>
          <w:szCs w:val="24"/>
        </w:rPr>
        <w:tab/>
        <w:t>S. Yang, Q. Li, Q. Zeng, J. Zhang, Z. Yu, and Z. Liu, “Conversion of Solid Organic Wastes into Oil via Boettcherisca peregrine ( Diptera : Sarcophagidae ) Larvae and Optimization of Parameters for Biodiesel Production,” vol. 7, no. 9, pp. 1–7, 2012, doi: 10.1371/journal.pone.0045940.</w:t>
      </w:r>
    </w:p>
    <w:p w14:paraId="654EE69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[12]</w:t>
      </w:r>
      <w:r w:rsidRPr="00253AC2">
        <w:rPr>
          <w:rFonts w:ascii="Arial" w:hAnsi="Arial" w:cs="Arial"/>
          <w:noProof/>
          <w:sz w:val="20"/>
          <w:szCs w:val="24"/>
        </w:rPr>
        <w:tab/>
        <w:t xml:space="preserve">H. Wang </w:t>
      </w:r>
      <w:r w:rsidRPr="00253AC2">
        <w:rPr>
          <w:rFonts w:ascii="Arial" w:hAnsi="Arial" w:cs="Arial"/>
          <w:i/>
          <w:iCs/>
          <w:noProof/>
          <w:sz w:val="20"/>
          <w:szCs w:val="24"/>
        </w:rPr>
        <w:t>et al.</w:t>
      </w:r>
      <w:r w:rsidRPr="00253AC2">
        <w:rPr>
          <w:rFonts w:ascii="Arial" w:hAnsi="Arial" w:cs="Arial"/>
          <w:noProof/>
          <w:sz w:val="20"/>
          <w:szCs w:val="24"/>
        </w:rPr>
        <w:t>, “Biotechnology for Biofuels Insect biorefinery : a green approach for conversion of crop residues into biodiesel and protein,” pp. 1–13, 2017, doi: 10.1186/s13068-017-0986-7.</w:t>
      </w:r>
    </w:p>
    <w:p w14:paraId="1EF0868C"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[13]</w:t>
      </w:r>
      <w:r w:rsidRPr="00253AC2">
        <w:rPr>
          <w:rFonts w:ascii="Arial" w:hAnsi="Arial" w:cs="Arial"/>
          <w:noProof/>
          <w:sz w:val="20"/>
          <w:szCs w:val="24"/>
        </w:rPr>
        <w:tab/>
        <w:t xml:space="preserve">C. Koyunoğlu, “Biofuel production utilizing black soldier fly (Hermetia illucens): a sustainable approach for organic waste management,” </w:t>
      </w:r>
      <w:r w:rsidRPr="00253AC2">
        <w:rPr>
          <w:rFonts w:ascii="Arial" w:hAnsi="Arial" w:cs="Arial"/>
          <w:i/>
          <w:iCs/>
          <w:noProof/>
          <w:sz w:val="20"/>
          <w:szCs w:val="24"/>
        </w:rPr>
        <w:t>Int. J. Thermofluids</w:t>
      </w:r>
      <w:r w:rsidRPr="00253AC2">
        <w:rPr>
          <w:rFonts w:ascii="Arial" w:hAnsi="Arial" w:cs="Arial"/>
          <w:noProof/>
          <w:sz w:val="20"/>
          <w:szCs w:val="24"/>
        </w:rPr>
        <w:t>, vol. 23, p. 100754, 2024, doi: https://doi.org/10.1016/j.ijft.2024.100754.</w:t>
      </w:r>
    </w:p>
    <w:p w14:paraId="0C6666F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[14]</w:t>
      </w:r>
      <w:r w:rsidRPr="00253AC2">
        <w:rPr>
          <w:rFonts w:ascii="Arial" w:hAnsi="Arial" w:cs="Arial"/>
          <w:noProof/>
          <w:sz w:val="20"/>
          <w:szCs w:val="24"/>
        </w:rPr>
        <w:tab/>
        <w:t>K. Lee and E. Yun, “Optimization of Feed Components to Improve Hermetia illucens Growth and Development of Oil Extractor to Produce Biodiesel,” 2021.</w:t>
      </w:r>
    </w:p>
    <w:p w14:paraId="4F894E8D"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[15]</w:t>
      </w:r>
      <w:r w:rsidRPr="00253AC2">
        <w:rPr>
          <w:rFonts w:ascii="Arial" w:hAnsi="Arial" w:cs="Arial"/>
          <w:noProof/>
          <w:sz w:val="20"/>
          <w:szCs w:val="24"/>
        </w:rPr>
        <w:tab/>
        <w:t>C. Wong, S. Rosli, Y. Uemura, and Y. C. Ho, “Potential Protein and Biodiesel Sources from Black Soldier Fly Larvae : Insights of Larval Harvesting Instar and Fermented Feeding Medium,” 2019.</w:t>
      </w:r>
    </w:p>
    <w:p w14:paraId="619746D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[16]</w:t>
      </w:r>
      <w:r w:rsidRPr="00253AC2">
        <w:rPr>
          <w:rFonts w:ascii="Arial" w:hAnsi="Arial" w:cs="Arial"/>
          <w:noProof/>
          <w:sz w:val="20"/>
          <w:szCs w:val="24"/>
        </w:rPr>
        <w:tab/>
        <w:t xml:space="preserve">A. S. Elgharbawy, W. A. Sadik, O. M. Sadek, and M. A. Kasaby, “A REVIEW ON </w:t>
      </w:r>
      <w:r w:rsidRPr="00253AC2">
        <w:rPr>
          <w:rFonts w:ascii="Arial" w:hAnsi="Arial" w:cs="Arial"/>
          <w:noProof/>
          <w:sz w:val="20"/>
          <w:szCs w:val="24"/>
        </w:rPr>
        <w:lastRenderedPageBreak/>
        <w:t>BIODIESEL FEEDSTOCKS AND PRODUCTION TECHNOLOGIES,” vol. 1, 2021.</w:t>
      </w:r>
    </w:p>
    <w:p w14:paraId="0386B614"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[17]</w:t>
      </w:r>
      <w:r w:rsidRPr="00253AC2">
        <w:rPr>
          <w:rFonts w:ascii="Arial" w:hAnsi="Arial" w:cs="Arial"/>
          <w:noProof/>
          <w:sz w:val="20"/>
          <w:szCs w:val="24"/>
        </w:rPr>
        <w:tab/>
        <w:t>I. O. Akpan, I. Edeh, and L. Uyigue, “Petroleum and Chemical Industry International A Review on Biodiesel Production,” vol. 6, no. 2, pp. 131–141, 2023.</w:t>
      </w:r>
    </w:p>
    <w:p w14:paraId="6203C14E"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[18]</w:t>
      </w:r>
      <w:r w:rsidRPr="00253AC2">
        <w:rPr>
          <w:rFonts w:ascii="Arial" w:hAnsi="Arial" w:cs="Arial"/>
          <w:noProof/>
          <w:sz w:val="20"/>
          <w:szCs w:val="24"/>
        </w:rPr>
        <w:tab/>
        <w:t xml:space="preserve">N. A. Ushakova, E. S. Brodskii, A. A. Kovalenko, A. I. Bastrakov, A. A. Kozlova, and D. S. Pavlov, “Characteristics of lipid fractions of larvae of the black soldier fly Hermetia  illucens.,” </w:t>
      </w:r>
      <w:r w:rsidRPr="00253AC2">
        <w:rPr>
          <w:rFonts w:ascii="Arial" w:hAnsi="Arial" w:cs="Arial"/>
          <w:i/>
          <w:iCs/>
          <w:noProof/>
          <w:sz w:val="20"/>
          <w:szCs w:val="24"/>
        </w:rPr>
        <w:t>Dokl. Biochem. Biophys.</w:t>
      </w:r>
      <w:r w:rsidRPr="00253AC2">
        <w:rPr>
          <w:rFonts w:ascii="Arial" w:hAnsi="Arial" w:cs="Arial"/>
          <w:noProof/>
          <w:sz w:val="20"/>
          <w:szCs w:val="24"/>
        </w:rPr>
        <w:t>, vol. 468, no. 1, pp. 209–212, May 2016, doi: 10.1134/S1607672916030145.</w:t>
      </w:r>
    </w:p>
    <w:p w14:paraId="451BB556"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[19]</w:t>
      </w:r>
      <w:r w:rsidRPr="00253AC2">
        <w:rPr>
          <w:rFonts w:ascii="Arial" w:hAnsi="Arial" w:cs="Arial"/>
          <w:noProof/>
          <w:sz w:val="20"/>
          <w:szCs w:val="24"/>
        </w:rPr>
        <w:tab/>
        <w:t xml:space="preserve">C. Almeida </w:t>
      </w:r>
      <w:r w:rsidRPr="00253AC2">
        <w:rPr>
          <w:rFonts w:ascii="Arial" w:hAnsi="Arial" w:cs="Arial"/>
          <w:i/>
          <w:iCs/>
          <w:noProof/>
          <w:sz w:val="20"/>
          <w:szCs w:val="24"/>
        </w:rPr>
        <w:t>et al.</w:t>
      </w:r>
      <w:r w:rsidRPr="00253AC2">
        <w:rPr>
          <w:rFonts w:ascii="Arial" w:hAnsi="Arial" w:cs="Arial"/>
          <w:noProof/>
          <w:sz w:val="20"/>
          <w:szCs w:val="24"/>
        </w:rPr>
        <w:t xml:space="preserve">, “Characterization of lipid extracts from the Hermetia illucens larvae and their bioactivities for potential use as pharmaceutical and cosmetic ingredients,” </w:t>
      </w:r>
      <w:r w:rsidRPr="00253AC2">
        <w:rPr>
          <w:rFonts w:ascii="Arial" w:hAnsi="Arial" w:cs="Arial"/>
          <w:i/>
          <w:iCs/>
          <w:noProof/>
          <w:sz w:val="20"/>
          <w:szCs w:val="24"/>
        </w:rPr>
        <w:t>Heliyon</w:t>
      </w:r>
      <w:r w:rsidRPr="00253AC2">
        <w:rPr>
          <w:rFonts w:ascii="Arial" w:hAnsi="Arial" w:cs="Arial"/>
          <w:noProof/>
          <w:sz w:val="20"/>
          <w:szCs w:val="24"/>
        </w:rPr>
        <w:t>, vol. 8, no. 5, p. e09455, 2022, doi: https://doi.org/10.1016/j.heliyon.2022.e09455.</w:t>
      </w:r>
    </w:p>
    <w:p w14:paraId="5308829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[20]</w:t>
      </w:r>
      <w:r w:rsidRPr="00253AC2">
        <w:rPr>
          <w:rFonts w:ascii="Arial" w:hAnsi="Arial" w:cs="Arial"/>
          <w:noProof/>
          <w:sz w:val="20"/>
          <w:szCs w:val="24"/>
        </w:rPr>
        <w:tab/>
        <w:t xml:space="preserve">N. Ewald, A. Vidakovic, M. Langeland, A. Kiessling, S. Sampels, and C. Lalander, “Fatty acid composition of black soldier fly larvae (Hermetia illucens) -  Possibilities and limitations for modification through diet.,” </w:t>
      </w:r>
      <w:r w:rsidRPr="00253AC2">
        <w:rPr>
          <w:rFonts w:ascii="Arial" w:hAnsi="Arial" w:cs="Arial"/>
          <w:i/>
          <w:iCs/>
          <w:noProof/>
          <w:sz w:val="20"/>
          <w:szCs w:val="24"/>
        </w:rPr>
        <w:t>Waste Manag.</w:t>
      </w:r>
      <w:r w:rsidRPr="00253AC2">
        <w:rPr>
          <w:rFonts w:ascii="Arial" w:hAnsi="Arial" w:cs="Arial"/>
          <w:noProof/>
          <w:sz w:val="20"/>
          <w:szCs w:val="24"/>
        </w:rPr>
        <w:t>, vol. 102, pp. 40–47, Feb. 2020, doi: 10.1016/j.wasman.2019.10.014.</w:t>
      </w:r>
    </w:p>
    <w:p w14:paraId="0886358B"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[21]</w:t>
      </w:r>
      <w:r w:rsidRPr="00253AC2">
        <w:rPr>
          <w:rFonts w:ascii="Arial" w:hAnsi="Arial" w:cs="Arial"/>
          <w:noProof/>
          <w:sz w:val="20"/>
          <w:szCs w:val="24"/>
        </w:rPr>
        <w:tab/>
        <w:t xml:space="preserve">S. Y. Leong, S. R. M. Kutty, A. Malakahmad, and C. K. Tan, “Feasibility study of biodiesel production using lipids of Hermetia illucens larva  fed with organic waste.,” </w:t>
      </w:r>
      <w:r w:rsidRPr="00253AC2">
        <w:rPr>
          <w:rFonts w:ascii="Arial" w:hAnsi="Arial" w:cs="Arial"/>
          <w:i/>
          <w:iCs/>
          <w:noProof/>
          <w:sz w:val="20"/>
          <w:szCs w:val="24"/>
        </w:rPr>
        <w:t>Waste Manag.</w:t>
      </w:r>
      <w:r w:rsidRPr="00253AC2">
        <w:rPr>
          <w:rFonts w:ascii="Arial" w:hAnsi="Arial" w:cs="Arial"/>
          <w:noProof/>
          <w:sz w:val="20"/>
          <w:szCs w:val="24"/>
        </w:rPr>
        <w:t>, vol. 47, no. Pt A, pp. 84–90, Jan. 2016, doi: 10.1016/j.wasman.2015.03.030.</w:t>
      </w:r>
    </w:p>
    <w:p w14:paraId="1FC0DDCE"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[22]</w:t>
      </w:r>
      <w:r w:rsidRPr="00253AC2">
        <w:rPr>
          <w:rFonts w:ascii="Arial" w:hAnsi="Arial" w:cs="Arial"/>
          <w:noProof/>
          <w:sz w:val="20"/>
          <w:szCs w:val="24"/>
        </w:rPr>
        <w:tab/>
        <w:t>S. Y. Leong, S. R. M. Kutty, M. J. K. Bashir, and Q. Li, “A Circular Economy Framework based on Organic Wastes Upcycling for Biodiesel Production from Hermetia illucens,” no. February 2021, pp. 223–234, doi: 10.4186/ej.2021.25.2.223.</w:t>
      </w:r>
    </w:p>
    <w:p w14:paraId="4509E62D"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[23]</w:t>
      </w:r>
      <w:r w:rsidRPr="00253AC2">
        <w:rPr>
          <w:rFonts w:ascii="Arial" w:hAnsi="Arial" w:cs="Arial"/>
          <w:noProof/>
          <w:sz w:val="20"/>
          <w:szCs w:val="24"/>
        </w:rPr>
        <w:tab/>
        <w:t xml:space="preserve">S. Jung </w:t>
      </w:r>
      <w:r w:rsidRPr="00253AC2">
        <w:rPr>
          <w:rFonts w:ascii="Arial" w:hAnsi="Arial" w:cs="Arial"/>
          <w:i/>
          <w:iCs/>
          <w:noProof/>
          <w:sz w:val="20"/>
          <w:szCs w:val="24"/>
        </w:rPr>
        <w:t>et al.</w:t>
      </w:r>
      <w:r w:rsidRPr="00253AC2">
        <w:rPr>
          <w:rFonts w:ascii="Arial" w:hAnsi="Arial" w:cs="Arial"/>
          <w:noProof/>
          <w:sz w:val="20"/>
          <w:szCs w:val="24"/>
        </w:rPr>
        <w:t xml:space="preserve">, “Biodiesel production from black soldier fly larvae derived from food waste by non-catalytic transesterification,” </w:t>
      </w:r>
      <w:r w:rsidRPr="00253AC2">
        <w:rPr>
          <w:rFonts w:ascii="Arial" w:hAnsi="Arial" w:cs="Arial"/>
          <w:i/>
          <w:iCs/>
          <w:noProof/>
          <w:sz w:val="20"/>
          <w:szCs w:val="24"/>
        </w:rPr>
        <w:t>Energy</w:t>
      </w:r>
      <w:r w:rsidRPr="00253AC2">
        <w:rPr>
          <w:rFonts w:ascii="Arial" w:hAnsi="Arial" w:cs="Arial"/>
          <w:noProof/>
          <w:sz w:val="20"/>
          <w:szCs w:val="24"/>
        </w:rPr>
        <w:t>, vol. 238, p. 121700, 2022, doi: https://doi.org/10.1016/j.energy.2021.121700.</w:t>
      </w:r>
    </w:p>
    <w:p w14:paraId="27D02AFC"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[24]</w:t>
      </w:r>
      <w:r w:rsidRPr="00253AC2">
        <w:rPr>
          <w:rFonts w:ascii="Arial" w:hAnsi="Arial" w:cs="Arial"/>
          <w:noProof/>
          <w:sz w:val="20"/>
          <w:szCs w:val="24"/>
        </w:rPr>
        <w:tab/>
        <w:t xml:space="preserve">C. Wang </w:t>
      </w:r>
      <w:r w:rsidRPr="00253AC2">
        <w:rPr>
          <w:rFonts w:ascii="Arial" w:hAnsi="Arial" w:cs="Arial"/>
          <w:i/>
          <w:iCs/>
          <w:noProof/>
          <w:sz w:val="20"/>
          <w:szCs w:val="24"/>
        </w:rPr>
        <w:t>et al.</w:t>
      </w:r>
      <w:r w:rsidRPr="00253AC2">
        <w:rPr>
          <w:rFonts w:ascii="Arial" w:hAnsi="Arial" w:cs="Arial"/>
          <w:noProof/>
          <w:sz w:val="20"/>
          <w:szCs w:val="24"/>
        </w:rPr>
        <w:t xml:space="preserve">, “Exploring the potential of lipids from black soldier fl y : New paradigm for biodiesel production ( I ),” </w:t>
      </w:r>
      <w:r w:rsidRPr="00253AC2">
        <w:rPr>
          <w:rFonts w:ascii="Arial" w:hAnsi="Arial" w:cs="Arial"/>
          <w:i/>
          <w:iCs/>
          <w:noProof/>
          <w:sz w:val="20"/>
          <w:szCs w:val="24"/>
        </w:rPr>
        <w:t>Renew. Energy</w:t>
      </w:r>
      <w:r w:rsidRPr="00253AC2">
        <w:rPr>
          <w:rFonts w:ascii="Arial" w:hAnsi="Arial" w:cs="Arial"/>
          <w:noProof/>
          <w:sz w:val="20"/>
          <w:szCs w:val="24"/>
        </w:rPr>
        <w:t>, vol. 111, pp. 749–756, 2017, doi: 10.1016/j.renene.2017.04.063.</w:t>
      </w:r>
    </w:p>
    <w:p w14:paraId="780DC8D4"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[25]</w:t>
      </w:r>
      <w:r w:rsidRPr="00253AC2">
        <w:rPr>
          <w:rFonts w:ascii="Arial" w:hAnsi="Arial" w:cs="Arial"/>
          <w:noProof/>
          <w:sz w:val="20"/>
          <w:szCs w:val="24"/>
        </w:rPr>
        <w:tab/>
        <w:t xml:space="preserve">M. Cea </w:t>
      </w:r>
      <w:r w:rsidRPr="00253AC2">
        <w:rPr>
          <w:rFonts w:ascii="Arial" w:hAnsi="Arial" w:cs="Arial"/>
          <w:i/>
          <w:iCs/>
          <w:noProof/>
          <w:sz w:val="20"/>
          <w:szCs w:val="24"/>
        </w:rPr>
        <w:t>et al.</w:t>
      </w:r>
      <w:r w:rsidRPr="00253AC2">
        <w:rPr>
          <w:rFonts w:ascii="Arial" w:hAnsi="Arial" w:cs="Arial"/>
          <w:noProof/>
          <w:sz w:val="20"/>
          <w:szCs w:val="24"/>
        </w:rPr>
        <w:t xml:space="preserve">, “Screening transesterifiable lipid accumulating bacteria from sewage sludge for  biodiesel production.,” </w:t>
      </w:r>
      <w:r w:rsidRPr="00253AC2">
        <w:rPr>
          <w:rFonts w:ascii="Arial" w:hAnsi="Arial" w:cs="Arial"/>
          <w:i/>
          <w:iCs/>
          <w:noProof/>
          <w:sz w:val="20"/>
          <w:szCs w:val="24"/>
        </w:rPr>
        <w:t>Biotechnol. reports (Amsterdam, Netherlands)</w:t>
      </w:r>
      <w:r w:rsidRPr="00253AC2">
        <w:rPr>
          <w:rFonts w:ascii="Arial" w:hAnsi="Arial" w:cs="Arial"/>
          <w:noProof/>
          <w:sz w:val="20"/>
          <w:szCs w:val="24"/>
        </w:rPr>
        <w:t>, vol. 8, pp. 116–123, Dec. 2015, doi: 10.1016/j.btre.2015.10.008.</w:t>
      </w:r>
    </w:p>
    <w:p w14:paraId="43DE7190"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[26]</w:t>
      </w:r>
      <w:r w:rsidRPr="00253AC2">
        <w:rPr>
          <w:rFonts w:ascii="Arial" w:hAnsi="Arial" w:cs="Arial"/>
          <w:noProof/>
          <w:sz w:val="20"/>
          <w:szCs w:val="24"/>
        </w:rPr>
        <w:tab/>
        <w:t xml:space="preserve">D. Mangindaan, E. R. Kaburuan, and B. Meindrawan, “Black Soldier Fly Larvae (Hermetia illucens) for Biodiesel and/or Animal Feed as a Solution for Waste-Food-Energy Nexus: Bibliometric Analysis,” </w:t>
      </w:r>
      <w:r w:rsidRPr="00253AC2">
        <w:rPr>
          <w:rFonts w:ascii="Arial" w:hAnsi="Arial" w:cs="Arial"/>
          <w:i/>
          <w:iCs/>
          <w:noProof/>
          <w:sz w:val="20"/>
          <w:szCs w:val="24"/>
        </w:rPr>
        <w:t>Sustain.</w:t>
      </w:r>
      <w:r w:rsidRPr="00253AC2">
        <w:rPr>
          <w:rFonts w:ascii="Arial" w:hAnsi="Arial" w:cs="Arial"/>
          <w:noProof/>
          <w:sz w:val="20"/>
          <w:szCs w:val="24"/>
        </w:rPr>
        <w:t>, vol. 14, no. 21, 2022, doi: 10.3390/su142113993.</w:t>
      </w:r>
    </w:p>
    <w:p w14:paraId="47B7879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[27]</w:t>
      </w:r>
      <w:r w:rsidRPr="00253AC2">
        <w:rPr>
          <w:rFonts w:ascii="Arial" w:hAnsi="Arial" w:cs="Arial"/>
          <w:noProof/>
          <w:sz w:val="20"/>
          <w:szCs w:val="24"/>
        </w:rPr>
        <w:tab/>
        <w:t xml:space="preserve">W. Feng </w:t>
      </w:r>
      <w:r w:rsidRPr="00253AC2">
        <w:rPr>
          <w:rFonts w:ascii="Arial" w:hAnsi="Arial" w:cs="Arial"/>
          <w:i/>
          <w:iCs/>
          <w:noProof/>
          <w:sz w:val="20"/>
          <w:szCs w:val="24"/>
        </w:rPr>
        <w:t>et al.</w:t>
      </w:r>
      <w:r w:rsidRPr="00253AC2">
        <w:rPr>
          <w:rFonts w:ascii="Arial" w:hAnsi="Arial" w:cs="Arial"/>
          <w:noProof/>
          <w:sz w:val="20"/>
          <w:szCs w:val="24"/>
        </w:rPr>
        <w:t xml:space="preserve">, “Exploring the potential of lipids from black soldier ﬂy: New paradigm for biodiesel production (II)—Extraction kinetics and thermodynamic,” </w:t>
      </w:r>
      <w:r w:rsidRPr="00253AC2">
        <w:rPr>
          <w:rFonts w:ascii="Arial" w:hAnsi="Arial" w:cs="Arial"/>
          <w:i/>
          <w:iCs/>
          <w:noProof/>
          <w:sz w:val="20"/>
          <w:szCs w:val="24"/>
        </w:rPr>
        <w:t>Renew. Energy</w:t>
      </w:r>
      <w:r w:rsidRPr="00253AC2">
        <w:rPr>
          <w:rFonts w:ascii="Arial" w:hAnsi="Arial" w:cs="Arial"/>
          <w:noProof/>
          <w:sz w:val="20"/>
          <w:szCs w:val="24"/>
        </w:rPr>
        <w:t>, vol. 119, pp. 12–18, 2018, doi: https://doi.org/10.1016/j.renene.2017.11.076.</w:t>
      </w:r>
    </w:p>
    <w:p w14:paraId="66D9835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[28]</w:t>
      </w:r>
      <w:r w:rsidRPr="00253AC2">
        <w:rPr>
          <w:rFonts w:ascii="Arial" w:hAnsi="Arial" w:cs="Arial"/>
          <w:noProof/>
          <w:sz w:val="20"/>
          <w:szCs w:val="24"/>
        </w:rPr>
        <w:tab/>
        <w:t xml:space="preserve">J. Wang </w:t>
      </w:r>
      <w:r w:rsidRPr="00253AC2">
        <w:rPr>
          <w:rFonts w:ascii="Arial" w:hAnsi="Arial" w:cs="Arial"/>
          <w:i/>
          <w:iCs/>
          <w:noProof/>
          <w:sz w:val="20"/>
          <w:szCs w:val="24"/>
        </w:rPr>
        <w:t>et al.</w:t>
      </w:r>
      <w:r w:rsidRPr="00253AC2">
        <w:rPr>
          <w:rFonts w:ascii="Arial" w:hAnsi="Arial" w:cs="Arial"/>
          <w:noProof/>
          <w:sz w:val="20"/>
          <w:szCs w:val="24"/>
        </w:rPr>
        <w:t xml:space="preserve">, “Benefit analysis of multi-approach biomass energy utilization toward carbon neutrality Bene fi t analysis of multi-approach biomass energy utilization toward carbon neutrality,” </w:t>
      </w:r>
      <w:r w:rsidRPr="00253AC2">
        <w:rPr>
          <w:rFonts w:ascii="Arial" w:hAnsi="Arial" w:cs="Arial"/>
          <w:i/>
          <w:iCs/>
          <w:noProof/>
          <w:sz w:val="20"/>
          <w:szCs w:val="24"/>
        </w:rPr>
        <w:t>Innov.</w:t>
      </w:r>
      <w:r w:rsidRPr="00253AC2">
        <w:rPr>
          <w:rFonts w:ascii="Arial" w:hAnsi="Arial" w:cs="Arial"/>
          <w:noProof/>
          <w:sz w:val="20"/>
          <w:szCs w:val="24"/>
        </w:rPr>
        <w:t>, vol. 4, no. 3, p. 100423, 2023, doi: 10.1016/j.xinn.2023.100423.</w:t>
      </w:r>
    </w:p>
    <w:p w14:paraId="4191B35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[29]</w:t>
      </w:r>
      <w:r w:rsidRPr="00253AC2">
        <w:rPr>
          <w:rFonts w:ascii="Arial" w:hAnsi="Arial" w:cs="Arial"/>
          <w:noProof/>
          <w:sz w:val="20"/>
          <w:szCs w:val="24"/>
        </w:rPr>
        <w:tab/>
        <w:t>D. Rimantho, D. Ariyanti, and R. Maryana, “Decision Making : Applications in Management and Engineering Environmentally Friendly Strategies for Recycling Agricultural Waste to Produce Renewable Energy : A Case Study of Durian Fruit,” vol. 7, no. 2, pp. 294–312, 2024.</w:t>
      </w:r>
    </w:p>
    <w:p w14:paraId="0D9A1D06"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[30]</w:t>
      </w:r>
      <w:r w:rsidRPr="00253AC2">
        <w:rPr>
          <w:rFonts w:ascii="Arial" w:hAnsi="Arial" w:cs="Arial"/>
          <w:noProof/>
          <w:sz w:val="20"/>
          <w:szCs w:val="24"/>
        </w:rPr>
        <w:tab/>
        <w:t xml:space="preserve">Zhen Hua; Man Lu, “A SWOT Analysis of Development of Biomass Energy in Heilongjiang Province in China *,” in </w:t>
      </w:r>
      <w:r w:rsidRPr="00253AC2">
        <w:rPr>
          <w:rFonts w:ascii="Arial" w:hAnsi="Arial" w:cs="Arial"/>
          <w:i/>
          <w:iCs/>
          <w:noProof/>
          <w:sz w:val="20"/>
          <w:szCs w:val="24"/>
        </w:rPr>
        <w:t>Advances in Economics, Business and Management Research, volume 71 4th International Conference on Economics, Management, Law and Education (EMLE 2018) A</w:t>
      </w:r>
      <w:r w:rsidRPr="00253AC2">
        <w:rPr>
          <w:rFonts w:ascii="Arial" w:hAnsi="Arial" w:cs="Arial"/>
          <w:noProof/>
          <w:sz w:val="20"/>
          <w:szCs w:val="24"/>
        </w:rPr>
        <w:t>, 2018, pp. 329–332.</w:t>
      </w:r>
    </w:p>
    <w:p w14:paraId="6C5831C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[31]</w:t>
      </w:r>
      <w:r w:rsidRPr="00253AC2">
        <w:rPr>
          <w:rFonts w:ascii="Arial" w:hAnsi="Arial" w:cs="Arial"/>
          <w:noProof/>
          <w:sz w:val="20"/>
          <w:szCs w:val="24"/>
        </w:rPr>
        <w:tab/>
        <w:t xml:space="preserve">M. Mukamwi, T. Somorin, R. Soloha, E. Dace, and M. Mukamwi, “Databases for biomass and waste biorefinery – a mini-review and SWOT analysis Databases for biomass and waste biorefinery – a mini-review and SWOT analysis,” </w:t>
      </w:r>
      <w:r w:rsidRPr="00253AC2">
        <w:rPr>
          <w:rFonts w:ascii="Arial" w:hAnsi="Arial" w:cs="Arial"/>
          <w:i/>
          <w:iCs/>
          <w:noProof/>
          <w:sz w:val="20"/>
          <w:szCs w:val="24"/>
        </w:rPr>
        <w:t>Bioengineered</w:t>
      </w:r>
      <w:r w:rsidRPr="00253AC2">
        <w:rPr>
          <w:rFonts w:ascii="Arial" w:hAnsi="Arial" w:cs="Arial"/>
          <w:noProof/>
          <w:sz w:val="20"/>
          <w:szCs w:val="24"/>
        </w:rPr>
        <w:t>, vol. 14, no. 1, 2023, doi: 10.1080/21655979.2023.2286722.</w:t>
      </w:r>
    </w:p>
    <w:p w14:paraId="0E7AFE95"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[32]</w:t>
      </w:r>
      <w:r w:rsidRPr="00253AC2">
        <w:rPr>
          <w:rFonts w:ascii="Arial" w:hAnsi="Arial" w:cs="Arial"/>
          <w:noProof/>
          <w:sz w:val="20"/>
          <w:szCs w:val="24"/>
        </w:rPr>
        <w:tab/>
        <w:t>S. E. Hosseini, “Transition away from fossil fuels toward renewables : lessons from Russia-Ukraine crisis,” no. May, pp. 1–5, 2022, doi: 10.55670/fpll.fuen.1.1.8.</w:t>
      </w:r>
    </w:p>
    <w:p w14:paraId="1F8558B2"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[33]</w:t>
      </w:r>
      <w:r w:rsidRPr="00253AC2">
        <w:rPr>
          <w:rFonts w:ascii="Arial" w:hAnsi="Arial" w:cs="Arial"/>
          <w:noProof/>
          <w:sz w:val="20"/>
          <w:szCs w:val="24"/>
        </w:rPr>
        <w:tab/>
        <w:t>M. Razeghi, A. Hajinezhad, A. Naseri, Y. Noorollahi, and S. Farhan, “An overview of renewable energy technologies for the simultaneous production of high-performance power and heat,” pp. 1–11, 2023, doi: 10.55670/fpll.fuen.2.2.1.</w:t>
      </w:r>
    </w:p>
    <w:p w14:paraId="59A871D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[34]</w:t>
      </w:r>
      <w:r w:rsidRPr="00253AC2">
        <w:rPr>
          <w:rFonts w:ascii="Arial" w:hAnsi="Arial" w:cs="Arial"/>
          <w:noProof/>
          <w:sz w:val="20"/>
          <w:szCs w:val="24"/>
        </w:rPr>
        <w:tab/>
        <w:t>IEA, “Global Energy Review 2019,” 2019.</w:t>
      </w:r>
    </w:p>
    <w:p w14:paraId="2E242265"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[35]</w:t>
      </w:r>
      <w:r w:rsidRPr="00253AC2">
        <w:rPr>
          <w:rFonts w:ascii="Arial" w:hAnsi="Arial" w:cs="Arial"/>
          <w:noProof/>
          <w:sz w:val="20"/>
          <w:szCs w:val="24"/>
        </w:rPr>
        <w:tab/>
        <w:t xml:space="preserve">R. Akpahou and F. Odoi-yorke, “A multicriteria decision-making approach for </w:t>
      </w:r>
      <w:r w:rsidRPr="00253AC2">
        <w:rPr>
          <w:rFonts w:ascii="Arial" w:hAnsi="Arial" w:cs="Arial"/>
          <w:noProof/>
          <w:sz w:val="20"/>
          <w:szCs w:val="24"/>
        </w:rPr>
        <w:lastRenderedPageBreak/>
        <w:t xml:space="preserve">prioritizing renewable energy resources for sustainable electricity generation in Benin A multicriteria decision-making approach for prioritizing renewable energy resources for sustainable electricity generation in Benin,” </w:t>
      </w:r>
      <w:r w:rsidRPr="00253AC2">
        <w:rPr>
          <w:rFonts w:ascii="Arial" w:hAnsi="Arial" w:cs="Arial"/>
          <w:i/>
          <w:iCs/>
          <w:noProof/>
          <w:sz w:val="20"/>
          <w:szCs w:val="24"/>
        </w:rPr>
        <w:t>Cogent Eng.</w:t>
      </w:r>
      <w:r w:rsidRPr="00253AC2">
        <w:rPr>
          <w:rFonts w:ascii="Arial" w:hAnsi="Arial" w:cs="Arial"/>
          <w:noProof/>
          <w:sz w:val="20"/>
          <w:szCs w:val="24"/>
        </w:rPr>
        <w:t>, vol. 10, no. 1, 2023, doi: 10.1080/23311916.2023.2204553.</w:t>
      </w:r>
    </w:p>
    <w:p w14:paraId="3B4835A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[36]</w:t>
      </w:r>
      <w:r w:rsidRPr="00253AC2">
        <w:rPr>
          <w:rFonts w:ascii="Arial" w:hAnsi="Arial" w:cs="Arial"/>
          <w:noProof/>
          <w:sz w:val="20"/>
          <w:szCs w:val="24"/>
        </w:rPr>
        <w:tab/>
        <w:t xml:space="preserve">M. Yazdani, A. E. Torkayesh, E. D. R. Santibanez-Gonzalez, and S. K. Otaghsara, “Evaluation of renewable energy resources using integrated Shannon Entropy—EDAS model,” </w:t>
      </w:r>
      <w:r w:rsidRPr="00253AC2">
        <w:rPr>
          <w:rFonts w:ascii="Arial" w:hAnsi="Arial" w:cs="Arial"/>
          <w:i/>
          <w:iCs/>
          <w:noProof/>
          <w:sz w:val="20"/>
          <w:szCs w:val="24"/>
        </w:rPr>
        <w:t>Sustain. Oper. Comput.</w:t>
      </w:r>
      <w:r w:rsidRPr="00253AC2">
        <w:rPr>
          <w:rFonts w:ascii="Arial" w:hAnsi="Arial" w:cs="Arial"/>
          <w:noProof/>
          <w:sz w:val="20"/>
          <w:szCs w:val="24"/>
        </w:rPr>
        <w:t>, vol. 1, pp. 35–42, 2020, doi: https://doi.org/10.1016/j.susoc.2020.12.002.</w:t>
      </w:r>
    </w:p>
    <w:p w14:paraId="5C3E89D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[37]</w:t>
      </w:r>
      <w:r w:rsidRPr="00253AC2">
        <w:rPr>
          <w:rFonts w:ascii="Arial" w:hAnsi="Arial" w:cs="Arial"/>
          <w:noProof/>
          <w:sz w:val="20"/>
          <w:szCs w:val="24"/>
        </w:rPr>
        <w:tab/>
        <w:t xml:space="preserve">G. Büyüközkan and S. Güleryüz, “Evaluation of Renewable Energy Resources in Turkey using an integrated MCDM approach with linguistic interval fuzzy preference relations,” </w:t>
      </w:r>
      <w:r w:rsidRPr="00253AC2">
        <w:rPr>
          <w:rFonts w:ascii="Arial" w:hAnsi="Arial" w:cs="Arial"/>
          <w:i/>
          <w:iCs/>
          <w:noProof/>
          <w:sz w:val="20"/>
          <w:szCs w:val="24"/>
        </w:rPr>
        <w:t>Energy</w:t>
      </w:r>
      <w:r w:rsidRPr="00253AC2">
        <w:rPr>
          <w:rFonts w:ascii="Arial" w:hAnsi="Arial" w:cs="Arial"/>
          <w:noProof/>
          <w:sz w:val="20"/>
          <w:szCs w:val="24"/>
        </w:rPr>
        <w:t>, vol. 123, pp. 149–163, 2017, doi: https://doi.org/10.1016/j.energy.2017.01.137.</w:t>
      </w:r>
    </w:p>
    <w:p w14:paraId="663B4FA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[38]</w:t>
      </w:r>
      <w:r w:rsidRPr="00253AC2">
        <w:rPr>
          <w:rFonts w:ascii="Arial" w:hAnsi="Arial" w:cs="Arial"/>
          <w:noProof/>
          <w:sz w:val="20"/>
          <w:szCs w:val="24"/>
        </w:rPr>
        <w:tab/>
        <w:t>T. T. Liu, B. G. Mcconkey, Z. Y. Ma, Z. G. Liu, X. Li, and L. L. Cheng, “Strengths , Weaknessness , Opportunities and Threats Analysis of Bioenergy Production on Marginal Land,” vol. 5, pp. 2378–2386, 2011, doi: 10.1016/j.egypro.2011.03.409.</w:t>
      </w:r>
    </w:p>
    <w:p w14:paraId="0C6BA33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[39]</w:t>
      </w:r>
      <w:r w:rsidRPr="00253AC2">
        <w:rPr>
          <w:rFonts w:ascii="Arial" w:hAnsi="Arial" w:cs="Arial"/>
          <w:noProof/>
          <w:sz w:val="20"/>
          <w:szCs w:val="24"/>
        </w:rPr>
        <w:tab/>
        <w:t xml:space="preserve">R. K. F. M.-S. M. H. M. S. N. H. F. M. N. M. M. Z. and J. A. Ardila-Rey, “RETRACTED: Paving towards Strategic Investment Decision: A SWOT Analysis of Renewable Energy in Bangladesh,” </w:t>
      </w:r>
      <w:r w:rsidRPr="00253AC2">
        <w:rPr>
          <w:rFonts w:ascii="Arial" w:hAnsi="Arial" w:cs="Arial"/>
          <w:i/>
          <w:iCs/>
          <w:noProof/>
          <w:sz w:val="20"/>
          <w:szCs w:val="24"/>
        </w:rPr>
        <w:t>Sustainability</w:t>
      </w:r>
      <w:r w:rsidRPr="00253AC2">
        <w:rPr>
          <w:rFonts w:ascii="Arial" w:hAnsi="Arial" w:cs="Arial"/>
          <w:noProof/>
          <w:sz w:val="20"/>
          <w:szCs w:val="24"/>
        </w:rPr>
        <w:t>, vol. 13, no. June, pp. 1–31, 2021, doi: 10.3390/su13126620.</w:t>
      </w:r>
    </w:p>
    <w:p w14:paraId="186258BE"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[40]</w:t>
      </w:r>
      <w:r w:rsidRPr="00253AC2">
        <w:rPr>
          <w:rFonts w:ascii="Arial" w:hAnsi="Arial" w:cs="Arial"/>
          <w:noProof/>
          <w:sz w:val="20"/>
          <w:szCs w:val="24"/>
        </w:rPr>
        <w:tab/>
        <w:t xml:space="preserve">D. Kumar, S. Dutt, A. Kumar, and B. Kaundal, “Heliyon Bioethanol production from potatoes in India : A SWOT analysis,” </w:t>
      </w:r>
      <w:r w:rsidRPr="00253AC2">
        <w:rPr>
          <w:rFonts w:ascii="Arial" w:hAnsi="Arial" w:cs="Arial"/>
          <w:i/>
          <w:iCs/>
          <w:noProof/>
          <w:sz w:val="20"/>
          <w:szCs w:val="24"/>
        </w:rPr>
        <w:t>Heliyon</w:t>
      </w:r>
      <w:r w:rsidRPr="00253AC2">
        <w:rPr>
          <w:rFonts w:ascii="Arial" w:hAnsi="Arial" w:cs="Arial"/>
          <w:noProof/>
          <w:sz w:val="20"/>
          <w:szCs w:val="24"/>
        </w:rPr>
        <w:t>, vol. 10, no. 23, p. e40677, 2024, doi: 10.1016/j.heliyon.2024.e40677.</w:t>
      </w:r>
    </w:p>
    <w:p w14:paraId="0FF334FD"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[41]</w:t>
      </w:r>
      <w:r w:rsidRPr="00253AC2">
        <w:rPr>
          <w:rFonts w:ascii="Arial" w:hAnsi="Arial" w:cs="Arial"/>
          <w:noProof/>
          <w:sz w:val="20"/>
          <w:szCs w:val="24"/>
        </w:rPr>
        <w:tab/>
        <w:t>M. Hernandez-escalante and C. Martin-del-campo, “A biomass waste evaluation for power energy generation in Mexico based on a SWOT &amp; Fuzzy-logic analysis,” vol. 35, pp. 5–26, 2024.</w:t>
      </w:r>
    </w:p>
    <w:p w14:paraId="004477B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[42]</w:t>
      </w:r>
      <w:r w:rsidRPr="00253AC2">
        <w:rPr>
          <w:rFonts w:ascii="Arial" w:hAnsi="Arial" w:cs="Arial"/>
          <w:noProof/>
          <w:sz w:val="20"/>
          <w:szCs w:val="24"/>
        </w:rPr>
        <w:tab/>
        <w:t xml:space="preserve">B. I. M. Skrzatek and W. K. M. Cichosz, </w:t>
      </w:r>
      <w:r w:rsidRPr="00253AC2">
        <w:rPr>
          <w:rFonts w:ascii="Arial" w:hAnsi="Arial" w:cs="Arial"/>
          <w:i/>
          <w:iCs/>
          <w:noProof/>
          <w:sz w:val="20"/>
          <w:szCs w:val="24"/>
        </w:rPr>
        <w:t>SWOT analysis of renewable energy sector in Mazowieckie Voivodeship ( Poland ): current progress , prospects and policy implications</w:t>
      </w:r>
      <w:r w:rsidRPr="00253AC2">
        <w:rPr>
          <w:rFonts w:ascii="Arial" w:hAnsi="Arial" w:cs="Arial"/>
          <w:noProof/>
          <w:sz w:val="20"/>
          <w:szCs w:val="24"/>
        </w:rPr>
        <w:t>, vol. 24, no. 1. Springer Netherlands, 2022. doi: 10.1007/s10668-021-01490-1.</w:t>
      </w:r>
    </w:p>
    <w:p w14:paraId="5DB1B551"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[43]</w:t>
      </w:r>
      <w:r w:rsidRPr="00253AC2">
        <w:rPr>
          <w:rFonts w:ascii="Arial" w:hAnsi="Arial" w:cs="Arial"/>
          <w:noProof/>
          <w:sz w:val="20"/>
          <w:szCs w:val="24"/>
        </w:rPr>
        <w:tab/>
        <w:t xml:space="preserve">G. Pagot and N. Andrighetto, “Fuel for collective action: A SWOT analysis to identify social barriers and  drivers for a local woody biomass supply chain in an Italian alpine valley.,” </w:t>
      </w:r>
      <w:r w:rsidRPr="00253AC2">
        <w:rPr>
          <w:rFonts w:ascii="Arial" w:hAnsi="Arial" w:cs="Arial"/>
          <w:i/>
          <w:iCs/>
          <w:noProof/>
          <w:sz w:val="20"/>
          <w:szCs w:val="24"/>
        </w:rPr>
        <w:t>Heliyon</w:t>
      </w:r>
      <w:r w:rsidRPr="00253AC2">
        <w:rPr>
          <w:rFonts w:ascii="Arial" w:hAnsi="Arial" w:cs="Arial"/>
          <w:noProof/>
          <w:sz w:val="20"/>
          <w:szCs w:val="24"/>
        </w:rPr>
        <w:t xml:space="preserve">, vol. 10, no. 19, p. e38170, </w:t>
      </w:r>
      <w:r w:rsidRPr="00253AC2">
        <w:rPr>
          <w:rFonts w:ascii="Arial" w:hAnsi="Arial" w:cs="Arial"/>
          <w:noProof/>
          <w:sz w:val="20"/>
          <w:szCs w:val="24"/>
        </w:rPr>
        <w:t>Oct. 2024, doi: 10.1016/j.heliyon.2024.e38170.</w:t>
      </w:r>
    </w:p>
    <w:p w14:paraId="0585DEB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[44]</w:t>
      </w:r>
      <w:r w:rsidRPr="00253AC2">
        <w:rPr>
          <w:rFonts w:ascii="Arial" w:hAnsi="Arial" w:cs="Arial"/>
          <w:noProof/>
          <w:sz w:val="20"/>
          <w:szCs w:val="24"/>
        </w:rPr>
        <w:tab/>
        <w:t>J. Galchynska, I. Trade, M. Orlikowskyi, and M. Maciejczak, “Development of Bioenergy from Biomass in Ukraine,” vol. 15, no. 4, pp. 56–61, 2015.</w:t>
      </w:r>
    </w:p>
    <w:p w14:paraId="7BBDBEC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[45]</w:t>
      </w:r>
      <w:r w:rsidRPr="00253AC2">
        <w:rPr>
          <w:rFonts w:ascii="Arial" w:hAnsi="Arial" w:cs="Arial"/>
          <w:noProof/>
          <w:sz w:val="20"/>
          <w:szCs w:val="24"/>
        </w:rPr>
        <w:tab/>
        <w:t xml:space="preserve">K. Siegfried </w:t>
      </w:r>
      <w:r w:rsidRPr="00253AC2">
        <w:rPr>
          <w:rFonts w:ascii="Arial" w:hAnsi="Arial" w:cs="Arial"/>
          <w:i/>
          <w:iCs/>
          <w:noProof/>
          <w:sz w:val="20"/>
          <w:szCs w:val="24"/>
        </w:rPr>
        <w:t>et al.</w:t>
      </w:r>
      <w:r w:rsidRPr="00253AC2">
        <w:rPr>
          <w:rFonts w:ascii="Arial" w:hAnsi="Arial" w:cs="Arial"/>
          <w:noProof/>
          <w:sz w:val="20"/>
          <w:szCs w:val="24"/>
        </w:rPr>
        <w:t xml:space="preserve">, “Plating the hot potato : how to make intermediate bioenergy carriers an accelerator to a climate </w:t>
      </w:r>
      <w:r w:rsidRPr="00253AC2">
        <w:rPr>
          <w:rFonts w:ascii="Cambria Math" w:hAnsi="Cambria Math" w:cs="Cambria Math"/>
          <w:noProof/>
          <w:sz w:val="20"/>
          <w:szCs w:val="24"/>
        </w:rPr>
        <w:t>‑</w:t>
      </w:r>
      <w:r w:rsidRPr="00253AC2">
        <w:rPr>
          <w:rFonts w:ascii="Arial" w:hAnsi="Arial" w:cs="Arial"/>
          <w:noProof/>
          <w:sz w:val="20"/>
          <w:szCs w:val="24"/>
        </w:rPr>
        <w:t xml:space="preserve"> neutral Europe,” </w:t>
      </w:r>
      <w:r w:rsidRPr="00253AC2">
        <w:rPr>
          <w:rFonts w:ascii="Arial" w:hAnsi="Arial" w:cs="Arial"/>
          <w:i/>
          <w:iCs/>
          <w:noProof/>
          <w:sz w:val="20"/>
          <w:szCs w:val="24"/>
        </w:rPr>
        <w:t>Energy. Sustain. Soc.</w:t>
      </w:r>
      <w:r w:rsidRPr="00253AC2">
        <w:rPr>
          <w:rFonts w:ascii="Arial" w:hAnsi="Arial" w:cs="Arial"/>
          <w:noProof/>
          <w:sz w:val="20"/>
          <w:szCs w:val="24"/>
        </w:rPr>
        <w:t>, pp. 1–16, 2023, doi: 10.1186/s13705-023-00416-1.</w:t>
      </w:r>
    </w:p>
    <w:p w14:paraId="394C261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[46]</w:t>
      </w:r>
      <w:r w:rsidRPr="00253AC2">
        <w:rPr>
          <w:rFonts w:ascii="Arial" w:hAnsi="Arial" w:cs="Arial"/>
          <w:noProof/>
          <w:sz w:val="20"/>
          <w:szCs w:val="24"/>
        </w:rPr>
        <w:tab/>
        <w:t>W. Aina, S. Wan, M. Wahab, and Y. Zeyu, “A Reality Check on the Large Scale of Solar Energy Technology via Integrated SWOT-PESTLE-AHP Analysis,” vol. 106, no. August 2023, pp. 511–516, 2025, doi: 10.3303/CET23106086.</w:t>
      </w:r>
    </w:p>
    <w:p w14:paraId="395E25E2"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[47]</w:t>
      </w:r>
      <w:r w:rsidRPr="00253AC2">
        <w:rPr>
          <w:rFonts w:ascii="Arial" w:hAnsi="Arial" w:cs="Arial"/>
          <w:noProof/>
          <w:sz w:val="20"/>
          <w:szCs w:val="24"/>
        </w:rPr>
        <w:tab/>
        <w:t xml:space="preserve">A. Shaikh </w:t>
      </w:r>
      <w:r w:rsidRPr="00253AC2">
        <w:rPr>
          <w:rFonts w:ascii="Arial" w:hAnsi="Arial" w:cs="Arial"/>
          <w:i/>
          <w:iCs/>
          <w:noProof/>
          <w:sz w:val="20"/>
          <w:szCs w:val="24"/>
        </w:rPr>
        <w:t>et al.</w:t>
      </w:r>
      <w:r w:rsidRPr="00253AC2">
        <w:rPr>
          <w:rFonts w:ascii="Arial" w:hAnsi="Arial" w:cs="Arial"/>
          <w:noProof/>
          <w:sz w:val="20"/>
          <w:szCs w:val="24"/>
        </w:rPr>
        <w:t>, “A SWOT Analysis for a Roadmap towards Sustainable Electric Power Generation,” vol. 2022, 2022, doi: 10.1155/2022/1743570.</w:t>
      </w:r>
    </w:p>
    <w:p w14:paraId="6BE02DA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[48]</w:t>
      </w:r>
      <w:r w:rsidRPr="00253AC2">
        <w:rPr>
          <w:rFonts w:ascii="Arial" w:hAnsi="Arial" w:cs="Arial"/>
          <w:noProof/>
          <w:sz w:val="20"/>
          <w:szCs w:val="24"/>
        </w:rPr>
        <w:tab/>
        <w:t>N. Kansongue, J. Njuguna, and S. Vertigans, “A PESTEL and SWOT impact analysis on renewable energy development in Togo”.</w:t>
      </w:r>
    </w:p>
    <w:p w14:paraId="12448F14"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[49]</w:t>
      </w:r>
      <w:r w:rsidRPr="00253AC2">
        <w:rPr>
          <w:rFonts w:ascii="Arial" w:hAnsi="Arial" w:cs="Arial"/>
          <w:noProof/>
          <w:sz w:val="20"/>
          <w:szCs w:val="24"/>
        </w:rPr>
        <w:tab/>
        <w:t>M. Kumar and C. Samuel, “Selection of Best Renewable Energy Source by Using VIKOR Method,” pp. 1–10, 2017, doi: 10.1007/s40866-017-0024-7.</w:t>
      </w:r>
    </w:p>
    <w:p w14:paraId="6B31AE4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[50]</w:t>
      </w:r>
      <w:r w:rsidRPr="00253AC2">
        <w:rPr>
          <w:rFonts w:ascii="Arial" w:hAnsi="Arial" w:cs="Arial"/>
          <w:noProof/>
          <w:sz w:val="20"/>
          <w:szCs w:val="24"/>
        </w:rPr>
        <w:tab/>
        <w:t xml:space="preserve">S. K. Raju </w:t>
      </w:r>
      <w:r w:rsidRPr="00253AC2">
        <w:rPr>
          <w:rFonts w:ascii="Arial" w:hAnsi="Arial" w:cs="Arial"/>
          <w:i/>
          <w:iCs/>
          <w:noProof/>
          <w:sz w:val="20"/>
          <w:szCs w:val="24"/>
        </w:rPr>
        <w:t>et al.</w:t>
      </w:r>
      <w:r w:rsidRPr="00253AC2">
        <w:rPr>
          <w:rFonts w:ascii="Arial" w:hAnsi="Arial" w:cs="Arial"/>
          <w:noProof/>
          <w:sz w:val="20"/>
          <w:szCs w:val="24"/>
        </w:rPr>
        <w:t>, “OPEN AHP VIKOR framework for selecting wind turbine materials with a focus on corrosion and efficiency,” pp. 1–22, 2024.</w:t>
      </w:r>
    </w:p>
    <w:p w14:paraId="6BF7ECF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[51]</w:t>
      </w:r>
      <w:r w:rsidRPr="00253AC2">
        <w:rPr>
          <w:rFonts w:ascii="Arial" w:hAnsi="Arial" w:cs="Arial"/>
          <w:noProof/>
          <w:sz w:val="20"/>
          <w:szCs w:val="24"/>
        </w:rPr>
        <w:tab/>
        <w:t>I. Siksnelyte-butkiene and E. K. Zavadskas, “the Assessment of Renewable Energy Technologies in a Household : A Review,” no. Mcdm, 2020.</w:t>
      </w:r>
    </w:p>
    <w:p w14:paraId="214A1C97" w14:textId="77777777" w:rsidR="00253AC2" w:rsidRPr="00953AE5"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lang w:val="fr-FR"/>
        </w:rPr>
      </w:pPr>
      <w:r w:rsidRPr="00253AC2">
        <w:rPr>
          <w:rFonts w:ascii="Arial" w:hAnsi="Arial" w:cs="Arial"/>
          <w:noProof/>
          <w:sz w:val="20"/>
          <w:szCs w:val="24"/>
        </w:rPr>
        <w:t>[52]</w:t>
      </w:r>
      <w:r w:rsidRPr="00253AC2">
        <w:rPr>
          <w:rFonts w:ascii="Arial" w:hAnsi="Arial" w:cs="Arial"/>
          <w:noProof/>
          <w:sz w:val="20"/>
          <w:szCs w:val="24"/>
        </w:rPr>
        <w:tab/>
        <w:t xml:space="preserve">S. Firouzi, M. S. Allahyari, M. Isazadeh, A. Nikkhah, and S. Van Haute, “Hybrid multi-criteria decision-making approach to select appropriate biomass resources for biofuel production,” </w:t>
      </w:r>
      <w:r w:rsidRPr="00253AC2">
        <w:rPr>
          <w:rFonts w:ascii="Arial" w:hAnsi="Arial" w:cs="Arial"/>
          <w:i/>
          <w:iCs/>
          <w:noProof/>
          <w:sz w:val="20"/>
          <w:szCs w:val="24"/>
        </w:rPr>
        <w:t xml:space="preserve">Sci. </w:t>
      </w:r>
      <w:r w:rsidRPr="00953AE5">
        <w:rPr>
          <w:rFonts w:ascii="Arial" w:hAnsi="Arial" w:cs="Arial"/>
          <w:i/>
          <w:iCs/>
          <w:noProof/>
          <w:sz w:val="20"/>
          <w:szCs w:val="24"/>
          <w:lang w:val="fr-FR"/>
        </w:rPr>
        <w:t>Total Environ.</w:t>
      </w:r>
      <w:r w:rsidRPr="00953AE5">
        <w:rPr>
          <w:rFonts w:ascii="Arial" w:hAnsi="Arial" w:cs="Arial"/>
          <w:noProof/>
          <w:sz w:val="20"/>
          <w:szCs w:val="24"/>
          <w:lang w:val="fr-FR"/>
        </w:rPr>
        <w:t>, vol. 770, p. 144449, 2021, doi: https://doi.org/10.1016/j.scitotenv.2020.144449.</w:t>
      </w:r>
    </w:p>
    <w:p w14:paraId="33379F81"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[53]</w:t>
      </w:r>
      <w:r w:rsidRPr="00253AC2">
        <w:rPr>
          <w:rFonts w:ascii="Arial" w:hAnsi="Arial" w:cs="Arial"/>
          <w:noProof/>
          <w:sz w:val="20"/>
          <w:szCs w:val="24"/>
        </w:rPr>
        <w:tab/>
        <w:t>M. Rezaei, “A Multi-Criteria Decision-Making Approach for Sustainable Energy Prioritization,” vol. 6, no. 1, pp. 1–19, 2022, doi: 10.22097/EEER.2021.292613.1207.</w:t>
      </w:r>
    </w:p>
    <w:p w14:paraId="77EED8C0"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[54]</w:t>
      </w:r>
      <w:r w:rsidRPr="00253AC2">
        <w:rPr>
          <w:rFonts w:ascii="Arial" w:hAnsi="Arial" w:cs="Arial"/>
          <w:noProof/>
          <w:sz w:val="20"/>
          <w:szCs w:val="24"/>
        </w:rPr>
        <w:tab/>
        <w:t xml:space="preserve">K. Calvin </w:t>
      </w:r>
      <w:r w:rsidRPr="00253AC2">
        <w:rPr>
          <w:rFonts w:ascii="Arial" w:hAnsi="Arial" w:cs="Arial"/>
          <w:i/>
          <w:iCs/>
          <w:noProof/>
          <w:sz w:val="20"/>
          <w:szCs w:val="24"/>
        </w:rPr>
        <w:t>et al.</w:t>
      </w:r>
      <w:r w:rsidRPr="00253AC2">
        <w:rPr>
          <w:rFonts w:ascii="Arial" w:hAnsi="Arial" w:cs="Arial"/>
          <w:noProof/>
          <w:sz w:val="20"/>
          <w:szCs w:val="24"/>
        </w:rPr>
        <w:t>, “Edinburgh Research Explorer Bioenergy for climate change mitigation Scale and sustainability Bioenergy for climate change mitigation : Scale and sustainability,” 2021, doi: 10.1111/gcbb.12863.</w:t>
      </w:r>
    </w:p>
    <w:p w14:paraId="20FE2321"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[55]</w:t>
      </w:r>
      <w:r w:rsidRPr="00253AC2">
        <w:rPr>
          <w:rFonts w:ascii="Arial" w:hAnsi="Arial" w:cs="Arial"/>
          <w:noProof/>
          <w:sz w:val="20"/>
          <w:szCs w:val="24"/>
        </w:rPr>
        <w:tab/>
        <w:t xml:space="preserve">E. C. Agbaraji, F. P. Nekede, and U. H. Udeani, “Renewable Energy as a Cost </w:t>
      </w:r>
      <w:r w:rsidRPr="00253AC2">
        <w:rPr>
          <w:rFonts w:ascii="Arial" w:hAnsi="Arial" w:cs="Arial"/>
          <w:noProof/>
          <w:sz w:val="20"/>
          <w:szCs w:val="24"/>
        </w:rPr>
        <w:lastRenderedPageBreak/>
        <w:t>Effective and Sustainable Power Source for Industry,” no. February, pp. 0–8, 2022.</w:t>
      </w:r>
    </w:p>
    <w:p w14:paraId="509679A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[56]</w:t>
      </w:r>
      <w:r w:rsidRPr="00253AC2">
        <w:rPr>
          <w:rFonts w:ascii="Arial" w:hAnsi="Arial" w:cs="Arial"/>
          <w:noProof/>
          <w:sz w:val="20"/>
          <w:szCs w:val="24"/>
        </w:rPr>
        <w:tab/>
        <w:t xml:space="preserve">W. L. Filho, H. Begum, R. Anholon, O. Quelhas, and I. Rampasso, “Discover Sustainability Addressing the challenges posed by energy poverty in Latin American countries,” </w:t>
      </w:r>
      <w:r w:rsidRPr="00253AC2">
        <w:rPr>
          <w:rFonts w:ascii="Arial" w:hAnsi="Arial" w:cs="Arial"/>
          <w:i/>
          <w:iCs/>
          <w:noProof/>
          <w:sz w:val="20"/>
          <w:szCs w:val="24"/>
        </w:rPr>
        <w:t>Discov. Sustain.</w:t>
      </w:r>
      <w:r w:rsidRPr="00253AC2">
        <w:rPr>
          <w:rFonts w:ascii="Arial" w:hAnsi="Arial" w:cs="Arial"/>
          <w:noProof/>
          <w:sz w:val="20"/>
          <w:szCs w:val="24"/>
        </w:rPr>
        <w:t>, 2024, doi: 10.1007/s43621-024-00426-9.</w:t>
      </w:r>
    </w:p>
    <w:p w14:paraId="37C7207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[57]</w:t>
      </w:r>
      <w:r w:rsidRPr="00253AC2">
        <w:rPr>
          <w:rFonts w:ascii="Arial" w:hAnsi="Arial" w:cs="Arial"/>
          <w:noProof/>
          <w:sz w:val="20"/>
          <w:szCs w:val="24"/>
        </w:rPr>
        <w:tab/>
        <w:t>A. Yohanes, M. N. Aliefiansyah, and R. Y. Parapat, “Review of Ecological Impacts and Future Developments of Biodiesel,” vol. 8, pp. 105–118, 2024.</w:t>
      </w:r>
    </w:p>
    <w:p w14:paraId="6D3552A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[58]</w:t>
      </w:r>
      <w:r w:rsidRPr="00253AC2">
        <w:rPr>
          <w:rFonts w:ascii="Arial" w:hAnsi="Arial" w:cs="Arial"/>
          <w:noProof/>
          <w:sz w:val="20"/>
          <w:szCs w:val="24"/>
        </w:rPr>
        <w:tab/>
        <w:t xml:space="preserve">E. Araby and R. El Araby, “Biofuel production : exploring renewable energy solutions for a greener future,” </w:t>
      </w:r>
      <w:r w:rsidRPr="00253AC2">
        <w:rPr>
          <w:rFonts w:ascii="Arial" w:hAnsi="Arial" w:cs="Arial"/>
          <w:i/>
          <w:iCs/>
          <w:noProof/>
          <w:sz w:val="20"/>
          <w:szCs w:val="24"/>
        </w:rPr>
        <w:t>Biotechnol. Biofuels Bioprod.</w:t>
      </w:r>
      <w:r w:rsidRPr="00253AC2">
        <w:rPr>
          <w:rFonts w:ascii="Arial" w:hAnsi="Arial" w:cs="Arial"/>
          <w:noProof/>
          <w:sz w:val="20"/>
          <w:szCs w:val="24"/>
        </w:rPr>
        <w:t>, 2024, doi: 10.1186/s13068-024-02571-9.</w:t>
      </w:r>
    </w:p>
    <w:p w14:paraId="31B13101"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[59]</w:t>
      </w:r>
      <w:r w:rsidRPr="00253AC2">
        <w:rPr>
          <w:rFonts w:ascii="Arial" w:hAnsi="Arial" w:cs="Arial"/>
          <w:noProof/>
          <w:sz w:val="20"/>
          <w:szCs w:val="24"/>
        </w:rPr>
        <w:tab/>
        <w:t>B. A. Giacometti and H. Aalto, “Social And Economic Resilience,” Sweden, 2019. doi: doi.org/10.30689/R2019:11.1403-2503.</w:t>
      </w:r>
    </w:p>
    <w:p w14:paraId="75B1C6E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[60]</w:t>
      </w:r>
      <w:r w:rsidRPr="00253AC2">
        <w:rPr>
          <w:rFonts w:ascii="Arial" w:hAnsi="Arial" w:cs="Arial"/>
          <w:noProof/>
          <w:sz w:val="20"/>
          <w:szCs w:val="24"/>
        </w:rPr>
        <w:tab/>
        <w:t>S. K. Chauhan and A. Shukla, “Environmental Impacts of Production of Biodiesel and Its Use in Transportation Sector,” no. April, 2014, doi: 10.5772/20923.</w:t>
      </w:r>
    </w:p>
    <w:p w14:paraId="4028A06D"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[61]</w:t>
      </w:r>
      <w:r w:rsidRPr="00253AC2">
        <w:rPr>
          <w:rFonts w:ascii="Arial" w:hAnsi="Arial" w:cs="Arial"/>
          <w:noProof/>
          <w:sz w:val="20"/>
          <w:szCs w:val="24"/>
        </w:rPr>
        <w:tab/>
        <w:t xml:space="preserve">R. C. Rial, “Biofuels versus climate change: Exploring potentials and challenges in the energy transition,” </w:t>
      </w:r>
      <w:r w:rsidRPr="00253AC2">
        <w:rPr>
          <w:rFonts w:ascii="Arial" w:hAnsi="Arial" w:cs="Arial"/>
          <w:i/>
          <w:iCs/>
          <w:noProof/>
          <w:sz w:val="20"/>
          <w:szCs w:val="24"/>
        </w:rPr>
        <w:t>Renew. Sustain. Energy Rev.</w:t>
      </w:r>
      <w:r w:rsidRPr="00253AC2">
        <w:rPr>
          <w:rFonts w:ascii="Arial" w:hAnsi="Arial" w:cs="Arial"/>
          <w:noProof/>
          <w:sz w:val="20"/>
          <w:szCs w:val="24"/>
        </w:rPr>
        <w:t>, vol. 196, p. 114369, 2024, doi: https://doi.org/10.1016/j.rser.2024.114369.</w:t>
      </w:r>
    </w:p>
    <w:p w14:paraId="719F500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[62]</w:t>
      </w:r>
      <w:r w:rsidRPr="00253AC2">
        <w:rPr>
          <w:rFonts w:ascii="Arial" w:hAnsi="Arial" w:cs="Arial"/>
          <w:noProof/>
          <w:sz w:val="20"/>
          <w:szCs w:val="24"/>
        </w:rPr>
        <w:tab/>
        <w:t>D. Neupane, “Biofuels from Renewable Sources , a Potential Option for Biodiesel Production,” 2023.</w:t>
      </w:r>
    </w:p>
    <w:p w14:paraId="07CE4C54"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[63]</w:t>
      </w:r>
      <w:r w:rsidRPr="00253AC2">
        <w:rPr>
          <w:rFonts w:ascii="Arial" w:hAnsi="Arial" w:cs="Arial"/>
          <w:noProof/>
          <w:sz w:val="20"/>
          <w:szCs w:val="24"/>
        </w:rPr>
        <w:tab/>
        <w:t xml:space="preserve">R. Phiri, S. Mavinkere Rangappa, and S. Siengchin, “Agro-waste for renewable and sustainable green production: A review,” </w:t>
      </w:r>
      <w:r w:rsidRPr="00253AC2">
        <w:rPr>
          <w:rFonts w:ascii="Arial" w:hAnsi="Arial" w:cs="Arial"/>
          <w:i/>
          <w:iCs/>
          <w:noProof/>
          <w:sz w:val="20"/>
          <w:szCs w:val="24"/>
        </w:rPr>
        <w:t>J. Clean. Prod.</w:t>
      </w:r>
      <w:r w:rsidRPr="00253AC2">
        <w:rPr>
          <w:rFonts w:ascii="Arial" w:hAnsi="Arial" w:cs="Arial"/>
          <w:noProof/>
          <w:sz w:val="20"/>
          <w:szCs w:val="24"/>
        </w:rPr>
        <w:t>, vol. 434, p. 139989, 2024, doi: https://doi.org/10.1016/j.jclepro.2023.139989.</w:t>
      </w:r>
    </w:p>
    <w:p w14:paraId="1052EB1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[64]</w:t>
      </w:r>
      <w:r w:rsidRPr="00253AC2">
        <w:rPr>
          <w:rFonts w:ascii="Arial" w:hAnsi="Arial" w:cs="Arial"/>
          <w:noProof/>
          <w:sz w:val="20"/>
          <w:szCs w:val="24"/>
        </w:rPr>
        <w:tab/>
        <w:t>N. Awasthi and S. Sharma, “Environmental safety , sustainability and Agricultural waste management,” no. October, 2024.</w:t>
      </w:r>
    </w:p>
    <w:p w14:paraId="58118A26"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[65]</w:t>
      </w:r>
      <w:r w:rsidRPr="00253AC2">
        <w:rPr>
          <w:rFonts w:ascii="Arial" w:hAnsi="Arial" w:cs="Arial"/>
          <w:noProof/>
          <w:sz w:val="20"/>
          <w:szCs w:val="24"/>
        </w:rPr>
        <w:tab/>
        <w:t>P. Pal, A. K. Singh, R. K. Srivastava, and S. S. Rathore, “Circular Bioeconomy in Action : Transforming Food Wastes into,” 2024.</w:t>
      </w:r>
    </w:p>
    <w:p w14:paraId="33EDC7D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[66]</w:t>
      </w:r>
      <w:r w:rsidRPr="00253AC2">
        <w:rPr>
          <w:rFonts w:ascii="Arial" w:hAnsi="Arial" w:cs="Arial"/>
          <w:noProof/>
          <w:sz w:val="20"/>
          <w:szCs w:val="24"/>
        </w:rPr>
        <w:tab/>
        <w:t xml:space="preserve">A. K. Rashwan </w:t>
      </w:r>
      <w:r w:rsidRPr="00253AC2">
        <w:rPr>
          <w:rFonts w:ascii="Arial" w:hAnsi="Arial" w:cs="Arial"/>
          <w:i/>
          <w:iCs/>
          <w:noProof/>
          <w:sz w:val="20"/>
          <w:szCs w:val="24"/>
        </w:rPr>
        <w:t>et al.</w:t>
      </w:r>
      <w:r w:rsidRPr="00253AC2">
        <w:rPr>
          <w:rFonts w:ascii="Arial" w:hAnsi="Arial" w:cs="Arial"/>
          <w:noProof/>
          <w:sz w:val="20"/>
          <w:szCs w:val="24"/>
        </w:rPr>
        <w:t xml:space="preserve">, “Recycling food and agriculture by </w:t>
      </w:r>
      <w:r w:rsidRPr="00253AC2">
        <w:rPr>
          <w:rFonts w:ascii="Cambria Math" w:hAnsi="Cambria Math" w:cs="Cambria Math"/>
          <w:noProof/>
          <w:sz w:val="20"/>
          <w:szCs w:val="24"/>
        </w:rPr>
        <w:t>‑</w:t>
      </w:r>
      <w:r w:rsidRPr="00253AC2">
        <w:rPr>
          <w:rFonts w:ascii="Arial" w:hAnsi="Arial" w:cs="Arial"/>
          <w:noProof/>
          <w:sz w:val="20"/>
          <w:szCs w:val="24"/>
        </w:rPr>
        <w:t xml:space="preserve"> products to mitigate climate change : a review,” </w:t>
      </w:r>
      <w:r w:rsidRPr="00253AC2">
        <w:rPr>
          <w:rFonts w:ascii="Arial" w:hAnsi="Arial" w:cs="Arial"/>
          <w:i/>
          <w:iCs/>
          <w:noProof/>
          <w:sz w:val="20"/>
          <w:szCs w:val="24"/>
        </w:rPr>
        <w:t>Environ. Chem. Lett.</w:t>
      </w:r>
      <w:r w:rsidRPr="00253AC2">
        <w:rPr>
          <w:rFonts w:ascii="Arial" w:hAnsi="Arial" w:cs="Arial"/>
          <w:noProof/>
          <w:sz w:val="20"/>
          <w:szCs w:val="24"/>
        </w:rPr>
        <w:t>, vol. 21, no. 6, pp. 3351–3375, 2023, doi: 10.1007/s10311-023-01639-6.</w:t>
      </w:r>
    </w:p>
    <w:p w14:paraId="4419775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[67]</w:t>
      </w:r>
      <w:r w:rsidRPr="00253AC2">
        <w:rPr>
          <w:rFonts w:ascii="Arial" w:hAnsi="Arial" w:cs="Arial"/>
          <w:noProof/>
          <w:sz w:val="20"/>
          <w:szCs w:val="24"/>
        </w:rPr>
        <w:tab/>
        <w:t xml:space="preserve">W. N. A. Wan Osman, M. H. Rosli, W. N. A. Mazli, and S. Samsuri, “Comparative review of biodiesel production and purification,” </w:t>
      </w:r>
      <w:r w:rsidRPr="00253AC2">
        <w:rPr>
          <w:rFonts w:ascii="Arial" w:hAnsi="Arial" w:cs="Arial"/>
          <w:i/>
          <w:iCs/>
          <w:noProof/>
          <w:sz w:val="20"/>
          <w:szCs w:val="24"/>
        </w:rPr>
        <w:t>Carbon Capture Sci. Technol.</w:t>
      </w:r>
      <w:r w:rsidRPr="00253AC2">
        <w:rPr>
          <w:rFonts w:ascii="Arial" w:hAnsi="Arial" w:cs="Arial"/>
          <w:noProof/>
          <w:sz w:val="20"/>
          <w:szCs w:val="24"/>
        </w:rPr>
        <w:t>, vol. 13, p. 100264, 2024, doi: https://doi.org/10.1016/j.ccst.2024.100264.</w:t>
      </w:r>
    </w:p>
    <w:p w14:paraId="20047A2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[68]</w:t>
      </w:r>
      <w:r w:rsidRPr="00253AC2">
        <w:rPr>
          <w:rFonts w:ascii="Arial" w:hAnsi="Arial" w:cs="Arial"/>
          <w:noProof/>
          <w:sz w:val="20"/>
          <w:szCs w:val="24"/>
        </w:rPr>
        <w:tab/>
        <w:t xml:space="preserve">B. J. Love and A. P. Nejadhashemi, “Water quality impact assessment of large-scale </w:t>
      </w:r>
      <w:r w:rsidRPr="00253AC2">
        <w:rPr>
          <w:rFonts w:ascii="Arial" w:hAnsi="Arial" w:cs="Arial"/>
          <w:noProof/>
          <w:sz w:val="20"/>
          <w:szCs w:val="24"/>
        </w:rPr>
        <w:t xml:space="preserve">biofuel crops expansion in agricultural regions of Michigan,” </w:t>
      </w:r>
      <w:r w:rsidRPr="00253AC2">
        <w:rPr>
          <w:rFonts w:ascii="Arial" w:hAnsi="Arial" w:cs="Arial"/>
          <w:i/>
          <w:iCs/>
          <w:noProof/>
          <w:sz w:val="20"/>
          <w:szCs w:val="24"/>
        </w:rPr>
        <w:t>Biomass and Bioenergy</w:t>
      </w:r>
      <w:r w:rsidRPr="00253AC2">
        <w:rPr>
          <w:rFonts w:ascii="Arial" w:hAnsi="Arial" w:cs="Arial"/>
          <w:noProof/>
          <w:sz w:val="20"/>
          <w:szCs w:val="24"/>
        </w:rPr>
        <w:t>, vol. 35, no. 5, pp. 2200–2216, 2011, doi: https://doi.org/10.1016/j.biombioe.2011.02.041.</w:t>
      </w:r>
    </w:p>
    <w:p w14:paraId="66CF2EC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[69]</w:t>
      </w:r>
      <w:r w:rsidRPr="00253AC2">
        <w:rPr>
          <w:rFonts w:ascii="Arial" w:hAnsi="Arial" w:cs="Arial"/>
          <w:noProof/>
          <w:sz w:val="20"/>
          <w:szCs w:val="24"/>
        </w:rPr>
        <w:tab/>
        <w:t xml:space="preserve">R. Pool, </w:t>
      </w:r>
      <w:r w:rsidRPr="00253AC2">
        <w:rPr>
          <w:rFonts w:ascii="Arial" w:hAnsi="Arial" w:cs="Arial"/>
          <w:i/>
          <w:iCs/>
          <w:noProof/>
          <w:sz w:val="20"/>
          <w:szCs w:val="24"/>
        </w:rPr>
        <w:t>The Nexus of Biofuels, Climate Change, and Human Health</w:t>
      </w:r>
      <w:r w:rsidRPr="00253AC2">
        <w:rPr>
          <w:rFonts w:ascii="Arial" w:hAnsi="Arial" w:cs="Arial"/>
          <w:noProof/>
          <w:sz w:val="20"/>
          <w:szCs w:val="24"/>
        </w:rPr>
        <w:t>. Washington DC: National Academies Press, 2014.</w:t>
      </w:r>
    </w:p>
    <w:p w14:paraId="3542E88E"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[70]</w:t>
      </w:r>
      <w:r w:rsidRPr="00253AC2">
        <w:rPr>
          <w:rFonts w:ascii="Arial" w:hAnsi="Arial" w:cs="Arial"/>
          <w:noProof/>
          <w:sz w:val="20"/>
          <w:szCs w:val="24"/>
        </w:rPr>
        <w:tab/>
        <w:t>A. Motevali, N. Hooshmandzadeh, E. Fayyazi, M. Valipour, and J. Yue, “Environmental Impacts of Biodiesel Production Cycle from Farm to Manufactory : An Application of Sustainable Systems Engineering,” 2023.</w:t>
      </w:r>
    </w:p>
    <w:p w14:paraId="62E05C0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[71]</w:t>
      </w:r>
      <w:r w:rsidRPr="00253AC2">
        <w:rPr>
          <w:rFonts w:ascii="Arial" w:hAnsi="Arial" w:cs="Arial"/>
          <w:noProof/>
          <w:sz w:val="20"/>
          <w:szCs w:val="24"/>
        </w:rPr>
        <w:tab/>
        <w:t xml:space="preserve">F. Fangfang, A. Alagumalai, and O. Mahian, “Sustainable biodiesel production from waste cooking oil: ANN modeling and environmental factor assessment,” </w:t>
      </w:r>
      <w:r w:rsidRPr="00253AC2">
        <w:rPr>
          <w:rFonts w:ascii="Arial" w:hAnsi="Arial" w:cs="Arial"/>
          <w:i/>
          <w:iCs/>
          <w:noProof/>
          <w:sz w:val="20"/>
          <w:szCs w:val="24"/>
        </w:rPr>
        <w:t>Sustain. Energy Technol. Assessments</w:t>
      </w:r>
      <w:r w:rsidRPr="00253AC2">
        <w:rPr>
          <w:rFonts w:ascii="Arial" w:hAnsi="Arial" w:cs="Arial"/>
          <w:noProof/>
          <w:sz w:val="20"/>
          <w:szCs w:val="24"/>
        </w:rPr>
        <w:t>, vol. 46, p. 101265, 2021, doi: https://doi.org/10.1016/j.seta.2021.101265.</w:t>
      </w:r>
    </w:p>
    <w:p w14:paraId="5436C36B"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[72]</w:t>
      </w:r>
      <w:r w:rsidRPr="00253AC2">
        <w:rPr>
          <w:rFonts w:ascii="Arial" w:hAnsi="Arial" w:cs="Arial"/>
          <w:noProof/>
          <w:sz w:val="20"/>
          <w:szCs w:val="24"/>
        </w:rPr>
        <w:tab/>
        <w:t>C. Alanis, R. Romero, and R. Natividad, “Chapter 3 Biodiesel production as an alternative to reduce the environmental impact of University food courts Capítulo 3 Producción de biodiesel como escenario alternativo para mejorar el desempeño ambiental de cafeterías universitarias,” no. December, 2021, doi: 10.35429/H.2021.6.37.50.</w:t>
      </w:r>
    </w:p>
    <w:p w14:paraId="53F3C20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[73]</w:t>
      </w:r>
      <w:r w:rsidRPr="00253AC2">
        <w:rPr>
          <w:rFonts w:ascii="Arial" w:hAnsi="Arial" w:cs="Arial"/>
          <w:noProof/>
          <w:sz w:val="20"/>
          <w:szCs w:val="24"/>
        </w:rPr>
        <w:tab/>
        <w:t xml:space="preserve">A. Suhara </w:t>
      </w:r>
      <w:r w:rsidRPr="00253AC2">
        <w:rPr>
          <w:rFonts w:ascii="Arial" w:hAnsi="Arial" w:cs="Arial"/>
          <w:i/>
          <w:iCs/>
          <w:noProof/>
          <w:sz w:val="20"/>
          <w:szCs w:val="24"/>
        </w:rPr>
        <w:t>et al.</w:t>
      </w:r>
      <w:r w:rsidRPr="00253AC2">
        <w:rPr>
          <w:rFonts w:ascii="Arial" w:hAnsi="Arial" w:cs="Arial"/>
          <w:noProof/>
          <w:sz w:val="20"/>
          <w:szCs w:val="24"/>
        </w:rPr>
        <w:t>, “clean technologies Biodiesel Sustainability : Review of Progress and Challenges of Biodiesel as Sustainable Biofuel,” pp. 886–906, 2024.</w:t>
      </w:r>
    </w:p>
    <w:p w14:paraId="49675E6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[74]</w:t>
      </w:r>
      <w:r w:rsidRPr="00253AC2">
        <w:rPr>
          <w:rFonts w:ascii="Arial" w:hAnsi="Arial" w:cs="Arial"/>
          <w:noProof/>
          <w:sz w:val="20"/>
          <w:szCs w:val="24"/>
        </w:rPr>
        <w:tab/>
        <w:t>S. Yunus, N. Bachri, and M. Haykal, “Impact Of Feedstock Biodiesel Development On Society Around PTPN I Company,” vol. 5, no. 3, pp. 1001–1010, 2021.</w:t>
      </w:r>
    </w:p>
    <w:p w14:paraId="1D9EA4A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[75]</w:t>
      </w:r>
      <w:r w:rsidRPr="00253AC2">
        <w:rPr>
          <w:rFonts w:ascii="Arial" w:hAnsi="Arial" w:cs="Arial"/>
          <w:noProof/>
          <w:sz w:val="20"/>
          <w:szCs w:val="24"/>
        </w:rPr>
        <w:tab/>
        <w:t xml:space="preserve">A. Halimatussadiah, D. Nainggolan, S. Yui, F. R. Moeis, and A. A. Siregar, “Progressive biodiesel policy in Indonesia: Does the Government’s economic proposition hold?,” </w:t>
      </w:r>
      <w:r w:rsidRPr="00253AC2">
        <w:rPr>
          <w:rFonts w:ascii="Arial" w:hAnsi="Arial" w:cs="Arial"/>
          <w:i/>
          <w:iCs/>
          <w:noProof/>
          <w:sz w:val="20"/>
          <w:szCs w:val="24"/>
        </w:rPr>
        <w:t>Renew. Sustain. Energy Rev.</w:t>
      </w:r>
      <w:r w:rsidRPr="00253AC2">
        <w:rPr>
          <w:rFonts w:ascii="Arial" w:hAnsi="Arial" w:cs="Arial"/>
          <w:noProof/>
          <w:sz w:val="20"/>
          <w:szCs w:val="24"/>
        </w:rPr>
        <w:t>, vol. 150, p. 111431, 2021, doi: https://doi.org/10.1016/j.rser.2021.111431.</w:t>
      </w:r>
    </w:p>
    <w:p w14:paraId="6A1ED2A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[76]</w:t>
      </w:r>
      <w:r w:rsidRPr="00253AC2">
        <w:rPr>
          <w:rFonts w:ascii="Arial" w:hAnsi="Arial" w:cs="Arial"/>
          <w:noProof/>
          <w:sz w:val="20"/>
          <w:szCs w:val="24"/>
        </w:rPr>
        <w:tab/>
        <w:t>N. Tiara and S. Ananda, “Energy Independency and Sustainable Development in International Relations Context,” vol. 5, no. 1, pp. 16–34, 2024.</w:t>
      </w:r>
    </w:p>
    <w:p w14:paraId="3B84883E"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[77]</w:t>
      </w:r>
      <w:r w:rsidRPr="00253AC2">
        <w:rPr>
          <w:rFonts w:ascii="Arial" w:hAnsi="Arial" w:cs="Arial"/>
          <w:noProof/>
          <w:sz w:val="20"/>
          <w:szCs w:val="24"/>
        </w:rPr>
        <w:tab/>
        <w:t>J. Kim, A. J. Panton, and G. Schwerhoff, “Green Transition,” 2024.</w:t>
      </w:r>
    </w:p>
    <w:p w14:paraId="666B8D1C"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[78]</w:t>
      </w:r>
      <w:r w:rsidRPr="00253AC2">
        <w:rPr>
          <w:rFonts w:ascii="Arial" w:hAnsi="Arial" w:cs="Arial"/>
          <w:noProof/>
          <w:sz w:val="20"/>
          <w:szCs w:val="24"/>
        </w:rPr>
        <w:tab/>
        <w:t xml:space="preserve">S. H. Gheewala, B. Damen, and X. Shi, “Biofuels : Economic , environmental and social benefits and costs for developing countries in Asia Gheewala S *, Damen B &amp; Shi X , 2013 . Biofuels : economic , </w:t>
      </w:r>
      <w:r w:rsidRPr="00253AC2">
        <w:rPr>
          <w:rFonts w:ascii="Arial" w:hAnsi="Arial" w:cs="Arial"/>
          <w:noProof/>
          <w:sz w:val="20"/>
          <w:szCs w:val="24"/>
        </w:rPr>
        <w:lastRenderedPageBreak/>
        <w:t>environmental and social benefits and costs for developing countries in Asia . Wiley Interdisciplinary Reviews : Article type : Advanced Review Article title : Biofuels : economic , environmental and social benefits and costs for developing countries in Asia,” no. November, 2013, doi: 10.1002/wcc.241.</w:t>
      </w:r>
    </w:p>
    <w:p w14:paraId="47115C2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[79]</w:t>
      </w:r>
      <w:r w:rsidRPr="00253AC2">
        <w:rPr>
          <w:rFonts w:ascii="Arial" w:hAnsi="Arial" w:cs="Arial"/>
          <w:noProof/>
          <w:sz w:val="20"/>
          <w:szCs w:val="24"/>
        </w:rPr>
        <w:tab/>
        <w:t>M. Hasan, M. Zoynul, and M. Bin, “Sustainable biofuel economy : A mapping through bibliometric research,” vol. 336, no. November 2022, 2023, doi: 10.1016/j.jenvman.2023.117644.</w:t>
      </w:r>
    </w:p>
    <w:p w14:paraId="00098DCE"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[80]</w:t>
      </w:r>
      <w:r w:rsidRPr="00253AC2">
        <w:rPr>
          <w:rFonts w:ascii="Arial" w:hAnsi="Arial" w:cs="Arial"/>
          <w:noProof/>
          <w:sz w:val="20"/>
          <w:szCs w:val="24"/>
        </w:rPr>
        <w:tab/>
        <w:t>IEA, “Opportunities of bioenergy and biofuels in developing economies Opportunities of bioenergy and biofuels in developing economies,” 2023.</w:t>
      </w:r>
    </w:p>
    <w:p w14:paraId="0991C373"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[81]</w:t>
      </w:r>
      <w:r w:rsidRPr="00253AC2">
        <w:rPr>
          <w:rFonts w:ascii="Arial" w:hAnsi="Arial" w:cs="Arial"/>
          <w:noProof/>
          <w:sz w:val="20"/>
          <w:szCs w:val="24"/>
        </w:rPr>
        <w:tab/>
        <w:t>C. Cause and M. Hunger, “Food Fuel,” vol. Div, no. 6, pp. 254–257, 2008.</w:t>
      </w:r>
    </w:p>
    <w:p w14:paraId="3803BB51"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[82]</w:t>
      </w:r>
      <w:r w:rsidRPr="00253AC2">
        <w:rPr>
          <w:rFonts w:ascii="Arial" w:hAnsi="Arial" w:cs="Arial"/>
          <w:noProof/>
          <w:sz w:val="20"/>
          <w:szCs w:val="24"/>
        </w:rPr>
        <w:tab/>
        <w:t xml:space="preserve">M. and A. S. Boly, “Biofuels and food security : evidence from Indonesia and Mexico To cite this version : HAL Id : hal-03602227,” </w:t>
      </w:r>
      <w:r w:rsidRPr="00253AC2">
        <w:rPr>
          <w:rFonts w:ascii="Arial" w:hAnsi="Arial" w:cs="Arial"/>
          <w:i/>
          <w:iCs/>
          <w:noProof/>
          <w:sz w:val="20"/>
          <w:szCs w:val="24"/>
        </w:rPr>
        <w:t>Energy Policy</w:t>
      </w:r>
      <w:r w:rsidRPr="00253AC2">
        <w:rPr>
          <w:rFonts w:ascii="Arial" w:hAnsi="Arial" w:cs="Arial"/>
          <w:noProof/>
          <w:sz w:val="20"/>
          <w:szCs w:val="24"/>
        </w:rPr>
        <w:t>, no. 163, pp. 0–13, 2024.</w:t>
      </w:r>
    </w:p>
    <w:p w14:paraId="0235DDD4"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[83]</w:t>
      </w:r>
      <w:r w:rsidRPr="00253AC2">
        <w:rPr>
          <w:rFonts w:ascii="Arial" w:hAnsi="Arial" w:cs="Arial"/>
          <w:noProof/>
          <w:sz w:val="20"/>
          <w:szCs w:val="24"/>
        </w:rPr>
        <w:tab/>
        <w:t>J. O. Malley and S. Searle, “AIR QUALITY IMPACTS OF BIODIESEL IN THE UNITED STATES,” no. March, 2021.</w:t>
      </w:r>
    </w:p>
    <w:p w14:paraId="678BAF4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[84]</w:t>
      </w:r>
      <w:r w:rsidRPr="00253AC2">
        <w:rPr>
          <w:rFonts w:ascii="Arial" w:hAnsi="Arial" w:cs="Arial"/>
          <w:noProof/>
          <w:sz w:val="20"/>
          <w:szCs w:val="24"/>
        </w:rPr>
        <w:tab/>
        <w:t>E. M. P. A. Vormittag, C. G. Rodrigues, P. A. De André, P. Hilário, and N. Saldiva, “Assessment and Valuation of Public Health Impacts from Gradual Biodiesel Implementation in the Transport Energy Matrix in Brazil,” pp. 2375–2382, 2018, doi: 10.4209/aaqr.2017.11.0449.</w:t>
      </w:r>
    </w:p>
    <w:p w14:paraId="74D04FD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[85]</w:t>
      </w:r>
      <w:r w:rsidRPr="00253AC2">
        <w:rPr>
          <w:rFonts w:ascii="Arial" w:hAnsi="Arial" w:cs="Arial"/>
          <w:noProof/>
          <w:sz w:val="20"/>
          <w:szCs w:val="24"/>
        </w:rPr>
        <w:tab/>
        <w:t xml:space="preserve">D. Southern, P. Hellier, M. Talibi, M. O. Leonard, and N. Ladommatos, “Re-assessing the toxicity of particles from biodiesel combustion: A quantitative analysis of in vitro studies,” </w:t>
      </w:r>
      <w:r w:rsidRPr="00253AC2">
        <w:rPr>
          <w:rFonts w:ascii="Arial" w:hAnsi="Arial" w:cs="Arial"/>
          <w:i/>
          <w:iCs/>
          <w:noProof/>
          <w:sz w:val="20"/>
          <w:szCs w:val="24"/>
        </w:rPr>
        <w:t>Atmos. Environ.</w:t>
      </w:r>
      <w:r w:rsidRPr="00253AC2">
        <w:rPr>
          <w:rFonts w:ascii="Arial" w:hAnsi="Arial" w:cs="Arial"/>
          <w:noProof/>
          <w:sz w:val="20"/>
          <w:szCs w:val="24"/>
        </w:rPr>
        <w:t>, vol. 261, p. 118570, 2021, doi: https://doi.org/10.1016/j.atmosenv.2021.118570.</w:t>
      </w:r>
    </w:p>
    <w:p w14:paraId="7695125F"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[86]</w:t>
      </w:r>
      <w:r w:rsidRPr="00253AC2">
        <w:rPr>
          <w:rFonts w:ascii="Arial" w:hAnsi="Arial" w:cs="Arial"/>
          <w:noProof/>
          <w:sz w:val="20"/>
          <w:szCs w:val="24"/>
        </w:rPr>
        <w:tab/>
        <w:t>H. Pistonesi, G. Nadal, V. Bravo, and D. Bouille, “The contribution of biofuels to the sustainability of development in Latin America and the Caribbean,” Santiago, Chile., 2008.</w:t>
      </w:r>
    </w:p>
    <w:p w14:paraId="4FEECA29"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[87]</w:t>
      </w:r>
      <w:r w:rsidRPr="00253AC2">
        <w:rPr>
          <w:rFonts w:ascii="Arial" w:hAnsi="Arial" w:cs="Arial"/>
          <w:noProof/>
          <w:sz w:val="20"/>
          <w:szCs w:val="24"/>
        </w:rPr>
        <w:tab/>
        <w:t xml:space="preserve">A. Dermawan, S. Amaliah, T. Irawan, and S. Dilla, “Economic impacts of biodiesel policy in Indonesia : a computable general equilibrium approach,” </w:t>
      </w:r>
      <w:r w:rsidRPr="00253AC2">
        <w:rPr>
          <w:rFonts w:ascii="Arial" w:hAnsi="Arial" w:cs="Arial"/>
          <w:i/>
          <w:iCs/>
          <w:noProof/>
          <w:sz w:val="20"/>
          <w:szCs w:val="24"/>
        </w:rPr>
        <w:t>J. Econ. Struct.</w:t>
      </w:r>
      <w:r w:rsidRPr="00253AC2">
        <w:rPr>
          <w:rFonts w:ascii="Arial" w:hAnsi="Arial" w:cs="Arial"/>
          <w:noProof/>
          <w:sz w:val="20"/>
          <w:szCs w:val="24"/>
        </w:rPr>
        <w:t>, 2022, doi: 10.1186/s40008-022-00281-9.</w:t>
      </w:r>
    </w:p>
    <w:p w14:paraId="16CE664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[88]</w:t>
      </w:r>
      <w:r w:rsidRPr="00253AC2">
        <w:rPr>
          <w:rFonts w:ascii="Arial" w:hAnsi="Arial" w:cs="Arial"/>
          <w:noProof/>
          <w:sz w:val="20"/>
          <w:szCs w:val="24"/>
        </w:rPr>
        <w:tab/>
        <w:t xml:space="preserve">M. A. Munir, S. Imran, M. Farooq, and H. Latif, “Development of a supply chain model for the production of biodiesel from waste cooking oil for sustainable development,” no. June, pp. 1–13, 2023, doi: </w:t>
      </w:r>
      <w:r w:rsidRPr="00253AC2">
        <w:rPr>
          <w:rFonts w:ascii="Arial" w:hAnsi="Arial" w:cs="Arial"/>
          <w:noProof/>
          <w:sz w:val="20"/>
          <w:szCs w:val="24"/>
        </w:rPr>
        <w:t>10.3389/fenrg.2023.1222787.</w:t>
      </w:r>
    </w:p>
    <w:p w14:paraId="07369467"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[89]</w:t>
      </w:r>
      <w:r w:rsidRPr="00253AC2">
        <w:rPr>
          <w:rFonts w:ascii="Arial" w:hAnsi="Arial" w:cs="Arial"/>
          <w:noProof/>
          <w:sz w:val="20"/>
          <w:szCs w:val="24"/>
        </w:rPr>
        <w:tab/>
        <w:t xml:space="preserve">O. R. Calderon </w:t>
      </w:r>
      <w:r w:rsidRPr="00253AC2">
        <w:rPr>
          <w:rFonts w:ascii="Arial" w:hAnsi="Arial" w:cs="Arial"/>
          <w:i/>
          <w:iCs/>
          <w:noProof/>
          <w:sz w:val="20"/>
          <w:szCs w:val="24"/>
        </w:rPr>
        <w:t>et al.</w:t>
      </w:r>
      <w:r w:rsidRPr="00253AC2">
        <w:rPr>
          <w:rFonts w:ascii="Arial" w:hAnsi="Arial" w:cs="Arial"/>
          <w:noProof/>
          <w:sz w:val="20"/>
          <w:szCs w:val="24"/>
        </w:rPr>
        <w:t>, “Sustainable Aviation Fuel ( SAF ) State-of-Industry Report : State of SAF Production Process Sustainable Aviation Fuel ( SAF ) State-of-Industry Report : State of SAF Production Process,” no. July, 2024.</w:t>
      </w:r>
    </w:p>
    <w:p w14:paraId="53E7E864"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[90]</w:t>
      </w:r>
      <w:r w:rsidRPr="00253AC2">
        <w:rPr>
          <w:rFonts w:ascii="Arial" w:hAnsi="Arial" w:cs="Arial"/>
          <w:noProof/>
          <w:sz w:val="20"/>
          <w:szCs w:val="24"/>
        </w:rPr>
        <w:tab/>
        <w:t xml:space="preserve">T. and G. G. Mizik, “Economic and Sustainability of Biodiesel Production — A Systematic Literature Review,” </w:t>
      </w:r>
      <w:r w:rsidRPr="00253AC2">
        <w:rPr>
          <w:rFonts w:ascii="Arial" w:hAnsi="Arial" w:cs="Arial"/>
          <w:i/>
          <w:iCs/>
          <w:noProof/>
          <w:sz w:val="20"/>
          <w:szCs w:val="24"/>
        </w:rPr>
        <w:t>clean Technol.</w:t>
      </w:r>
      <w:r w:rsidRPr="00253AC2">
        <w:rPr>
          <w:rFonts w:ascii="Arial" w:hAnsi="Arial" w:cs="Arial"/>
          <w:noProof/>
          <w:sz w:val="20"/>
          <w:szCs w:val="24"/>
        </w:rPr>
        <w:t>, vol. 3, pp. 19–36, 2021, doi: https://doi.org/ 10.3390/cleantechnol3010002.</w:t>
      </w:r>
    </w:p>
    <w:p w14:paraId="02CB2E48"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[91]</w:t>
      </w:r>
      <w:r w:rsidRPr="00253AC2">
        <w:rPr>
          <w:rFonts w:ascii="Arial" w:hAnsi="Arial" w:cs="Arial"/>
          <w:noProof/>
          <w:sz w:val="20"/>
          <w:szCs w:val="24"/>
        </w:rPr>
        <w:tab/>
        <w:t xml:space="preserve">K. P. Nelson, L. C. Parton, and Z. S. Brown, “Biofuels policy and innovation impacts: Evidence from biofuels and agricultural patent indicators,” </w:t>
      </w:r>
      <w:r w:rsidRPr="00253AC2">
        <w:rPr>
          <w:rFonts w:ascii="Arial" w:hAnsi="Arial" w:cs="Arial"/>
          <w:i/>
          <w:iCs/>
          <w:noProof/>
          <w:sz w:val="20"/>
          <w:szCs w:val="24"/>
        </w:rPr>
        <w:t>Energy Policy</w:t>
      </w:r>
      <w:r w:rsidRPr="00253AC2">
        <w:rPr>
          <w:rFonts w:ascii="Arial" w:hAnsi="Arial" w:cs="Arial"/>
          <w:noProof/>
          <w:sz w:val="20"/>
          <w:szCs w:val="24"/>
        </w:rPr>
        <w:t>, vol. 162, p. 112767, 2022, doi: https://doi.org/10.1016/j.enpol.2021.112767.</w:t>
      </w:r>
    </w:p>
    <w:p w14:paraId="47BB2D7D"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[92]</w:t>
      </w:r>
      <w:r w:rsidRPr="00253AC2">
        <w:rPr>
          <w:rFonts w:ascii="Arial" w:hAnsi="Arial" w:cs="Arial"/>
          <w:noProof/>
          <w:sz w:val="20"/>
          <w:szCs w:val="24"/>
        </w:rPr>
        <w:tab/>
        <w:t xml:space="preserve">M. Ebadian, S. van Dyk, J. D. McMillan, and J. Saddler, “Biofuels policies that have encouraged their production and use: An international perspective,” </w:t>
      </w:r>
      <w:r w:rsidRPr="00253AC2">
        <w:rPr>
          <w:rFonts w:ascii="Arial" w:hAnsi="Arial" w:cs="Arial"/>
          <w:i/>
          <w:iCs/>
          <w:noProof/>
          <w:sz w:val="20"/>
          <w:szCs w:val="24"/>
        </w:rPr>
        <w:t>Energy Policy</w:t>
      </w:r>
      <w:r w:rsidRPr="00253AC2">
        <w:rPr>
          <w:rFonts w:ascii="Arial" w:hAnsi="Arial" w:cs="Arial"/>
          <w:noProof/>
          <w:sz w:val="20"/>
          <w:szCs w:val="24"/>
        </w:rPr>
        <w:t>, vol. 147, p. 111906, 2020, doi: https://doi.org/10.1016/j.enpol.2020.111906.</w:t>
      </w:r>
    </w:p>
    <w:p w14:paraId="72CCEA21"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[93]</w:t>
      </w:r>
      <w:r w:rsidRPr="00253AC2">
        <w:rPr>
          <w:rFonts w:ascii="Arial" w:hAnsi="Arial" w:cs="Arial"/>
          <w:noProof/>
          <w:sz w:val="20"/>
          <w:szCs w:val="24"/>
        </w:rPr>
        <w:tab/>
        <w:t xml:space="preserve">S. S. Wirawan, M. D. Solikhah, H. Setiapraja, and A. Sugiyono, “Biodiesel implementation in Indonesia : Experiences and future perspectives,” </w:t>
      </w:r>
      <w:r w:rsidRPr="00253AC2">
        <w:rPr>
          <w:rFonts w:ascii="Arial" w:hAnsi="Arial" w:cs="Arial"/>
          <w:i/>
          <w:iCs/>
          <w:noProof/>
          <w:sz w:val="20"/>
          <w:szCs w:val="24"/>
        </w:rPr>
        <w:t>Renew. Sustain. Energy Rev.</w:t>
      </w:r>
      <w:r w:rsidRPr="00253AC2">
        <w:rPr>
          <w:rFonts w:ascii="Arial" w:hAnsi="Arial" w:cs="Arial"/>
          <w:noProof/>
          <w:sz w:val="20"/>
          <w:szCs w:val="24"/>
        </w:rPr>
        <w:t>, vol. 189, no. PA, p. 113911, 2024, doi: 10.1016/j.rser.2023.113911.</w:t>
      </w:r>
    </w:p>
    <w:p w14:paraId="3A3EDD0A"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[94]</w:t>
      </w:r>
      <w:r w:rsidRPr="00253AC2">
        <w:rPr>
          <w:rFonts w:ascii="Arial" w:hAnsi="Arial" w:cs="Arial"/>
          <w:noProof/>
          <w:sz w:val="20"/>
          <w:szCs w:val="24"/>
        </w:rPr>
        <w:tab/>
        <w:t xml:space="preserve">B. A. Wassim, G. Benoît, and G. Bruno, “The importance of land use change in the environmental balance of biofuels,” </w:t>
      </w:r>
      <w:r w:rsidRPr="00253AC2">
        <w:rPr>
          <w:rFonts w:ascii="Arial" w:hAnsi="Arial" w:cs="Arial"/>
          <w:i/>
          <w:iCs/>
          <w:noProof/>
          <w:sz w:val="20"/>
          <w:szCs w:val="24"/>
        </w:rPr>
        <w:t>Oilseeds fats, Crop. Lipids</w:t>
      </w:r>
      <w:r w:rsidRPr="00253AC2">
        <w:rPr>
          <w:rFonts w:ascii="Arial" w:hAnsi="Arial" w:cs="Arial"/>
          <w:noProof/>
          <w:sz w:val="20"/>
          <w:szCs w:val="24"/>
        </w:rPr>
        <w:t>, vol. 20, no. 5, 2014, doi: 10.1051/ocl/2013027.</w:t>
      </w:r>
    </w:p>
    <w:p w14:paraId="18B29596"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szCs w:val="24"/>
        </w:rPr>
      </w:pPr>
      <w:r w:rsidRPr="00253AC2">
        <w:rPr>
          <w:rFonts w:ascii="Arial" w:hAnsi="Arial" w:cs="Arial"/>
          <w:noProof/>
          <w:sz w:val="20"/>
          <w:szCs w:val="24"/>
        </w:rPr>
        <w:t>[95]</w:t>
      </w:r>
      <w:r w:rsidRPr="00253AC2">
        <w:rPr>
          <w:rFonts w:ascii="Arial" w:hAnsi="Arial" w:cs="Arial"/>
          <w:noProof/>
          <w:sz w:val="20"/>
          <w:szCs w:val="24"/>
        </w:rPr>
        <w:tab/>
        <w:t>M. J. Groom, E. M. Gray, and P. A. Townsend, “Biofuels and Biodiversity : Principles for Creating Better Policies for Biofuel Production,” no. July 2008, 2018, doi: 10.1111/j.1523-1739.2007.00879.x.</w:t>
      </w:r>
    </w:p>
    <w:p w14:paraId="162163E0" w14:textId="77777777" w:rsidR="00253AC2" w:rsidRPr="00253AC2" w:rsidRDefault="00253AC2" w:rsidP="00953AE5">
      <w:pPr>
        <w:widowControl w:val="0"/>
        <w:autoSpaceDE w:val="0"/>
        <w:autoSpaceDN w:val="0"/>
        <w:adjustRightInd w:val="0"/>
        <w:spacing w:after="0" w:line="240" w:lineRule="auto"/>
        <w:ind w:left="426" w:hangingChars="214" w:hanging="428"/>
        <w:jc w:val="both"/>
        <w:rPr>
          <w:rFonts w:ascii="Arial" w:hAnsi="Arial" w:cs="Arial"/>
          <w:noProof/>
          <w:sz w:val="20"/>
        </w:rPr>
      </w:pPr>
      <w:r w:rsidRPr="00253AC2">
        <w:rPr>
          <w:rFonts w:ascii="Arial" w:hAnsi="Arial" w:cs="Arial"/>
          <w:noProof/>
          <w:sz w:val="20"/>
          <w:szCs w:val="24"/>
        </w:rPr>
        <w:t>[96]</w:t>
      </w:r>
      <w:r w:rsidRPr="00253AC2">
        <w:rPr>
          <w:rFonts w:ascii="Arial" w:hAnsi="Arial" w:cs="Arial"/>
          <w:noProof/>
          <w:sz w:val="20"/>
          <w:szCs w:val="24"/>
        </w:rPr>
        <w:tab/>
        <w:t xml:space="preserve">M. C. M. van Tol, J. A. Moncada, Z. Lukszo, and M. Weijnen, “Modelling the interaction between policies and international trade flows for liquid biofuels: an agent-based modelling approach,” </w:t>
      </w:r>
      <w:r w:rsidRPr="00253AC2">
        <w:rPr>
          <w:rFonts w:ascii="Arial" w:hAnsi="Arial" w:cs="Arial"/>
          <w:i/>
          <w:iCs/>
          <w:noProof/>
          <w:sz w:val="20"/>
          <w:szCs w:val="24"/>
        </w:rPr>
        <w:t>Energy Policy</w:t>
      </w:r>
      <w:r w:rsidRPr="00253AC2">
        <w:rPr>
          <w:rFonts w:ascii="Arial" w:hAnsi="Arial" w:cs="Arial"/>
          <w:noProof/>
          <w:sz w:val="20"/>
          <w:szCs w:val="24"/>
        </w:rPr>
        <w:t>, vol. 149, p. 112021, 2021, doi: https://doi.org/10.1016/j.enpol.2020.112021.</w:t>
      </w:r>
    </w:p>
    <w:p w14:paraId="6C13E346" w14:textId="73D68E94" w:rsidR="003D1DB8" w:rsidRDefault="008E12F7" w:rsidP="00953AE5">
      <w:pPr>
        <w:pBdr>
          <w:top w:val="nil"/>
          <w:left w:val="nil"/>
          <w:bottom w:val="nil"/>
          <w:right w:val="nil"/>
          <w:between w:val="nil"/>
        </w:pBdr>
        <w:shd w:val="clear" w:color="auto" w:fill="FFFFFF"/>
        <w:spacing w:after="0" w:line="240" w:lineRule="auto"/>
        <w:ind w:left="426" w:hangingChars="214" w:hanging="428"/>
        <w:jc w:val="both"/>
        <w:rPr>
          <w:rFonts w:ascii="Arial" w:eastAsia="Arial" w:hAnsi="Arial" w:cs="Arial"/>
          <w:color w:val="000000"/>
          <w:sz w:val="20"/>
          <w:szCs w:val="20"/>
        </w:rPr>
      </w:pPr>
      <w:r w:rsidRPr="006D1605">
        <w:rPr>
          <w:rFonts w:ascii="Arial" w:hAnsi="Arial" w:cs="Arial"/>
          <w:sz w:val="20"/>
          <w:szCs w:val="20"/>
        </w:rPr>
        <w:fldChar w:fldCharType="end"/>
      </w:r>
    </w:p>
    <w:sectPr w:rsidR="003D1DB8">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E4B6" w14:textId="77777777" w:rsidR="002C4304" w:rsidRDefault="002C4304">
      <w:pPr>
        <w:spacing w:after="0" w:line="240" w:lineRule="auto"/>
        <w:ind w:left="0" w:hanging="2"/>
      </w:pPr>
      <w:r>
        <w:separator/>
      </w:r>
    </w:p>
  </w:endnote>
  <w:endnote w:type="continuationSeparator" w:id="0">
    <w:p w14:paraId="5208A85C" w14:textId="77777777" w:rsidR="002C4304" w:rsidRDefault="002C430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D157" w14:textId="77777777" w:rsidR="003D1DB8" w:rsidRDefault="003D1DB8">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3D1DB8" w14:paraId="2636126E" w14:textId="77777777">
      <w:tc>
        <w:tcPr>
          <w:tcW w:w="1242" w:type="dxa"/>
        </w:tcPr>
        <w:p w14:paraId="37B1CDAC" w14:textId="77777777" w:rsidR="003D1DB8" w:rsidRDefault="00283E1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6F30">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3B2C1BDF" w14:textId="77777777" w:rsidR="003D1DB8" w:rsidRDefault="00283E1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A. Adriansyah et al., Author Template for SINERGI</w:t>
          </w:r>
        </w:p>
      </w:tc>
    </w:tr>
  </w:tbl>
  <w:p w14:paraId="036DC654" w14:textId="77777777" w:rsidR="003D1DB8" w:rsidRDefault="003D1DB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FB02" w14:textId="77777777" w:rsidR="003D1DB8" w:rsidRDefault="003D1DB8">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3D1DB8" w14:paraId="3CF3D5AD" w14:textId="77777777">
      <w:tc>
        <w:tcPr>
          <w:tcW w:w="8453" w:type="dxa"/>
        </w:tcPr>
        <w:p w14:paraId="6EC73DA9" w14:textId="77777777" w:rsidR="003D1DB8" w:rsidRDefault="00283E1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 Adriansyah et al., Author Template for SINERGI</w:t>
          </w:r>
        </w:p>
      </w:tc>
      <w:tc>
        <w:tcPr>
          <w:tcW w:w="727" w:type="dxa"/>
        </w:tcPr>
        <w:p w14:paraId="6C95769A" w14:textId="77777777" w:rsidR="003D1DB8" w:rsidRDefault="00283E1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6F30">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71591EB1" w14:textId="77777777" w:rsidR="003D1DB8" w:rsidRDefault="003D1DB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ABC0" w14:textId="77777777" w:rsidR="003D1DB8" w:rsidRDefault="003D1DB8">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3D1DB8" w14:paraId="6104700A" w14:textId="77777777">
      <w:tc>
        <w:tcPr>
          <w:tcW w:w="8453" w:type="dxa"/>
        </w:tcPr>
        <w:p w14:paraId="35179B39" w14:textId="77777777" w:rsidR="003D1DB8" w:rsidRDefault="00283E1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Adriansyah et al., Author Template for SINERGI </w:t>
          </w:r>
        </w:p>
      </w:tc>
      <w:tc>
        <w:tcPr>
          <w:tcW w:w="727" w:type="dxa"/>
        </w:tcPr>
        <w:p w14:paraId="65AAB591" w14:textId="77777777" w:rsidR="003D1DB8" w:rsidRDefault="00283E1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6F30">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24B0CD9" w14:textId="77777777" w:rsidR="003D1DB8" w:rsidRDefault="003D1DB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D2F6" w14:textId="77777777" w:rsidR="002C4304" w:rsidRDefault="002C4304">
      <w:pPr>
        <w:spacing w:after="0" w:line="240" w:lineRule="auto"/>
        <w:ind w:left="0" w:hanging="2"/>
      </w:pPr>
      <w:r>
        <w:separator/>
      </w:r>
    </w:p>
  </w:footnote>
  <w:footnote w:type="continuationSeparator" w:id="0">
    <w:p w14:paraId="27AEE1AE" w14:textId="77777777" w:rsidR="002C4304" w:rsidRDefault="002C430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AECD" w14:textId="77777777" w:rsidR="003D1DB8" w:rsidRDefault="003D1DB8">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3D1DB8" w14:paraId="592AD638" w14:textId="77777777">
      <w:tc>
        <w:tcPr>
          <w:tcW w:w="9288" w:type="dxa"/>
        </w:tcPr>
        <w:p w14:paraId="1409DB32" w14:textId="77777777" w:rsidR="003D1DB8" w:rsidRDefault="00283E1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5B690001" w14:textId="77777777" w:rsidR="003D1DB8" w:rsidRDefault="003D1DB8">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5934" w14:textId="77777777" w:rsidR="003D1DB8" w:rsidRDefault="003D1DB8">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3D1DB8" w14:paraId="55EC01E3" w14:textId="77777777">
      <w:tc>
        <w:tcPr>
          <w:tcW w:w="9288" w:type="dxa"/>
        </w:tcPr>
        <w:p w14:paraId="5B2FDADC" w14:textId="77777777" w:rsidR="003D1DB8" w:rsidRDefault="00283E1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tbl>
  <w:p w14:paraId="5A1144BE" w14:textId="77777777" w:rsidR="003D1DB8" w:rsidRDefault="003D1DB8">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0356" w14:textId="77777777" w:rsidR="003D1DB8" w:rsidRDefault="003D1DB8">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3D1DB8" w14:paraId="1F4A907A" w14:textId="77777777">
      <w:tc>
        <w:tcPr>
          <w:tcW w:w="1701" w:type="dxa"/>
        </w:tcPr>
        <w:p w14:paraId="1E3CA974" w14:textId="77777777" w:rsidR="003D1DB8" w:rsidRDefault="00283E1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10302318" wp14:editId="21BF0D63">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183D7BE3" w14:textId="77777777" w:rsidR="003D1DB8" w:rsidRDefault="00283E1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09C680DF" w14:textId="77777777" w:rsidR="003D1DB8" w:rsidRDefault="00283E10">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39715540" wp14:editId="4BE03A43">
                <wp:extent cx="627380" cy="784225"/>
                <wp:effectExtent l="0" t="0" r="0" b="0"/>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0A956B45" w14:textId="77777777" w:rsidR="003D1DB8" w:rsidRDefault="003D1DB8">
    <w:pPr>
      <w:pBdr>
        <w:top w:val="nil"/>
        <w:left w:val="nil"/>
        <w:bottom w:val="nil"/>
        <w:right w:val="nil"/>
        <w:between w:val="nil"/>
      </w:pBdr>
      <w:spacing w:after="0" w:line="240" w:lineRule="auto"/>
      <w:ind w:left="0" w:hanging="2"/>
      <w:rPr>
        <w:color w:val="000000"/>
      </w:rPr>
    </w:pPr>
  </w:p>
  <w:p w14:paraId="2140EC77" w14:textId="77777777" w:rsidR="003D1DB8" w:rsidRDefault="003D1DB8">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54F39"/>
    <w:multiLevelType w:val="hybridMultilevel"/>
    <w:tmpl w:val="CE16DE4A"/>
    <w:lvl w:ilvl="0" w:tplc="D7A2F7E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9562F6E"/>
    <w:multiLevelType w:val="multilevel"/>
    <w:tmpl w:val="A51EE0E0"/>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8A5C77"/>
    <w:multiLevelType w:val="hybridMultilevel"/>
    <w:tmpl w:val="D37858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C18463C"/>
    <w:multiLevelType w:val="multilevel"/>
    <w:tmpl w:val="843EA0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EA61A42"/>
    <w:multiLevelType w:val="hybridMultilevel"/>
    <w:tmpl w:val="2D7435BE"/>
    <w:lvl w:ilvl="0" w:tplc="1B364C06">
      <w:start w:val="1"/>
      <w:numFmt w:val="lowerLetter"/>
      <w:lvlText w:val="%1."/>
      <w:lvlJc w:val="left"/>
      <w:pPr>
        <w:ind w:left="720" w:hanging="360"/>
      </w:pPr>
      <w:rPr>
        <w:rFonts w:ascii="Arial" w:eastAsia="Times New Roman"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01181470">
    <w:abstractNumId w:val="3"/>
  </w:num>
  <w:num w:numId="2" w16cid:durableId="783883631">
    <w:abstractNumId w:val="1"/>
  </w:num>
  <w:num w:numId="3" w16cid:durableId="1657683119">
    <w:abstractNumId w:val="4"/>
  </w:num>
  <w:num w:numId="4" w16cid:durableId="250940754">
    <w:abstractNumId w:val="0"/>
  </w:num>
  <w:num w:numId="5" w16cid:durableId="22796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wMDMzNzKxMDazMLFU0lEKTi0uzszPAykwrQUAUlU4aSwAAAA="/>
  </w:docVars>
  <w:rsids>
    <w:rsidRoot w:val="003D1DB8"/>
    <w:rsid w:val="000225CD"/>
    <w:rsid w:val="00062EEE"/>
    <w:rsid w:val="000B688A"/>
    <w:rsid w:val="00164614"/>
    <w:rsid w:val="0017704E"/>
    <w:rsid w:val="001E0F47"/>
    <w:rsid w:val="00253AC2"/>
    <w:rsid w:val="00283E10"/>
    <w:rsid w:val="002C4304"/>
    <w:rsid w:val="003D1DB8"/>
    <w:rsid w:val="00427763"/>
    <w:rsid w:val="00497063"/>
    <w:rsid w:val="004F32BD"/>
    <w:rsid w:val="005631F3"/>
    <w:rsid w:val="005D7B28"/>
    <w:rsid w:val="00646F30"/>
    <w:rsid w:val="00765943"/>
    <w:rsid w:val="008E12F7"/>
    <w:rsid w:val="00953AE5"/>
    <w:rsid w:val="0096266C"/>
    <w:rsid w:val="00AB52E8"/>
    <w:rsid w:val="00B043DC"/>
    <w:rsid w:val="00B67B49"/>
    <w:rsid w:val="00EB57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C4172B4"/>
  <w15:docId w15:val="{A6A3C666-7773-4E83-9C75-04FDF3F7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ino.rimantho@univpancasila.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7CF8FE40-66C3-4382-B8E2-072C30956D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35346</Words>
  <Characters>201475</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Prof DR. Ir. Andi Adriansyah,. M.Eng</cp:lastModifiedBy>
  <cp:revision>7</cp:revision>
  <dcterms:created xsi:type="dcterms:W3CDTF">2025-03-25T04:03:00Z</dcterms:created>
  <dcterms:modified xsi:type="dcterms:W3CDTF">2025-04-01T13:00:00Z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819cc25e-43bc-35e0-87e3-ca3b0c56871d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