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23867DD8" w:rsidR="00FF0465" w:rsidRDefault="007B76E4">
      <w:pPr>
        <w:widowControl w:val="0"/>
        <w:pBdr>
          <w:top w:val="nil"/>
          <w:left w:val="nil"/>
          <w:bottom w:val="nil"/>
          <w:right w:val="nil"/>
          <w:between w:val="nil"/>
        </w:pBdr>
        <w:spacing w:after="0"/>
        <w:ind w:left="0" w:hanging="2"/>
        <w:rPr>
          <w:rFonts w:ascii="Arial" w:eastAsia="Arial" w:hAnsi="Arial" w:cs="Arial"/>
          <w:color w:val="000000"/>
        </w:rPr>
      </w:pPr>
      <w:r>
        <w:pict w14:anchorId="5537BE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FF0465" w14:paraId="5687313D" w14:textId="77777777">
        <w:tc>
          <w:tcPr>
            <w:tcW w:w="8504" w:type="dxa"/>
          </w:tcPr>
          <w:p w14:paraId="00000003" w14:textId="67E78D52" w:rsidR="00FF0465" w:rsidRDefault="00B77AD5">
            <w:pPr>
              <w:pStyle w:val="Title"/>
              <w:ind w:left="1" w:hanging="3"/>
              <w:jc w:val="left"/>
              <w:rPr>
                <w:rFonts w:ascii="Arial" w:eastAsia="Arial" w:hAnsi="Arial" w:cs="Arial"/>
                <w:sz w:val="30"/>
                <w:szCs w:val="30"/>
              </w:rPr>
            </w:pPr>
            <w:r w:rsidRPr="00B77AD5">
              <w:rPr>
                <w:rFonts w:ascii="Arial" w:eastAsia="Arial" w:hAnsi="Arial" w:cs="Arial"/>
              </w:rPr>
              <w:t>A Predictive Safety and Maintenance Framework For Railway Locomotives: Integrating HAZOP, FMEA, and IoT-Based Risk Mitigation</w:t>
            </w:r>
          </w:p>
        </w:tc>
        <w:tc>
          <w:tcPr>
            <w:tcW w:w="784" w:type="dxa"/>
            <w:vAlign w:val="center"/>
          </w:tcPr>
          <w:p w14:paraId="00000004" w14:textId="77777777" w:rsidR="00FF0465" w:rsidRDefault="00500ED1">
            <w:pPr>
              <w:pStyle w:val="Title"/>
              <w:ind w:left="1" w:hanging="3"/>
              <w:rPr>
                <w:rFonts w:ascii="Arial" w:eastAsia="Arial" w:hAnsi="Arial" w:cs="Arial"/>
              </w:rPr>
            </w:pPr>
            <w:r>
              <w:rPr>
                <w:rFonts w:ascii="Arial" w:eastAsia="Arial" w:hAnsi="Arial" w:cs="Arial"/>
                <w:noProof/>
              </w:rPr>
              <w:drawing>
                <wp:inline distT="0" distB="0" distL="114300" distR="114300">
                  <wp:extent cx="360045" cy="36004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00000005" w14:textId="77777777" w:rsidR="00FF0465" w:rsidRDefault="00FF0465">
      <w:pPr>
        <w:pStyle w:val="Title"/>
        <w:ind w:left="1" w:hanging="3"/>
        <w:rPr>
          <w:rFonts w:ascii="Arial" w:eastAsia="Arial" w:hAnsi="Arial" w:cs="Arial"/>
        </w:rPr>
      </w:pPr>
    </w:p>
    <w:p w14:paraId="00000006" w14:textId="709D3EF0" w:rsidR="00FF0465" w:rsidRDefault="00B77AD5">
      <w:pPr>
        <w:widowControl w:val="0"/>
        <w:spacing w:after="0" w:line="240" w:lineRule="auto"/>
        <w:ind w:left="0" w:hanging="2"/>
        <w:rPr>
          <w:rFonts w:ascii="Arial" w:eastAsia="Arial" w:hAnsi="Arial" w:cs="Arial"/>
          <w:sz w:val="20"/>
          <w:szCs w:val="20"/>
        </w:rPr>
      </w:pPr>
      <w:r w:rsidRPr="00B77AD5">
        <w:rPr>
          <w:rFonts w:ascii="Arial" w:eastAsia="Arial" w:hAnsi="Arial" w:cs="Arial"/>
          <w:b/>
          <w:sz w:val="20"/>
          <w:szCs w:val="20"/>
        </w:rPr>
        <w:t>Rifki Muhendra</w:t>
      </w:r>
      <w:r w:rsidRPr="00B77AD5">
        <w:rPr>
          <w:rFonts w:ascii="Arial" w:eastAsia="Arial" w:hAnsi="Arial" w:cs="Arial"/>
          <w:b/>
          <w:sz w:val="20"/>
          <w:szCs w:val="20"/>
          <w:vertAlign w:val="superscript"/>
        </w:rPr>
        <w:t>1</w:t>
      </w:r>
      <w:r w:rsidRPr="00B77AD5">
        <w:rPr>
          <w:rFonts w:ascii="Arial" w:eastAsia="Arial" w:hAnsi="Arial" w:cs="Arial"/>
          <w:b/>
          <w:sz w:val="20"/>
          <w:szCs w:val="20"/>
        </w:rPr>
        <w:t>*, Zain Fadhlurrohman</w:t>
      </w:r>
      <w:r w:rsidRPr="00B77AD5">
        <w:rPr>
          <w:rFonts w:ascii="Arial" w:eastAsia="Arial" w:hAnsi="Arial" w:cs="Arial"/>
          <w:b/>
          <w:sz w:val="20"/>
          <w:szCs w:val="20"/>
          <w:vertAlign w:val="superscript"/>
        </w:rPr>
        <w:t>1</w:t>
      </w:r>
      <w:r w:rsidRPr="00B77AD5">
        <w:rPr>
          <w:rFonts w:ascii="Arial" w:eastAsia="Arial" w:hAnsi="Arial" w:cs="Arial"/>
          <w:b/>
          <w:sz w:val="20"/>
          <w:szCs w:val="20"/>
        </w:rPr>
        <w:t>, Farhan Indra Pratama Adi</w:t>
      </w:r>
      <w:r w:rsidRPr="00B77AD5">
        <w:rPr>
          <w:rFonts w:ascii="Arial" w:eastAsia="Arial" w:hAnsi="Arial" w:cs="Arial"/>
          <w:b/>
          <w:sz w:val="20"/>
          <w:szCs w:val="20"/>
          <w:vertAlign w:val="superscript"/>
        </w:rPr>
        <w:t>1</w:t>
      </w:r>
      <w:r w:rsidRPr="00B77AD5">
        <w:rPr>
          <w:rFonts w:ascii="Arial" w:eastAsia="Arial" w:hAnsi="Arial" w:cs="Arial"/>
          <w:b/>
          <w:sz w:val="20"/>
          <w:szCs w:val="20"/>
        </w:rPr>
        <w:t>, Zulkani</w:t>
      </w:r>
      <w:r w:rsidRPr="00B77AD5">
        <w:rPr>
          <w:rFonts w:ascii="Arial" w:eastAsia="Arial" w:hAnsi="Arial" w:cs="Arial"/>
          <w:b/>
          <w:sz w:val="20"/>
          <w:szCs w:val="20"/>
          <w:vertAlign w:val="superscript"/>
        </w:rPr>
        <w:t>1</w:t>
      </w:r>
      <w:r w:rsidRPr="00B77AD5">
        <w:rPr>
          <w:rFonts w:ascii="Arial" w:eastAsia="Arial" w:hAnsi="Arial" w:cs="Arial"/>
          <w:b/>
          <w:sz w:val="20"/>
          <w:szCs w:val="20"/>
        </w:rPr>
        <w:t>, A</w:t>
      </w:r>
      <w:r w:rsidR="00B62D0D">
        <w:rPr>
          <w:rFonts w:ascii="Arial" w:eastAsia="Arial" w:hAnsi="Arial" w:cs="Arial"/>
          <w:b/>
          <w:sz w:val="20"/>
          <w:szCs w:val="20"/>
        </w:rPr>
        <w:t>n</w:t>
      </w:r>
      <w:r w:rsidRPr="00B77AD5">
        <w:rPr>
          <w:rFonts w:ascii="Arial" w:eastAsia="Arial" w:hAnsi="Arial" w:cs="Arial"/>
          <w:b/>
          <w:sz w:val="20"/>
          <w:szCs w:val="20"/>
        </w:rPr>
        <w:t>di Turseno</w:t>
      </w:r>
      <w:r w:rsidRPr="00B77AD5">
        <w:rPr>
          <w:rFonts w:ascii="Arial" w:eastAsia="Arial" w:hAnsi="Arial" w:cs="Arial"/>
          <w:b/>
          <w:sz w:val="20"/>
          <w:szCs w:val="20"/>
          <w:vertAlign w:val="superscript"/>
        </w:rPr>
        <w:t>1</w:t>
      </w:r>
      <w:r w:rsidR="00500ED1">
        <w:rPr>
          <w:rFonts w:ascii="Arial" w:eastAsia="Arial" w:hAnsi="Arial" w:cs="Arial"/>
          <w:b/>
          <w:sz w:val="20"/>
          <w:szCs w:val="20"/>
        </w:rPr>
        <w:t xml:space="preserve"> </w:t>
      </w:r>
    </w:p>
    <w:p w14:paraId="00000007" w14:textId="202B46F7" w:rsidR="00FF0465" w:rsidRDefault="00500ED1">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B77AD5" w:rsidRPr="00B77AD5">
        <w:rPr>
          <w:rFonts w:ascii="Arial" w:eastAsia="Arial" w:hAnsi="Arial" w:cs="Arial"/>
          <w:sz w:val="16"/>
          <w:szCs w:val="16"/>
        </w:rPr>
        <w:t>Industrial Engineering Study Program, Faculty of Engineering, Universitas Bhayangkara Jakarta Raya</w:t>
      </w:r>
      <w:r>
        <w:rPr>
          <w:rFonts w:ascii="Arial" w:eastAsia="Arial" w:hAnsi="Arial" w:cs="Arial"/>
          <w:sz w:val="16"/>
          <w:szCs w:val="16"/>
        </w:rPr>
        <w:t>, Indonesia</w:t>
      </w:r>
    </w:p>
    <w:p w14:paraId="0000000B" w14:textId="77777777" w:rsidR="00FF0465" w:rsidRDefault="00FF0465">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FF0465" w14:paraId="1B78E527" w14:textId="77777777">
        <w:tc>
          <w:tcPr>
            <w:tcW w:w="6236" w:type="dxa"/>
            <w:shd w:val="clear" w:color="auto" w:fill="9CC2E5"/>
          </w:tcPr>
          <w:p w14:paraId="0000000C" w14:textId="77777777" w:rsidR="00FF0465" w:rsidRDefault="00500ED1">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0000000D" w14:textId="263BF505" w:rsidR="00FF0465" w:rsidRDefault="00B77AD5">
            <w:pPr>
              <w:shd w:val="clear" w:color="auto" w:fill="9CC2E5"/>
              <w:spacing w:after="0" w:line="240" w:lineRule="auto"/>
              <w:ind w:left="0" w:hanging="2"/>
              <w:jc w:val="both"/>
              <w:rPr>
                <w:rFonts w:ascii="Arial" w:eastAsia="Arial" w:hAnsi="Arial" w:cs="Arial"/>
                <w:sz w:val="20"/>
                <w:szCs w:val="20"/>
              </w:rPr>
            </w:pPr>
            <w:r w:rsidRPr="00B77AD5">
              <w:rPr>
                <w:rFonts w:ascii="Arial" w:eastAsia="Arial" w:hAnsi="Arial" w:cs="Arial"/>
                <w:i/>
                <w:sz w:val="20"/>
                <w:szCs w:val="20"/>
              </w:rPr>
              <w:t>Safety and maintenance efficiency are critical challenges in the railway industry, particularly in the use of lifting jacks for locomotive maintenance. This study proposes a predictive maintenance framework that integrates the Hazard and Operability Study (HAZOP), Failure Mode and Effect Analysis (FMEA), and Internet of Things (IoT) technology to detect potential failures in real time. A case study was conducted at a locomotive maintenance depot in Indonesia, where several occupational accidents had been recorded due to lifting jack malfunctions. Based on HAZOP and FMEA analysis, components such as stoppers and drive motors were identified as having high Risk Priority Numbers (RPN), each reaching 512, indicating significant failure risks. The proposed IoT system employs HCSR-04 and MPU6050 sensors to accurately monitor the height and inclination of the equipment. Evaluation results show that the system effectively detects anomalies with minimal data deviation and a low data loss rate during a 10-day testing period. The implementation of this system significantly reduces workplace accident risks, improves maintenance efficiency, and supports digital transformation within the industrial environment. These findings demonstrate that the integration of HAZOP-FMEA and IoT is effective for risk mitigation and can be replicated for other railway components. Moreover, this research opens new avenues for developing AI-based predictive systems and implementing digital twins as part of future smart maintenance strategies.</w:t>
            </w:r>
          </w:p>
          <w:p w14:paraId="0000000E" w14:textId="77777777" w:rsidR="00FF0465" w:rsidRDefault="00FF0465">
            <w:pPr>
              <w:spacing w:after="0" w:line="240" w:lineRule="auto"/>
              <w:ind w:left="0" w:hanging="2"/>
              <w:jc w:val="both"/>
              <w:rPr>
                <w:rFonts w:ascii="Arial" w:eastAsia="Arial" w:hAnsi="Arial" w:cs="Arial"/>
                <w:sz w:val="20"/>
                <w:szCs w:val="20"/>
              </w:rPr>
            </w:pPr>
          </w:p>
          <w:p w14:paraId="0000000F" w14:textId="77777777" w:rsidR="00FF0465" w:rsidRDefault="00500ED1">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00000010" w14:textId="77777777" w:rsidR="00FF0465" w:rsidRDefault="00500ED1">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00000011" w14:textId="77777777" w:rsidR="00FF0465" w:rsidRDefault="00500ED1">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06BBD3EC" w14:textId="77777777" w:rsidR="00B77AD5" w:rsidRDefault="00B77AD5">
            <w:pPr>
              <w:widowControl w:val="0"/>
              <w:spacing w:after="0" w:line="240" w:lineRule="auto"/>
              <w:ind w:left="0" w:hanging="2"/>
              <w:rPr>
                <w:rFonts w:ascii="Arial" w:eastAsia="Arial" w:hAnsi="Arial" w:cs="Arial"/>
                <w:i/>
                <w:sz w:val="18"/>
                <w:szCs w:val="18"/>
                <w:lang w:val="en-ID"/>
              </w:rPr>
            </w:pPr>
            <w:r w:rsidRPr="00B77AD5">
              <w:rPr>
                <w:rFonts w:ascii="Arial" w:eastAsia="Arial" w:hAnsi="Arial" w:cs="Arial"/>
                <w:i/>
                <w:sz w:val="18"/>
                <w:szCs w:val="18"/>
                <w:lang w:val="en-ID"/>
              </w:rPr>
              <w:t>Predictive Maintenance</w:t>
            </w:r>
            <w:r>
              <w:rPr>
                <w:rFonts w:ascii="Arial" w:eastAsia="Arial" w:hAnsi="Arial" w:cs="Arial"/>
                <w:i/>
                <w:sz w:val="18"/>
                <w:szCs w:val="18"/>
                <w:lang w:val="en-ID"/>
              </w:rPr>
              <w:t>;</w:t>
            </w:r>
          </w:p>
          <w:p w14:paraId="5A6A078E" w14:textId="77777777" w:rsidR="00B77AD5" w:rsidRDefault="00B77AD5">
            <w:pPr>
              <w:widowControl w:val="0"/>
              <w:spacing w:after="0" w:line="240" w:lineRule="auto"/>
              <w:ind w:left="0" w:hanging="2"/>
              <w:rPr>
                <w:rFonts w:ascii="Arial" w:eastAsia="Arial" w:hAnsi="Arial" w:cs="Arial"/>
                <w:i/>
                <w:sz w:val="18"/>
                <w:szCs w:val="18"/>
                <w:lang w:val="en-ID"/>
              </w:rPr>
            </w:pPr>
            <w:r w:rsidRPr="00B77AD5">
              <w:rPr>
                <w:rFonts w:ascii="Arial" w:eastAsia="Arial" w:hAnsi="Arial" w:cs="Arial"/>
                <w:i/>
                <w:sz w:val="18"/>
                <w:szCs w:val="18"/>
                <w:lang w:val="en-ID"/>
              </w:rPr>
              <w:t>IoT</w:t>
            </w:r>
            <w:r>
              <w:rPr>
                <w:rFonts w:ascii="Arial" w:eastAsia="Arial" w:hAnsi="Arial" w:cs="Arial"/>
                <w:i/>
                <w:sz w:val="18"/>
                <w:szCs w:val="18"/>
                <w:lang w:val="en-ID"/>
              </w:rPr>
              <w:t>;</w:t>
            </w:r>
          </w:p>
          <w:p w14:paraId="3054DBAF" w14:textId="77777777" w:rsidR="00B77AD5" w:rsidRDefault="00B77AD5">
            <w:pPr>
              <w:widowControl w:val="0"/>
              <w:spacing w:after="0" w:line="240" w:lineRule="auto"/>
              <w:ind w:left="0" w:hanging="2"/>
              <w:rPr>
                <w:rFonts w:ascii="Arial" w:eastAsia="Arial" w:hAnsi="Arial" w:cs="Arial"/>
                <w:i/>
                <w:sz w:val="18"/>
                <w:szCs w:val="18"/>
                <w:lang w:val="en-ID"/>
              </w:rPr>
            </w:pPr>
            <w:r w:rsidRPr="00B77AD5">
              <w:rPr>
                <w:rFonts w:ascii="Arial" w:eastAsia="Arial" w:hAnsi="Arial" w:cs="Arial"/>
                <w:i/>
                <w:sz w:val="18"/>
                <w:szCs w:val="18"/>
                <w:lang w:val="en-ID"/>
              </w:rPr>
              <w:t>HAZOP</w:t>
            </w:r>
            <w:r>
              <w:rPr>
                <w:rFonts w:ascii="Arial" w:eastAsia="Arial" w:hAnsi="Arial" w:cs="Arial"/>
                <w:i/>
                <w:sz w:val="18"/>
                <w:szCs w:val="18"/>
                <w:lang w:val="en-ID"/>
              </w:rPr>
              <w:t>;</w:t>
            </w:r>
          </w:p>
          <w:p w14:paraId="02587C53" w14:textId="77777777" w:rsidR="009D0C45" w:rsidRDefault="00B77AD5">
            <w:pPr>
              <w:widowControl w:val="0"/>
              <w:spacing w:after="0" w:line="240" w:lineRule="auto"/>
              <w:ind w:left="0" w:hanging="2"/>
              <w:rPr>
                <w:rFonts w:ascii="Arial" w:eastAsia="Arial" w:hAnsi="Arial" w:cs="Arial"/>
                <w:i/>
                <w:sz w:val="18"/>
                <w:szCs w:val="18"/>
                <w:lang w:val="en-ID"/>
              </w:rPr>
            </w:pPr>
            <w:r w:rsidRPr="00B77AD5">
              <w:rPr>
                <w:rFonts w:ascii="Arial" w:eastAsia="Arial" w:hAnsi="Arial" w:cs="Arial"/>
                <w:i/>
                <w:sz w:val="18"/>
                <w:szCs w:val="18"/>
                <w:lang w:val="en-ID"/>
              </w:rPr>
              <w:t>FMEA</w:t>
            </w:r>
            <w:r w:rsidR="009D0C45">
              <w:rPr>
                <w:rFonts w:ascii="Arial" w:eastAsia="Arial" w:hAnsi="Arial" w:cs="Arial"/>
                <w:i/>
                <w:sz w:val="18"/>
                <w:szCs w:val="18"/>
                <w:lang w:val="en-ID"/>
              </w:rPr>
              <w:t>;</w:t>
            </w:r>
          </w:p>
          <w:p w14:paraId="00000015" w14:textId="1C2CEBA3" w:rsidR="00FF0465" w:rsidRDefault="00B77AD5">
            <w:pPr>
              <w:widowControl w:val="0"/>
              <w:spacing w:after="0" w:line="240" w:lineRule="auto"/>
              <w:ind w:left="0" w:hanging="2"/>
              <w:rPr>
                <w:rFonts w:ascii="Arial" w:eastAsia="Arial" w:hAnsi="Arial" w:cs="Arial"/>
                <w:sz w:val="18"/>
                <w:szCs w:val="18"/>
              </w:rPr>
            </w:pPr>
            <w:r w:rsidRPr="00B77AD5">
              <w:rPr>
                <w:rFonts w:ascii="Arial" w:eastAsia="Arial" w:hAnsi="Arial" w:cs="Arial"/>
                <w:i/>
                <w:sz w:val="18"/>
                <w:szCs w:val="18"/>
                <w:lang w:val="en-ID"/>
              </w:rPr>
              <w:t>Railway Safety</w:t>
            </w:r>
          </w:p>
          <w:p w14:paraId="00000016" w14:textId="77777777" w:rsidR="00FF0465" w:rsidRDefault="00FF0465">
            <w:pPr>
              <w:widowControl w:val="0"/>
              <w:tabs>
                <w:tab w:val="left" w:pos="9020"/>
              </w:tabs>
              <w:spacing w:after="0" w:line="240" w:lineRule="auto"/>
              <w:ind w:left="0" w:hanging="2"/>
              <w:rPr>
                <w:rFonts w:ascii="Arial" w:eastAsia="Arial" w:hAnsi="Arial" w:cs="Arial"/>
                <w:sz w:val="18"/>
                <w:szCs w:val="18"/>
              </w:rPr>
            </w:pPr>
          </w:p>
          <w:p w14:paraId="00000017"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00000018"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00000019"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0000001A"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0000001B"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0000001C" w14:textId="77777777" w:rsidR="00FF0465" w:rsidRDefault="00FF0465">
            <w:pPr>
              <w:widowControl w:val="0"/>
              <w:tabs>
                <w:tab w:val="left" w:pos="9020"/>
              </w:tabs>
              <w:spacing w:after="0" w:line="240" w:lineRule="auto"/>
              <w:ind w:left="0" w:hanging="2"/>
              <w:rPr>
                <w:rFonts w:ascii="Arial" w:eastAsia="Arial" w:hAnsi="Arial" w:cs="Arial"/>
                <w:sz w:val="18"/>
                <w:szCs w:val="18"/>
              </w:rPr>
            </w:pPr>
          </w:p>
          <w:p w14:paraId="0000001D" w14:textId="77777777" w:rsidR="00FF0465" w:rsidRDefault="00500ED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0000001E" w14:textId="1EFF4DFE" w:rsidR="00FF0465" w:rsidRDefault="00B77AD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Rifki Muhendra</w:t>
            </w:r>
          </w:p>
          <w:p w14:paraId="0000001F" w14:textId="69DF2C14" w:rsidR="00FF0465" w:rsidRDefault="00B77AD5">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B77AD5">
              <w:rPr>
                <w:rFonts w:ascii="Arial" w:eastAsia="Arial" w:hAnsi="Arial" w:cs="Arial"/>
                <w:i/>
                <w:color w:val="000000"/>
                <w:sz w:val="18"/>
                <w:szCs w:val="18"/>
              </w:rPr>
              <w:t>Industrial Engineering Study Program, Faculty of Engineering, Universitas Bhayangkara Jakarta Raya, Indonesia</w:t>
            </w:r>
          </w:p>
          <w:p w14:paraId="00000021" w14:textId="59B6E29A" w:rsidR="00FF0465" w:rsidRDefault="00500ED1" w:rsidP="00B77AD5">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r>
              <w:rPr>
                <w:rFonts w:ascii="Arial" w:eastAsia="Arial" w:hAnsi="Arial" w:cs="Arial"/>
                <w:i/>
                <w:color w:val="000000"/>
                <w:sz w:val="18"/>
                <w:szCs w:val="18"/>
              </w:rPr>
              <w:t xml:space="preserve">Email: </w:t>
            </w:r>
            <w:r w:rsidR="00B77AD5">
              <w:rPr>
                <w:rFonts w:ascii="Arial" w:eastAsia="Arial" w:hAnsi="Arial" w:cs="Arial"/>
                <w:i/>
                <w:color w:val="000000"/>
                <w:sz w:val="18"/>
                <w:szCs w:val="18"/>
              </w:rPr>
              <w:t>rifki.muhendra@dsn.ubharajaya.ac.id</w:t>
            </w:r>
          </w:p>
        </w:tc>
      </w:tr>
    </w:tbl>
    <w:p w14:paraId="00000022" w14:textId="77777777" w:rsidR="00FF0465" w:rsidRDefault="00FF0465">
      <w:pPr>
        <w:widowControl w:val="0"/>
        <w:tabs>
          <w:tab w:val="left" w:pos="9020"/>
        </w:tabs>
        <w:spacing w:after="0" w:line="240" w:lineRule="auto"/>
        <w:ind w:left="0" w:hanging="2"/>
        <w:jc w:val="center"/>
        <w:rPr>
          <w:rFonts w:ascii="Arial" w:eastAsia="Arial" w:hAnsi="Arial" w:cs="Arial"/>
          <w:sz w:val="20"/>
          <w:szCs w:val="20"/>
        </w:rPr>
        <w:sectPr w:rsidR="00FF0465">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00000023" w14:textId="072F1C1F" w:rsidR="00FF0465" w:rsidRDefault="00500ED1">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INTRODUCTION </w:t>
      </w:r>
    </w:p>
    <w:p w14:paraId="2CB2FFE0" w14:textId="41574796" w:rsidR="00B77AD5" w:rsidRPr="00B77AD5" w:rsidRDefault="00B77AD5" w:rsidP="00B77AD5">
      <w:pPr>
        <w:spacing w:after="0" w:line="240" w:lineRule="auto"/>
        <w:ind w:left="0" w:hanging="2"/>
        <w:jc w:val="both"/>
        <w:textDirection w:val="lrTb"/>
        <w:rPr>
          <w:rFonts w:ascii="Arial" w:eastAsia="Arial" w:hAnsi="Arial" w:cs="Arial"/>
          <w:sz w:val="20"/>
          <w:szCs w:val="20"/>
        </w:rPr>
      </w:pPr>
      <w:r w:rsidRPr="00B77AD5">
        <w:rPr>
          <w:rFonts w:ascii="Arial" w:eastAsia="Arial" w:hAnsi="Arial" w:cs="Arial"/>
          <w:sz w:val="20"/>
          <w:szCs w:val="20"/>
        </w:rPr>
        <w:t>In the railway industry, locomotive maintenance plays a crucial role in ensuring operational safety and efficiency</w:t>
      </w:r>
      <w:r w:rsidRPr="00B77AD5">
        <w:rPr>
          <w:rFonts w:ascii="Arial" w:eastAsia="Arial" w:hAnsi="Arial" w:cs="Arial"/>
          <w:sz w:val="20"/>
          <w:szCs w:val="20"/>
        </w:rPr>
        <w:fldChar w:fldCharType="begin" w:fldLock="1"/>
      </w:r>
      <w:r w:rsidRPr="00B77AD5">
        <w:rPr>
          <w:rFonts w:ascii="Arial" w:eastAsia="Arial" w:hAnsi="Arial" w:cs="Arial"/>
          <w:sz w:val="20"/>
          <w:szCs w:val="20"/>
        </w:rPr>
        <w:instrText>ADDIN CSL_CITATION {"citationItems":[{"id":"ITEM-1","itemData":{"DOI":"10.30574/wjarr.2023.19.3.1876","abstract":"The Locomotive Depot has a maintenance layout with 6 main lines as maintenance lines. The layout of the facilities is also a problem at the Semarang Poncol locomotive depot because only 1 line can effectively carry out maintenance and repairs so this is a disadvantage because of the dense queue of locomotives wishing to be on duty carrying out daily checks or monthly checks. The problem is that these 3 routes are often 2 of which are not maximized properly and are only used as a place to wait for the repair process and 1 route is effective as a place for maintenance. The Systematic Layout Planning method is a method that plans the layout. The aim of arranging facilities is to increase work productivity and optimize the use of facilities such as work areas, machines and labor. One way to design a facility layout is to pay attention to the sequence of processes and the degree of closeness between units in the facility to be designed. Then, to calculate material handling at the Semarang Poncol Locomotive Depot using the systematic layout planning method, the results obtained from calculating material handling costs from the Semarang Poncol Locomotive Depot were Rp. 99,990/meter and for material handling equipment data, forklifts require material handling costs of Rp. 3,759,649 and for the high diesel speed (HSD) pump requires material handling costs of Rp. 84,288. For the proposed space requirements for each department or room, starting from the spare parts warehouse, the distance changes after calculating 0. Then the used spare parts warehouse changes the distance by -4.7, the lubricant warehouse by -0.1 and the fuel tank by +12.1. Space requirements are seen from the process (towards the maintenance route) after calculating the varying space requirements. From the very first lubricant warehouse and workshop, the distance change after calculating -3. Then followed by TPS B3 used lubricant of -1.9. Then the tool space is +1.1. Then the monitoring room is -5.5. Then the backup generator is -1.5. Furthermore, warehouse facilities are -6. Then the KR/staff space is -3.6. Then the TPS B3 filter is -0.3. Then the rotary spoiler is +13.4 and finally the lubricant warehouse II is +6.3 m2. With these calculations, after carrying out various data processing calculations, the proposed calculation using the systematic layout planning method is in accordance with the character of the Semarang Poncol Locomotive Depot as a service workshop owned by PT. Indonesian Railwa…","author":[{"dropping-particle":"","family":"Ferdy Kusumawardana","given":"","non-dropping-particle":"","parse-names":false,"suffix":""},{"dropping-particle":"","family":"Arfan Bakhtiar","given":"","non-dropping-particle":"","parse-names":false,"suffix":""},{"dropping-particle":"","family":"Singgih Saptadi","given":"","non-dropping-particle":"","parse-names":false,"suffix":""}],"container-title":"World Journal of Advanced Research and Reviews","id":"ITEM-1","issue":"3","issued":{"date-parts":[["2023"]]},"title":"Locomotive maintenance facility layout design using systematic layout planning method: Case study of Semarang Poncol locomotive depot","type":"article-journal","volume":"19"},"uris":["http://www.mendeley.com/documents/?uuid=ca8b4379-ac32-32bc-9e0e-c1743c2bec36"]},{"id":"ITEM-2","itemData":{"DOI":"10.1016/j.trb.2021.06.017","ISSN":"01912615","abstract":"This work addresses the Locomotive Scheduling Problem with Maintenance Constraints (LSPM). The basic Locomotive Scheduling Problem (LSP), which depicts one of the most crucial optimization problems occurring in the railway industry, aims at assigning a fleet of locomotives to a set of scheduled trains such that the overall costs are minimized. As the rolling stock represents one of the main costs of a rail company, the focus lies on maximizing the utilization of the locomotives. This requires the incorporation of special maintenance constraints that increase the computational difficulty of the problem significantly. In our previous work, we proposed a Mixed-Integer Linear Programming formulation for solving the LSPM and continue in this paper by investigating different heuristic solution approaches, i.e., an Overlapping Rolling Horizon Approach and a Two-Stage Matheuristic (2SMH). In the objective function, realistic costs for deadheading, the number of used locomotives and maintenance jobs are taken into account. An extensive computational study is conducted on instances with up to 2,290 trains derived from real-world data provided by RCA, the largest Austrian rail company for freight transportation. All solution approaches are analyzed in detail and compared against each other in order to show their benefits and disadvantages. We show that our approaches are capable of delivering high-quality solutions within short computation times. In fact, the performance of the 2SMH qualifies it to form the basis of a large scale real-time application to support railroad managers in their daily operations.","author":[{"dropping-particle":"","family":"Frisch","given":"Sarah","non-dropping-particle":"","parse-names":false,"suffix":""},{"dropping-particle":"","family":"Hungerländer","given":"Philipp","non-dropping-particle":"","parse-names":false,"suffix":""},{"dropping-particle":"","family":"Jellen","given":"Anna","non-dropping-particle":"","parse-names":false,"suffix":""},{"dropping-particle":"","family":"Primas","given":"Bernhard","non-dropping-particle":"","parse-names":false,"suffix":""},{"dropping-particle":"","family":"Steininger","given":"Sebastian","non-dropping-particle":"","parse-names":false,"suffix":""},{"dropping-particle":"","family":"Weinberger","given":"Dominic","non-dropping-particle":"","parse-names":false,"suffix":""}],"container-title":"Transportation Research Part B: Methodological","id":"ITEM-2","issued":{"date-parts":[["2021"]]},"title":"Solving a real-world Locomotive Scheduling Problem with Maintenance Constraints","type":"article-journal","volume":"150"},"uris":["http://www.mendeley.com/documents/?uuid=9aa0d972-c56d-3d86-a9bd-ac6d58671eb9"]},{"id":"ITEM-3","itemData":{"DOI":"10.3390/en16134995","ISSN":"19961073","abstract":"This article presents a mathematical model of the risk of failures, depending on the operating parameters, of locomotive diesel engines. The purpose of this study is to determine the risk of failures of locomotive diesel engines in maintenance. The theory of probability and the theory of logic and reliability are used in this theoretical study. The innovations and main works are the first approaches to calculating the risk of failures of locomotive diesel engines by hourly fuel consumption, which, under operational conditions, allows for extending the life of locomotive diesel engines during maintenance. As a result, a maintenance process for 5D49 diesel engines is developed in a locomotive depot. When managing the maintenance processes of 5D49 diesel engines in the locomotive depot, it is determined that the optimal mileage is 45,000 km. The resource of 5D49 diesel engines in the locomotive depot increased by 2.4% in the management of the maintenance process compared to the existing maintenance system.","author":[{"dropping-particle":"","family":"Baranovskyi","given":"Denys","non-dropping-particle":"","parse-names":false,"suffix":""},{"dropping-particle":"","family":"Bulakh","given":"Maryna","non-dropping-particle":"","parse-names":false,"suffix":""},{"dropping-particle":"","family":"Michajłyszyn","given":"Adam","non-dropping-particle":"","parse-names":false,"suffix":""},{"dropping-particle":"","family":"Myamlin","given":"Sergey","non-dropping-particle":"","parse-names":false,"suffix":""},{"dropping-particle":"","family":"Muradian","given":"Leonty","non-dropping-particle":"","parse-names":false,"suffix":""}],"container-title":"Energies","id":"ITEM-3","issue":"13","issued":{"date-parts":[["2023"]]},"title":"Determination of the Risk of Failures of Locomotive Diesel Engines in Maintenance","type":"article-journal","volume":"16"},"uris":["http://www.mendeley.com/documents/?uuid=87ceee0d-342e-3012-b20d-ff19054eca8a"]}],"mendeley":{"formattedCitation":"[1]–[3]","plainTextFormattedCitation":"[1]–[3]","previouslyFormattedCitation":"[1]–[3]"},"properties":{"noteIndex":0},"schema":"https://github.com/citation-style-language/schema/raw/master/csl-citation.json"}</w:instrText>
      </w:r>
      <w:r w:rsidRPr="00B77AD5">
        <w:rPr>
          <w:rFonts w:ascii="Arial" w:eastAsia="Arial" w:hAnsi="Arial" w:cs="Arial"/>
          <w:sz w:val="20"/>
          <w:szCs w:val="20"/>
        </w:rPr>
        <w:fldChar w:fldCharType="separate"/>
      </w:r>
      <w:r w:rsidRPr="00B77AD5">
        <w:rPr>
          <w:rFonts w:ascii="Arial" w:eastAsia="Arial" w:hAnsi="Arial" w:cs="Arial"/>
          <w:noProof/>
          <w:sz w:val="20"/>
          <w:szCs w:val="20"/>
        </w:rPr>
        <w:t>[1]–[3]</w:t>
      </w:r>
      <w:r w:rsidRPr="00B77AD5">
        <w:rPr>
          <w:rFonts w:ascii="Arial" w:eastAsia="Arial" w:hAnsi="Arial" w:cs="Arial"/>
          <w:sz w:val="20"/>
          <w:szCs w:val="20"/>
        </w:rPr>
        <w:fldChar w:fldCharType="end"/>
      </w:r>
      <w:r w:rsidRPr="00B77AD5">
        <w:rPr>
          <w:rFonts w:ascii="Arial" w:eastAsia="Arial" w:hAnsi="Arial" w:cs="Arial"/>
          <w:sz w:val="20"/>
          <w:szCs w:val="20"/>
        </w:rPr>
        <w:t>. One of the most vital tools in this process is the lifting jack, which is used to elevate locomotives during the inspection and repair of underframe components</w:t>
      </w:r>
      <w:r w:rsidR="006212F9">
        <w:rPr>
          <w:rFonts w:ascii="Arial" w:eastAsia="Arial" w:hAnsi="Arial" w:cs="Arial"/>
          <w:sz w:val="20"/>
          <w:szCs w:val="20"/>
        </w:rPr>
        <w:t xml:space="preserve"> </w:t>
      </w:r>
      <w:r w:rsidR="006212F9">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{"citationItems":[{"id":"ITEM-1","itemData":{"DOI":"10.14445/23488360/IJME-V10I6P101","ISSN":"23488360","abstract":"Almost every type of jack for lifting beams of bridges to replace bearings today is single-acting or has no mechanical locks. The purpose of this research is to design and manufacture a lifting capacity of 30 tons, double acting, including a mechanical lock and large lifting height hydraulic jack. This article presents the calculation, design method with Solidwork software and test fabrication of that type of hydraulic jack.","author":[{"dropping-particle":"","family":"Thuyen","given":"Nguyen","non-dropping-particle":"Van","parse-names":false,"suffix":""}],"container-title":"SSRG International Journal of Mechanical Engineering","id":"ITEM-1","issue":"6","issued":{"date-parts":[["2023"]]},"title":"Calculation, Design and Manufacturing Super Short Height Hydraulic Jack, Double Acting, Lifting Capacity of 30 Tons for Lifting Bridge Beam to Replace Bearings","type":"article-journal","volume":"10"},"uris":["http://www.mendeley.com/documents/?uuid=e7e48ef0-c3e3-3894-b644-1eef85192f38"]},{"id":"ITEM-2","itemData":{"DOI":"10.22214/ijraset.2022.41445","abstract":"Abstract: A jack is a mechanical lifting device used to apply great forces or lift heavy loads. A mechanical jack employs a screw thread for lifting heavy equipment. A hydraulic jack uses hydraulic power. In the case of tyre puncture or replacing wheels lift the car is more important part. This time we use traditional ways to lift the tyre. In that case a physically handicapped person, older person aged person not lifts the tyre easily. They require more time and also require more force to lift the tyre. In that way to help those who are physically challenged, aged person this project automatic hydraulic jack system is more useful. So, we tried to grab the opportunity. Here we use a wiper motor to drive the hydraulic jack loading subsequently and automatically. Keywords: Hydraulic jack, Mechanical jack, Motor, Battery, Switch","author":[{"dropping-particle":"","family":"More","given":"Durvesh Rohidas","non-dropping-particle":"","parse-names":false,"suffix":""},{"dropping-particle":"","family":"Patil","given":"Aditya Arun","non-dropping-particle":"","parse-names":false,"suffix":""},{"dropping-particle":"","family":"Thakare","given":"Adesh Ananta","non-dropping-particle":"","parse-names":false,"suffix":""},{"dropping-particle":"","family":"Vartak","given":"Nishank Rajesh","non-dropping-particle":"","parse-names":false,"suffix":""},{"dropping-particle":"","family":"Ansari","given":"Md Saqib","non-dropping-particle":"","parse-names":false,"suffix":""}],"container-title":"International Journal for Research in Applied Science and Engineering Technology","id":"ITEM-2","issue":"4","issued":{"date-parts":[["2022"]]},"title":"Design and Fabrication of Motorized Hydraulic Jack System","type":"article-journal","volume":"10"},"uris":["http://www.mendeley.com/documents/?uuid=b04ef34d-45ef-3f65-b10f-c4bdcab1019d"]},{"id":"ITEM-3","itemData":{"DOI":"10.1109/TII.2022.3229138","ISSN":"19410050","abstract":"In this article, the consensus control problem is investigated for mobile train lifting jack systems (TLJSs) of electric multiple units in the context of distributed industrial systems. First, a kind of global consensus controller is dedicatedly designed to deal with the underlying actuator limitation that is a typical phenomenon in mobile TLJSs and is referred to as actuator saturation. In order to better cater for the impact from the TLJSs, we consider the asymmetric actuator saturations (rather than their symmetric counterparts) whose side effects are later attenuated by means of a novel Lyapunov-function-based method. A series of experiments are conducted on mobile TLJSs so as to illustrate the effectiveness of the proposed consensus control algorithm.","author":[{"dropping-particle":"","family":"He","given":"Xiao","non-dropping-particle":"","parse-names":false,"suffix":""},{"dropping-particle":"","family":"Wang","given":"Zidong","non-dropping-particle":"","parse-names":false,"suffix":""},{"dropping-particle":"","family":"Gao","given":"Chen","non-dropping-particle":"","parse-names":false,"suffix":""},{"dropping-particle":"","family":"Zhou","given":"Donghua","non-dropping-particle":"","parse-names":false,"suffix":""}],"container-title":"IEEE Transactions on Industrial Informatics","id":"ITEM-3","issue":"10","issued":{"date-parts":[["2023"]]},"title":"Consensus Control for Multiagent Systems under Asymmetric Actuator Saturations with Applications to Mobile Train Lifting Jack Systems","type":"article-journal","volume":"19"},"uris":["http://www.mendeley.com/documents/?uuid=920fbf54-8f42-35b6-a9e4-2e86f69c2fda"]}],"mendeley":{"formattedCitation":"[4]–[6]","plainTextFormattedCitation":"[4]–[6]","previouslyFormattedCitation":"[4]–[6]"},"properties":{"noteIndex":0},"schema":"https://github.com/citation-style-language/schema/raw/master/csl-citation.json"}</w:instrText>
      </w:r>
      <w:r w:rsidR="006212F9">
        <w:rPr>
          <w:rFonts w:ascii="Arial" w:eastAsia="Arial" w:hAnsi="Arial" w:cs="Arial"/>
          <w:sz w:val="20"/>
          <w:szCs w:val="20"/>
        </w:rPr>
        <w:fldChar w:fldCharType="separate"/>
      </w:r>
      <w:r w:rsidR="006212F9" w:rsidRPr="006212F9">
        <w:rPr>
          <w:rFonts w:ascii="Arial" w:eastAsia="Arial" w:hAnsi="Arial" w:cs="Arial"/>
          <w:noProof/>
          <w:sz w:val="20"/>
          <w:szCs w:val="20"/>
        </w:rPr>
        <w:t>[4]–[6]</w:t>
      </w:r>
      <w:r w:rsidR="006212F9">
        <w:rPr>
          <w:rFonts w:ascii="Arial" w:eastAsia="Arial" w:hAnsi="Arial" w:cs="Arial"/>
          <w:sz w:val="20"/>
          <w:szCs w:val="20"/>
        </w:rPr>
        <w:fldChar w:fldCharType="end"/>
      </w:r>
      <w:r w:rsidRPr="00B77AD5">
        <w:rPr>
          <w:rFonts w:ascii="Arial" w:eastAsia="Arial" w:hAnsi="Arial" w:cs="Arial"/>
          <w:sz w:val="20"/>
          <w:szCs w:val="20"/>
        </w:rPr>
        <w:t xml:space="preserve">. The use of lifting jacks enables technicians to access and maintain essential parts such as the traction system, brakes, and suspension. However, a malfunction of the lifting jack can lead to serious </w:t>
      </w:r>
      <w:r w:rsidRPr="00B77AD5">
        <w:rPr>
          <w:rFonts w:ascii="Arial" w:eastAsia="Arial" w:hAnsi="Arial" w:cs="Arial"/>
          <w:sz w:val="20"/>
          <w:szCs w:val="20"/>
        </w:rPr>
        <w:t>workplace accidents, disrupt train operations, and increase maintenance costs due to unplanned repairs.</w:t>
      </w:r>
    </w:p>
    <w:p w14:paraId="00000025" w14:textId="0EAA2ABF" w:rsidR="00FF0465" w:rsidRDefault="00B77AD5" w:rsidP="00B77AD5">
      <w:pPr>
        <w:spacing w:after="0" w:line="240" w:lineRule="auto"/>
        <w:ind w:left="0" w:hanging="2"/>
        <w:jc w:val="both"/>
        <w:rPr>
          <w:rFonts w:ascii="Arial" w:eastAsia="Arial" w:hAnsi="Arial" w:cs="Arial"/>
          <w:sz w:val="20"/>
          <w:szCs w:val="20"/>
        </w:rPr>
      </w:pPr>
      <w:r w:rsidRPr="00B77AD5">
        <w:rPr>
          <w:rFonts w:ascii="Arial" w:eastAsia="Arial" w:hAnsi="Arial" w:cs="Arial"/>
          <w:sz w:val="20"/>
          <w:szCs w:val="20"/>
        </w:rPr>
        <w:t xml:space="preserve">Based on case study data from a locomotive maintenance depot in Indonesia, several workplace accidents were reported related to the use of lifting jacks. Between 2020 and 2022, incidents included workers being trapped between the jack stopper and the locomotive underframe, slipping during crane hook installation, and electrical shocks caused by exposed wiring. </w:t>
      </w:r>
      <w:r w:rsidRPr="00B77AD5">
        <w:rPr>
          <w:rFonts w:ascii="Arial" w:eastAsia="Arial" w:hAnsi="Arial" w:cs="Arial"/>
          <w:sz w:val="20"/>
          <w:szCs w:val="20"/>
        </w:rPr>
        <w:lastRenderedPageBreak/>
        <w:t>These incidents resulted in a range of injuries, from minor bruises and lacerations requiring stitches to significant mobility impairments. These findings highlight that, despite regular maintenance practices, the risk of lifting jack failure remains present, indicating the need for more advanced methods to enhance workplace safety.</w:t>
      </w:r>
      <w:r w:rsidR="00500ED1">
        <w:rPr>
          <w:rFonts w:ascii="Arial" w:eastAsia="Arial" w:hAnsi="Arial" w:cs="Arial"/>
          <w:sz w:val="20"/>
          <w:szCs w:val="20"/>
        </w:rPr>
        <w:t xml:space="preserve"> </w:t>
      </w:r>
    </w:p>
    <w:p w14:paraId="31369623" w14:textId="77777777" w:rsidR="00263B53" w:rsidRDefault="00263B53" w:rsidP="00B77AD5">
      <w:pPr>
        <w:spacing w:after="0" w:line="240" w:lineRule="auto"/>
        <w:ind w:left="0" w:hanging="2"/>
        <w:jc w:val="both"/>
        <w:rPr>
          <w:rFonts w:ascii="Arial" w:eastAsia="Arial" w:hAnsi="Arial" w:cs="Arial"/>
          <w:sz w:val="20"/>
          <w:szCs w:val="20"/>
        </w:rPr>
      </w:pPr>
    </w:p>
    <w:p w14:paraId="2A3F4C57" w14:textId="54DABFC0" w:rsidR="00263B53" w:rsidRDefault="00263B53" w:rsidP="00B77AD5">
      <w:pPr>
        <w:spacing w:after="0" w:line="240" w:lineRule="auto"/>
        <w:ind w:left="0" w:hanging="2"/>
        <w:jc w:val="both"/>
        <w:rPr>
          <w:rFonts w:ascii="Arial" w:eastAsia="Arial" w:hAnsi="Arial" w:cs="Arial"/>
          <w:sz w:val="20"/>
          <w:szCs w:val="20"/>
        </w:rPr>
      </w:pPr>
      <w:r>
        <w:rPr>
          <w:noProof/>
        </w:rPr>
        <w:drawing>
          <wp:inline distT="0" distB="0" distL="0" distR="0" wp14:anchorId="66FB0E6D" wp14:editId="22E76673">
            <wp:extent cx="2828925" cy="16383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cstate="print">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7018"/>
                    <a:stretch/>
                  </pic:blipFill>
                  <pic:spPr bwMode="auto">
                    <a:xfrm>
                      <a:off x="0" y="0"/>
                      <a:ext cx="2828925"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36C31F5D" w14:textId="39AE9879" w:rsidR="00263B53" w:rsidRDefault="00263B53" w:rsidP="00263B53">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1. </w:t>
      </w:r>
      <w:r w:rsidRPr="00263B53">
        <w:rPr>
          <w:rFonts w:ascii="Arial" w:eastAsia="Arial" w:hAnsi="Arial" w:cs="Arial"/>
          <w:color w:val="000000"/>
          <w:sz w:val="20"/>
          <w:szCs w:val="20"/>
        </w:rPr>
        <w:t>Work Accident History on Locomotive Jack Operation (2020–2022)</w:t>
      </w:r>
    </w:p>
    <w:p w14:paraId="43116DB2" w14:textId="77777777" w:rsidR="00263B53" w:rsidRDefault="00263B53">
      <w:pPr>
        <w:spacing w:after="0" w:line="240" w:lineRule="auto"/>
        <w:ind w:left="0" w:hanging="2"/>
        <w:jc w:val="both"/>
        <w:rPr>
          <w:rFonts w:ascii="Arial" w:eastAsia="Arial" w:hAnsi="Arial" w:cs="Arial"/>
          <w:sz w:val="20"/>
          <w:szCs w:val="20"/>
        </w:rPr>
      </w:pPr>
    </w:p>
    <w:p w14:paraId="3B2A01DA" w14:textId="30AC4140"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 xml:space="preserve">To date, conventional methods such as the Hazard and Operability Study (HAZOP) and Failure Mode and Effect Analysis (FMEA) have been widely applied to identify risks and design mitigation strategies. HAZOP is intended to identify potential hazards within operational systems </w:t>
      </w:r>
      <w:r w:rsidRPr="00263B53">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{"citationItems":[{"id":"ITEM-1","itemData":{"DOI":"10.3390/ijerph17093236","ISSN":"16604601","abstract":"In existing risk analysis techniques like the hazard and operability study (HAZOP) and the safety integrity level (SIL), design for operator safety is not considered. The health, safety, and environment (HSE) engineering depicts a detailed design directly related to the operator safety. However, the human risk had not been comprehensively analyzed. This paper proposes HSE-HAZOP as a technique for examining the systematic and efficient application of HSE engineering by exploiting the HAZOP systematic risk analysis technique and a quantitative risk derivation method, which is an advantage of the SIL. The analysis consists of four steps: the HSE-HAZOP preparation phase, risk analysis phase, risk assessment phase, and risk reduction phase. One part of a solution styrene butadiene rubber (SSBR) plant was used for a case study. In this case study, the items that handle with heptanoic acid were the study scope. After the risk assessment, we introduced the HSE engineering technique that should be applied for the risk reduction. Since there is no existing risk analysis method for HSE engineering, this proposed HSE-HAZOP is meaningful because it suggests systematic analysis method of the operator safety.","author":[{"dropping-particle":"","family":"Choi","given":"Jae Young","non-dropping-particle":"","parse-names":false,"suffix":""},{"dropping-particle":"","family":"Byeon","given":"Sang Hoon","non-dropping-particle":"","parse-names":false,"suffix":""}],"container-title":"International Journal of Environmental Research and Public Health","id":"ITEM-1","issue":"9","issued":{"date-parts":[["2020"]]},"title":"Hazop methodology based on the health, safety, and environment engineering","type":"article-journal","volume":"17"},"uris":["http://www.mendeley.com/documents/?uuid=2f736cc4-f0c9-302f-b6cf-41fa683f92d6"]},{"id":"ITEM-2","itemData":{"DOI":"10.3390/app112110210","ISSN":"20763417","abstract":"The Hazard and Operability Study (HAZOP) methodology is considered one of the most effective techniques for risk analysis, developed fundamentally to provide regular processes with reduced risks that aim to guarantee the safety of activities and the operability of the production units. The study aims to apply the HAZOP methodology in process and safety operations in the oil production industry. A crude oil production unit was divided into smaller sections that were analysed. By applying the HAZOP methodology, 71 possibilities of relevant risks were identified. The environmental, health and economic impacts were estimated to establish safeguard priorities for them. The application of this methodology and the defined safeguards generated 47 recommendations to mitigate the detected problems. The study contributions were to demonstrate the efficacies of HAZOP methodology to identify potential hazards and evaluate the potential hazards obtained for malfunctioning of equipment and property in terms of the resultant impacts either new or existing process facilities, and as a useful tool to provide essential knowledge for the companies’ leaders, decision-maker, and operations managers.","author":[{"dropping-particle":"","family":"Penelas","given":"Artur de J.","non-dropping-particle":"","parse-names":false,"suffix":""},{"dropping-particle":"","family":"Pires","given":"José C.M.","non-dropping-particle":"","parse-names":false,"suffix":""}],"container-title":"Applied Sciences (Switzerland)","id":"ITEM-2","issue":"21","issued":{"date-parts":[["2021"]]},"title":"Hazop analysis in terms of safety operations processes for oil production units: A case study","type":"article-journal","volume":"11"},"uris":["http://www.mendeley.com/documents/?uuid=5ac82a33-8032-3c3c-9c6b-237470eadd47"]},{"id":"ITEM-3","itemData":{"DOI":"10.1016/j.psep.2023.09.005","ISSN":"09575820","abstract":"Safety is paramount to any process plant facilities and its design process. To ensure that safety is considered in design stages, process safety analysis such as hazard and operability studies are often carried out to address safety concerns throughout the stages of plant design to operation. However, conventional HAZOP studies are labor-intensive and expensive. This paper aims to provide a semi-automated HAZOP study using a computer-aided tool called Stateflow. It describes the rule-based approach and algorithm used to develop the automated HAZOP process. The paper also highlights the limitations and challenges faced and finishes with the potential areas for further works on Stateflow to enhance the HAZOP automation capabilities.","author":[{"dropping-particle":"","family":"Chia","given":"Meng Fei","non-dropping-particle":"","parse-names":false,"suffix":""},{"dropping-particle":"","family":"Naraharisetti","given":"Pavan Kumar","non-dropping-particle":"","parse-names":false,"suffix":""}],"container-title":"Process Safety and Environmental Protection","id":"ITEM-3","issued":{"date-parts":[["2023"]]},"title":"HAZOP using Stateflow software: Methodology and case study","type":"article-journal","volume":"179"},"uris":["http://www.mendeley.com/documents/?uuid=71a46b8b-b0c0-305a-902d-68aa3d1f8796"]}],"mendeley":{"formattedCitation":"[7]–[9]","plainTextFormattedCitation":"[7]–[9]","previouslyFormattedCitation":"[7]–[9]"},"properties":{"noteIndex":0},"schema":"https://github.com/citation-style-language/schema/raw/master/csl-citation.json"}</w:instrText>
      </w:r>
      <w:r w:rsidRPr="00263B53">
        <w:rPr>
          <w:rFonts w:ascii="Arial" w:eastAsia="Arial" w:hAnsi="Arial" w:cs="Arial"/>
          <w:sz w:val="20"/>
          <w:szCs w:val="20"/>
        </w:rPr>
        <w:fldChar w:fldCharType="separate"/>
      </w:r>
      <w:r w:rsidR="006212F9" w:rsidRPr="006212F9">
        <w:rPr>
          <w:rFonts w:ascii="Arial" w:eastAsia="Arial" w:hAnsi="Arial" w:cs="Arial"/>
          <w:noProof/>
          <w:sz w:val="20"/>
          <w:szCs w:val="20"/>
        </w:rPr>
        <w:t>[7]–[9]</w:t>
      </w:r>
      <w:r w:rsidRPr="00263B53">
        <w:rPr>
          <w:rFonts w:ascii="Arial" w:eastAsia="Arial" w:hAnsi="Arial" w:cs="Arial"/>
          <w:sz w:val="20"/>
          <w:szCs w:val="20"/>
        </w:rPr>
        <w:fldChar w:fldCharType="end"/>
      </w:r>
      <w:r w:rsidRPr="00263B53">
        <w:rPr>
          <w:rFonts w:ascii="Arial" w:eastAsia="Arial" w:hAnsi="Arial" w:cs="Arial"/>
          <w:sz w:val="20"/>
          <w:szCs w:val="20"/>
        </w:rPr>
        <w:t>, while FMEA analyzes failure modes and their impacts</w:t>
      </w:r>
      <w:r w:rsidR="006212F9">
        <w:rPr>
          <w:rFonts w:ascii="Arial" w:eastAsia="Arial" w:hAnsi="Arial" w:cs="Arial"/>
          <w:sz w:val="20"/>
          <w:szCs w:val="20"/>
        </w:rPr>
        <w:t xml:space="preserve"> </w:t>
      </w:r>
      <w:r w:rsidR="006212F9">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{"citationItems":[{"id":"ITEM-1","itemData":{"DOI":"10.3390/app12126144","ISSN":"20763417","abstract":"In the development of safety</w:instrText>
      </w:r>
      <w:r w:rsidR="006212F9">
        <w:rPr>
          <w:rFonts w:ascii="Cambria Math" w:eastAsia="Arial" w:hAnsi="Cambria Math" w:cs="Cambria Math"/>
          <w:sz w:val="20"/>
          <w:szCs w:val="20"/>
        </w:rPr>
        <w:instrText>‐</w:instrText>
      </w:r>
      <w:r w:rsidR="006212F9">
        <w:rPr>
          <w:rFonts w:ascii="Arial" w:eastAsia="Arial" w:hAnsi="Arial" w:cs="Arial"/>
          <w:sz w:val="20"/>
          <w:szCs w:val="20"/>
        </w:rPr>
        <w:instrText>critical systems, it is important to perform failure modes and effects analysis (FMEA) to identify potential failures. However, traditional FMEA activities tend to be considered difficult and time</w:instrText>
      </w:r>
      <w:r w:rsidR="006212F9">
        <w:rPr>
          <w:rFonts w:ascii="Cambria Math" w:eastAsia="Arial" w:hAnsi="Cambria Math" w:cs="Cambria Math"/>
          <w:sz w:val="20"/>
          <w:szCs w:val="20"/>
        </w:rPr>
        <w:instrText>‐</w:instrText>
      </w:r>
      <w:r w:rsidR="006212F9">
        <w:rPr>
          <w:rFonts w:ascii="Arial" w:eastAsia="Arial" w:hAnsi="Arial" w:cs="Arial"/>
          <w:sz w:val="20"/>
          <w:szCs w:val="20"/>
        </w:rPr>
        <w:instrText>consuming tasks. To compensate for the difficulty of the FMEA task, various types of tools are used to increase the quality and the effectiveness of the FMEA reports. This paper explains an automatic FMEA tool that integrates the model</w:instrText>
      </w:r>
      <w:r w:rsidR="006212F9">
        <w:rPr>
          <w:rFonts w:ascii="Cambria Math" w:eastAsia="Arial" w:hAnsi="Cambria Math" w:cs="Cambria Math"/>
          <w:sz w:val="20"/>
          <w:szCs w:val="20"/>
        </w:rPr>
        <w:instrText>‐</w:instrText>
      </w:r>
      <w:r w:rsidR="006212F9">
        <w:rPr>
          <w:rFonts w:ascii="Arial" w:eastAsia="Arial" w:hAnsi="Arial" w:cs="Arial"/>
          <w:sz w:val="20"/>
          <w:szCs w:val="20"/>
        </w:rPr>
        <w:instrText>based design (MBD), FMEA, and simulated fault injection techniques in a single environment. The automatic FMEA tool has the following advantages compared to the existing FMEA analysis tool: First, the automatic FMEA tool automatically generates FMEA reports, unlike the traditional spreadsheet</w:instrText>
      </w:r>
      <w:r w:rsidR="006212F9">
        <w:rPr>
          <w:rFonts w:ascii="Cambria Math" w:eastAsia="Arial" w:hAnsi="Cambria Math" w:cs="Cambria Math"/>
          <w:sz w:val="20"/>
          <w:szCs w:val="20"/>
        </w:rPr>
        <w:instrText>‐</w:instrText>
      </w:r>
      <w:r w:rsidR="006212F9">
        <w:rPr>
          <w:rFonts w:ascii="Arial" w:eastAsia="Arial" w:hAnsi="Arial" w:cs="Arial"/>
          <w:sz w:val="20"/>
          <w:szCs w:val="20"/>
        </w:rPr>
        <w:instrText>based FMEA tools. Second, the automatic FMEA tool analyzes the causality between the failure modes and the failure effects by performing model</w:instrText>
      </w:r>
      <w:r w:rsidR="006212F9">
        <w:rPr>
          <w:rFonts w:ascii="Cambria Math" w:eastAsia="Arial" w:hAnsi="Cambria Math" w:cs="Cambria Math"/>
          <w:sz w:val="20"/>
          <w:szCs w:val="20"/>
        </w:rPr>
        <w:instrText>‐</w:instrText>
      </w:r>
      <w:r w:rsidR="006212F9">
        <w:rPr>
          <w:rFonts w:ascii="Arial" w:eastAsia="Arial" w:hAnsi="Arial" w:cs="Arial"/>
          <w:sz w:val="20"/>
          <w:szCs w:val="20"/>
        </w:rPr>
        <w:instrText>based fault injection simulation. In order to demonstrate the applicability of the automatic FMEA, we used the electronic fuel injection system (EFI) Simulink model. The results of the automatic FMEA were compared to those of the legacy FMEA.","author":[{"dropping-particle":"","family":"Lee","given":"Dongwoo","non-dropping-particle":"","parse-names":false,"suffix":""},{"dropping-particle":"","family":"Lee","given":"Dongmin","non-dropping-particle":"","parse-names":false,"suffix":""},{"dropping-particle":"","family":"Na","given":"Jongwhoa","non-dropping-particle":"","parse-names":false,"suffix":""}],"container-title":"Applied Sciences (Switzerland)","id":"ITEM-1","issue":"12","issued":{"date-parts":[["2022"]]},"title":"Automatic Failure Modes and Effects Analysis of an Electronic Fuel Injection Model","type":"article-journal","volume":"12"},"uris":["http://www.mendeley.com/documents/?uuid=0dc8ee29-6ef8-376a-b2b4-4c86e5a93da4"]},{"id":"ITEM-2","itemData":{"DOI":"10.56554/jtom.1193787","ISSN":"2630-6433","abstract":"It is aimed to gain study substantiality by making an application for risk analysis study in the automotive industry. To bring to the literature the current point of risk analyzes used in FMEA methods applied in the automotive industry. At the same time, it is aimed to improve a problem experienced in the process of an operating in the automotive supplier industry with the risk analysis method. Failure Mode and Effects Analysis (FMEA) from risk analysis which is strong method to identifying and managing of the risks of potential failures occurring from product, process, service and system. Three methods were used in FMEA risk analysis in the study. AIAG FMEA Handbook fourth edition 2008, VDA-4 standard and new generation AIAG&amp;amp;VDA FMEA handbook, 2019. In this study, a Process FMEA study was prepared for the surface coating preparation process used by an automotive supplier industry. According to the results of the risk analysis, corrective actions were defined and prepared after the P-FMEA study. Afterwards, the necessary investments were made by the company management and the risks were minimized. With this investment, an innovative and technological application was integrated by ensuring the transition of the process from the human factor to automation. In addition, differences and current information about FMEA evaluation methods used in the automotive industry have been brought to the literature","author":[{"dropping-particle":"","family":"KÖK","given":"Nesimi","non-dropping-particle":"","parse-names":false,"suffix":""},{"dropping-particle":"","family":"YILDIZ","given":"Mehmet Selami","non-dropping-particle":"","parse-names":false,"suffix":""}],"container-title":"Journal of Turkish Operations Management","id":"ITEM-2","issue":"1","issued":{"date-parts":[["2023"]]},"title":"New Generation FMEA Method in Automotive Industry: An Application","type":"article-journal","volume":"7"},"uris":["http://www.mendeley.com/documents/?uuid=6e4c049f-90fd-371d-a5fc-92a001b7aeea"]},{"id":"ITEM-3","itemData":{"DOI":"10.1080/17480272.2023.2214527","ISSN":"17480280","abstract":"This case study aims to determine factors that cause defects in plywood products using failure mode effect analysis (FMEA) parameters. It also analyzes prevention strategies against plywood product defects in the plywood industry in Indonesia. The study involved 9 participants who are employees of different divisions. The research data were collected from direct observations of the plywood production process, analysis of documents recording plywood product defects, and focus group discussions. Based on the results of thematic analysis using FMEA parameters, this study identified five factors that significantly contribute to the failure of plywood products, as indicated by their highest Risk Priority Number (RPN) values. These factors are: (1) lack of employee discipline, (2) unstable machine temperature and excessive machine capacity usage, (3) waste on the veneer surface, (4) excessive adhesive wastage, and (5) inefficient work performance of the employees. The study suggests that the FMEA concept employed to capture product defects can potentially be used to explore employees’ perspectives and their lived experiences in plywood production. In addition, FMEA can provide improvement feedback to prevent defects in plywood products.","author":[{"dropping-particle":"","family":"Dyah Susanti","given":"Herdiana","non-dropping-particle":"","parse-names":false,"suffix":""}],"container-title":"Wood Material Science and Engineering","id":"ITEM-3","issue":"6","issued":{"date-parts":[["2023"]]},"title":"Risk prevention of plywood product defects using Failure Mode Effect Analysis (FMEA) in the Indonesian plywood processing industry","type":"article-journal","volume":"18"},"uris":["http://www.mendeley.com/documents/?uuid=7ba71975-685b-3795-8658-55a449842a82"]}],"mendeley":{"formattedCitation":"[10]–[12]","plainTextFormattedCitation":"[10]–[12]","previouslyFormattedCitation":"[10]–[12]"},"properties":{"noteIndex":0},"schema":"https://github.com/citation-style-language/schema/raw/master/csl-citation.json"}</w:instrText>
      </w:r>
      <w:r w:rsidR="006212F9">
        <w:rPr>
          <w:rFonts w:ascii="Arial" w:eastAsia="Arial" w:hAnsi="Arial" w:cs="Arial"/>
          <w:sz w:val="20"/>
          <w:szCs w:val="20"/>
        </w:rPr>
        <w:fldChar w:fldCharType="separate"/>
      </w:r>
      <w:r w:rsidR="006212F9" w:rsidRPr="006212F9">
        <w:rPr>
          <w:rFonts w:ascii="Arial" w:eastAsia="Arial" w:hAnsi="Arial" w:cs="Arial"/>
          <w:noProof/>
          <w:sz w:val="20"/>
          <w:szCs w:val="20"/>
        </w:rPr>
        <w:t>[10]–[12]</w:t>
      </w:r>
      <w:r w:rsidR="006212F9">
        <w:rPr>
          <w:rFonts w:ascii="Arial" w:eastAsia="Arial" w:hAnsi="Arial" w:cs="Arial"/>
          <w:sz w:val="20"/>
          <w:szCs w:val="20"/>
        </w:rPr>
        <w:fldChar w:fldCharType="end"/>
      </w:r>
      <w:r w:rsidRPr="00263B53">
        <w:rPr>
          <w:rFonts w:ascii="Arial" w:eastAsia="Arial" w:hAnsi="Arial" w:cs="Arial"/>
          <w:sz w:val="20"/>
          <w:szCs w:val="20"/>
        </w:rPr>
        <w:t>. However, both approaches are reactive in nature, where preventive actions are taken only after risks have been identified based on past experiences or incidents. This reactive approach is less effective in addressing risks that require real-time detection and early warning prior to failure occurrence.</w:t>
      </w:r>
    </w:p>
    <w:p w14:paraId="27DF0091" w14:textId="7210FFE5" w:rsidR="00263B53" w:rsidRDefault="00263B53" w:rsidP="00263B53">
      <w:pPr>
        <w:spacing w:after="0" w:line="240" w:lineRule="auto"/>
        <w:ind w:left="0" w:hanging="2"/>
        <w:jc w:val="both"/>
        <w:rPr>
          <w:rFonts w:ascii="Arial" w:eastAsia="Arial" w:hAnsi="Arial" w:cs="Arial"/>
          <w:sz w:val="20"/>
          <w:szCs w:val="20"/>
        </w:rPr>
      </w:pPr>
      <w:r w:rsidRPr="00263B53">
        <w:rPr>
          <w:rFonts w:ascii="Arial" w:eastAsia="Arial" w:hAnsi="Arial" w:cs="Arial"/>
          <w:sz w:val="20"/>
          <w:szCs w:val="20"/>
        </w:rPr>
        <w:t>Numerous previous studies have been conducted to address technical and safety-related challenges concerning lifting jack systems and railway infrastructure. These studies include stability analysis of jack-up platforms, development of multi-agent control systems, structural design using finite element simulations, and the integration of virtual reality and wireless sensor technologies for equipment condition monitoring. In addition, some research has explored risk evaluation and maintenance frameworks using multi-criteria decision-making methods. A summary of these previous studies is presented in Table 1, serving as a foundation for further research development.</w:t>
      </w:r>
    </w:p>
    <w:p w14:paraId="1135F9A4" w14:textId="77777777" w:rsidR="00F65AB6" w:rsidRDefault="00F65AB6" w:rsidP="00263B53">
      <w:pPr>
        <w:spacing w:after="0" w:line="240" w:lineRule="auto"/>
        <w:ind w:left="0" w:hanging="2"/>
        <w:jc w:val="both"/>
        <w:rPr>
          <w:rFonts w:ascii="Arial" w:eastAsia="Arial" w:hAnsi="Arial" w:cs="Arial"/>
          <w:sz w:val="20"/>
          <w:szCs w:val="20"/>
        </w:rPr>
      </w:pPr>
    </w:p>
    <w:p w14:paraId="360DD66A" w14:textId="026299F0" w:rsidR="00263B53" w:rsidRDefault="00263B53" w:rsidP="00263B53">
      <w:pPr>
        <w:spacing w:after="0" w:line="240" w:lineRule="auto"/>
        <w:ind w:left="0" w:hanging="2"/>
        <w:jc w:val="center"/>
        <w:rPr>
          <w:rFonts w:ascii="Arial" w:eastAsia="Arial" w:hAnsi="Arial" w:cs="Arial"/>
          <w:sz w:val="20"/>
          <w:szCs w:val="20"/>
        </w:rPr>
      </w:pPr>
      <w:r>
        <w:rPr>
          <w:rFonts w:ascii="Arial" w:eastAsia="Arial" w:hAnsi="Arial" w:cs="Arial"/>
          <w:color w:val="000000"/>
          <w:sz w:val="20"/>
          <w:szCs w:val="20"/>
        </w:rPr>
        <w:t xml:space="preserve">Table 1. </w:t>
      </w:r>
      <w:r w:rsidRPr="00263B53">
        <w:rPr>
          <w:rFonts w:ascii="Arial" w:eastAsia="Arial" w:hAnsi="Arial" w:cs="Arial"/>
          <w:color w:val="000000"/>
          <w:sz w:val="20"/>
          <w:szCs w:val="20"/>
        </w:rPr>
        <w:t>Review of Relevant Literature</w:t>
      </w:r>
    </w:p>
    <w:tbl>
      <w:tblPr>
        <w:tblStyle w:val="PlainTable21"/>
        <w:tblW w:w="5261" w:type="pct"/>
        <w:tblInd w:w="0" w:type="dxa"/>
        <w:tblLook w:val="04A0" w:firstRow="1" w:lastRow="0" w:firstColumn="1" w:lastColumn="0" w:noHBand="0" w:noVBand="1"/>
      </w:tblPr>
      <w:tblGrid>
        <w:gridCol w:w="421"/>
        <w:gridCol w:w="10416"/>
        <w:gridCol w:w="10773"/>
        <w:gridCol w:w="9359"/>
      </w:tblGrid>
      <w:tr w:rsidR="00263B53" w:rsidRPr="00263B53" w14:paraId="59DCF92A" w14:textId="77777777" w:rsidTr="00506B5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single" w:sz="4" w:space="0" w:color="7F7F7F" w:themeColor="text1" w:themeTint="80"/>
              <w:left w:val="nil"/>
              <w:right w:val="nil"/>
            </w:tcBorders>
            <w:noWrap/>
            <w:hideMark/>
          </w:tcPr>
          <w:p w14:paraId="4047DF35" w14:textId="77777777" w:rsidR="00263B53" w:rsidRPr="00263B53" w:rsidRDefault="00263B53" w:rsidP="007A591E">
            <w:pPr>
              <w:spacing w:before="0" w:after="0" w:afterAutospacing="0"/>
              <w:ind w:leftChars="0" w:left="2" w:right="0" w:hanging="2"/>
              <w:jc w:val="center"/>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No</w:t>
            </w:r>
          </w:p>
        </w:tc>
        <w:tc>
          <w:tcPr>
            <w:tcW w:w="1607" w:type="pct"/>
            <w:tcBorders>
              <w:top w:val="single" w:sz="4" w:space="0" w:color="7F7F7F" w:themeColor="text1" w:themeTint="80"/>
              <w:left w:val="nil"/>
              <w:right w:val="nil"/>
            </w:tcBorders>
            <w:noWrap/>
            <w:hideMark/>
          </w:tcPr>
          <w:p w14:paraId="204AD0B8" w14:textId="77777777" w:rsidR="00263B53" w:rsidRPr="00263B53" w:rsidRDefault="00263B53" w:rsidP="007A591E">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Title</w:t>
            </w:r>
          </w:p>
        </w:tc>
        <w:tc>
          <w:tcPr>
            <w:tcW w:w="1655" w:type="pct"/>
            <w:tcBorders>
              <w:top w:val="single" w:sz="4" w:space="0" w:color="7F7F7F" w:themeColor="text1" w:themeTint="80"/>
              <w:left w:val="nil"/>
              <w:right w:val="nil"/>
            </w:tcBorders>
            <w:noWrap/>
            <w:hideMark/>
          </w:tcPr>
          <w:p w14:paraId="7135DBDD" w14:textId="77777777" w:rsidR="00263B53" w:rsidRPr="00263B53" w:rsidRDefault="00263B53" w:rsidP="007A591E">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Method</w:t>
            </w:r>
          </w:p>
        </w:tc>
        <w:tc>
          <w:tcPr>
            <w:tcW w:w="1466" w:type="pct"/>
            <w:tcBorders>
              <w:top w:val="single" w:sz="4" w:space="0" w:color="7F7F7F" w:themeColor="text1" w:themeTint="80"/>
              <w:left w:val="nil"/>
              <w:right w:val="nil"/>
            </w:tcBorders>
            <w:noWrap/>
            <w:hideMark/>
          </w:tcPr>
          <w:p w14:paraId="3A408FE4" w14:textId="77777777" w:rsidR="00263B53" w:rsidRPr="00263B53" w:rsidRDefault="00263B53" w:rsidP="007A591E">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Contribution</w:t>
            </w:r>
          </w:p>
        </w:tc>
      </w:tr>
      <w:tr w:rsidR="00263B53" w:rsidRPr="00263B53" w14:paraId="3E060C71" w14:textId="77777777" w:rsidTr="00506B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left w:val="nil"/>
              <w:right w:val="nil"/>
            </w:tcBorders>
            <w:noWrap/>
            <w:hideMark/>
          </w:tcPr>
          <w:p w14:paraId="0D4FAA36"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1</w:t>
            </w:r>
          </w:p>
        </w:tc>
        <w:tc>
          <w:tcPr>
            <w:tcW w:w="1607" w:type="pct"/>
            <w:tcBorders>
              <w:left w:val="nil"/>
              <w:right w:val="nil"/>
            </w:tcBorders>
            <w:noWrap/>
            <w:hideMark/>
          </w:tcPr>
          <w:p w14:paraId="444186F3" w14:textId="24A6CED9"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 xml:space="preserve">Research on vehicle lifting </w:t>
            </w:r>
            <w:r w:rsidRPr="00263B53">
              <w:rPr>
                <w:rFonts w:ascii="Arial" w:eastAsia="Arial" w:hAnsi="Arial" w:cs="Arial"/>
                <w:color w:val="auto"/>
                <w:sz w:val="16"/>
                <w:szCs w:val="16"/>
              </w:rPr>
              <w:t xml:space="preserve">jack structure failure trend on basis of static strength analysis </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{"citationItems":[{"id":"ITEM-1","itemData":{"DOI":"10.4028/www.scientific.net/AMM.275-277.751","ISSN":"16609336","abstract":"To ensure the safe use of vehicle lifting jack as process equipment for fabricating and producing railway vehicles, this paper analyzes on the working conditions of vehicle lifting jack and makes contact nonlinear finite element analysis on various typical working conditions. Through the analysis result on static strength thereof, the parts easily subject to dangers are located, and the failure trend of parts can be prejudged by locating the weaknesses, which guides for prejudging the failures in actual production and can prevent the occurrence of accidents. © (2013) Trans Tech Publications, Switzerland.","author":[{"dropping-particle":"","family":"Xia","given":"Changqing","non-dropping-particle":"","parse-names":false,"suffix":""},{"dropping-particle":"","family":"Sun","given":"Yingshi","non-dropping-particle":"","parse-names":false,"suffix":""}],"container-title":"Applied Mechanics and Materials","id":"ITEM-1","issued":{"date-parts":[["2013"]]},"title":"Research on vehicle lifting jack structure failure trend on basis of static strength analysis","type":"paper-conference","volume":"275-277"},"uris":["http://www.mendeley.com/documents/?uuid=4086c74c-9f61-3c12-8287-5579637072d3"]}],"mendeley":{"formattedCitation":"[13]","plainTextFormattedCitation":"[13]","previouslyFormattedCitation":"[13]"},"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[13]</w:t>
            </w:r>
            <w:r w:rsidRPr="00263B53">
              <w:rPr>
                <w:rFonts w:ascii="Arial" w:eastAsia="Arial" w:hAnsi="Arial" w:cs="Arial"/>
                <w:sz w:val="16"/>
                <w:szCs w:val="16"/>
              </w:rPr>
              <w:fldChar w:fldCharType="end"/>
            </w:r>
          </w:p>
        </w:tc>
        <w:tc>
          <w:tcPr>
            <w:tcW w:w="1655" w:type="pct"/>
            <w:tcBorders>
              <w:left w:val="nil"/>
              <w:right w:val="nil"/>
            </w:tcBorders>
            <w:noWrap/>
            <w:hideMark/>
          </w:tcPr>
          <w:p w14:paraId="20E2EDFF"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Nonlinear FEA simulation considering contact between components under typical working conditions.</w:t>
            </w:r>
          </w:p>
        </w:tc>
        <w:tc>
          <w:tcPr>
            <w:tcW w:w="1466" w:type="pct"/>
            <w:tcBorders>
              <w:left w:val="nil"/>
              <w:right w:val="nil"/>
            </w:tcBorders>
            <w:noWrap/>
            <w:hideMark/>
          </w:tcPr>
          <w:p w14:paraId="3CD121AF"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Provides a simulation-based static analysis method to predict failure trends, enhancing safety and accident prevention.</w:t>
            </w:r>
          </w:p>
        </w:tc>
      </w:tr>
      <w:tr w:rsidR="00263B53" w:rsidRPr="00263B53" w14:paraId="51EA04F7" w14:textId="77777777" w:rsidTr="00506B5D">
        <w:trPr>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nil"/>
              <w:left w:val="nil"/>
              <w:bottom w:val="nil"/>
              <w:right w:val="nil"/>
            </w:tcBorders>
            <w:noWrap/>
            <w:hideMark/>
          </w:tcPr>
          <w:p w14:paraId="09182B0A"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2</w:t>
            </w:r>
          </w:p>
        </w:tc>
        <w:tc>
          <w:tcPr>
            <w:tcW w:w="1607" w:type="pct"/>
            <w:tcBorders>
              <w:top w:val="nil"/>
              <w:left w:val="nil"/>
              <w:bottom w:val="nil"/>
              <w:right w:val="nil"/>
            </w:tcBorders>
            <w:noWrap/>
            <w:hideMark/>
          </w:tcPr>
          <w:p w14:paraId="7F37C5E4" w14:textId="580B3DEA"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Stability study on a lifting jack-up platform by moses software</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{"citationItems":[{"id":"ITEM-1","itemData":{"ISSN":"15551792","abstract":"To ensure the safety of lifting operation, maintaining the stability of crane platform is an important and complicated task. A method that can analyze the stability of the crane platform during lifting operation is put forward, and some of the considerations in the analysis process are pointed out. According to the latest China Classification Society (CCS) classification standards for mobile offshore platforms, a case study is conducted on a lifting jack-up platform for analyzing the stability of the platform during lifting operations. The stability of the platform with the lifting arm at different angles can be obtained, and the angle of the lifting arm with the worst stability is searched out to prevent the platform from being at risk. The research results can provide basis for stability analysis of lifting jack-up platforms and provide technical support for safe lifting operation of similar platforms.","author":[{"dropping-particle":"","family":"Lin","given":"Zhi Jiang","non-dropping-particle":"","parse-names":false,"suffix":""},{"dropping-particle":"","family":"Zhang","given":"Bao Yu","non-dropping-particle":"","parse-names":false,"suffix":""},{"dropping-particle":"","family":"Zhang","given":"Yuan Bo","non-dropping-particle":"","parse-names":false,"suffix":""},{"dropping-particle":"","family":"Fu","given":"De Jian","non-dropping-particle":"","parse-names":false,"suffix":""},{"dropping-particle":"","family":"Feng","given":"Shi Lun","non-dropping-particle":"","parse-names":false,"suffix":""},{"dropping-particle":"","family":"Sun","given":"Li Qiang","non-dropping-particle":"","parse-names":false,"suffix":""}],"container-title":"Proceedings of the International Offshore and Polar Engineering Conference","id":"ITEM-1","issued":{"date-parts":[["2019"]]},"title":"Stability study on a lifting jack-up platform by moses software","type":"paper-conference","volume":"1"},"uris":["http://www.mendeley.com/documents/?uuid=8a8e221f-f1cb-3acb-b1f6-32e096ce4e73"]}],"mendeley":{"formattedCitation":"[14]","plainTextFormattedCitation":"[14]","previouslyFormattedCitation":"[14]"},"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[14]</w:t>
            </w:r>
            <w:r w:rsidRPr="00263B53">
              <w:rPr>
                <w:rFonts w:ascii="Arial" w:eastAsia="Arial" w:hAnsi="Arial" w:cs="Arial"/>
                <w:sz w:val="16"/>
                <w:szCs w:val="16"/>
              </w:rPr>
              <w:fldChar w:fldCharType="end"/>
            </w:r>
          </w:p>
        </w:tc>
        <w:tc>
          <w:tcPr>
            <w:tcW w:w="1655" w:type="pct"/>
            <w:tcBorders>
              <w:top w:val="nil"/>
              <w:left w:val="nil"/>
              <w:bottom w:val="nil"/>
              <w:right w:val="nil"/>
            </w:tcBorders>
            <w:noWrap/>
            <w:hideMark/>
          </w:tcPr>
          <w:p w14:paraId="19AFC2ED"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MOSES simulation; case study of one jack-up platform; crane arm angle variation analysis based on CCS standards.</w:t>
            </w:r>
          </w:p>
        </w:tc>
        <w:tc>
          <w:tcPr>
            <w:tcW w:w="1466" w:type="pct"/>
            <w:tcBorders>
              <w:top w:val="nil"/>
              <w:left w:val="nil"/>
              <w:bottom w:val="nil"/>
              <w:right w:val="nil"/>
            </w:tcBorders>
            <w:noWrap/>
            <w:hideMark/>
          </w:tcPr>
          <w:p w14:paraId="06D5C4C2"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Provided a software-based approach for stability analysis, aiding designers and operators in risk avoidance during offshore lifting.</w:t>
            </w:r>
          </w:p>
        </w:tc>
      </w:tr>
      <w:tr w:rsidR="00263B53" w:rsidRPr="00263B53" w14:paraId="711AD703" w14:textId="77777777" w:rsidTr="00506B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left w:val="nil"/>
              <w:right w:val="nil"/>
            </w:tcBorders>
            <w:noWrap/>
            <w:hideMark/>
          </w:tcPr>
          <w:p w14:paraId="19CD644E"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3</w:t>
            </w:r>
          </w:p>
        </w:tc>
        <w:tc>
          <w:tcPr>
            <w:tcW w:w="1607" w:type="pct"/>
            <w:tcBorders>
              <w:left w:val="nil"/>
              <w:right w:val="nil"/>
            </w:tcBorders>
            <w:noWrap/>
            <w:hideMark/>
          </w:tcPr>
          <w:p w14:paraId="778DBF60" w14:textId="7CC6FFD2"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Asynchronous Resilient Wireless Sensor Network for Train Integrity Monitoring</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{"citationItems":[{"id":"ITEM-1","itemData":{"DOI":"10.1109/JIOT.2020.3026243","ISSN":"23274662","abstract":"To increase railway use efficiency, the European Railway Traffic Management System (ERTMS) Level 3 requires all trains to constantly and reliably self-monitor and report their integrity and track position without infrastructure support. Timely train separation detection is challenging, especially for long freight trains without electrical power on cars. Data fusion of multiple monitoring techniques is currently investigated, including distributed integrity sensing of all train couplings. We propose a wireless sensor network (WSN) topology, communication protocol, application, and sensor nodes prototypes designed for low-power timely train integrity (TI) reporting in unreliable conditions, like intermittent node operation and network association (e.g., in low environmental energy harvesting conditions) and unreliable radio links. Each train coupling is redundantly monitored by four sensors, which can help to satisfy the train collision avoidance system (TCAS) and European Committee for Electrotechnical Standardization (CENELEC) software integrity level (SIL) 4 requirements and contribute to the reliability of the asynchronous network with low rejoin overhead. A control center on the locomotive controls the WSN and receives the reports, helping the integration in railway or Internet-of-Things (IoT) applications. Software simulations of the embedded application code virtually unchanged show that the energy-optimized configurations check a 50-car TI (about 1-km long) in 3.6-s average with 0.1-s standard deviation and that more than 95% of the reports are delivered successfully with up to one-third of communications or up to 15% of the nodes failed. We also report qualitative test results for a 20-node network in different experimental conditions.","author":[{"dropping-particle":"","family":"Lazarescu","given":"Mihai T.","non-dropping-particle":"","parse-names":false,"suffix":""},{"dropping-particle":"","family":"Poolad","given":"Pooya","non-dropping-particle":"","parse-names":false,"suffix":""}],"container-title":"IEEE Internet of Things Journal","id":"ITEM-1","issue":"5","issued":{"date-parts":[["2021"]]},"title":"Asynchronous Resilient Wireless Sensor Network for Train Integrity Monitoring","type":"article-journal","volume":"8"},"uris":["http://www.mendeley.com/documents/?uuid=aa9a3190-03b8-300a-9822-89f28a2c8d63"]}],"mendeley":{"formattedCitation":"[15]","plainTextFormattedCitation":"[15]","previouslyFormattedCitation":"[15]"},"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[15]</w:t>
            </w:r>
            <w:r w:rsidRPr="00263B53">
              <w:rPr>
                <w:rFonts w:ascii="Arial" w:eastAsia="Arial" w:hAnsi="Arial" w:cs="Arial"/>
                <w:sz w:val="16"/>
                <w:szCs w:val="16"/>
              </w:rPr>
              <w:fldChar w:fldCharType="end"/>
            </w:r>
          </w:p>
        </w:tc>
        <w:tc>
          <w:tcPr>
            <w:tcW w:w="1655" w:type="pct"/>
            <w:tcBorders>
              <w:left w:val="nil"/>
              <w:right w:val="nil"/>
            </w:tcBorders>
            <w:noWrap/>
            <w:hideMark/>
          </w:tcPr>
          <w:p w14:paraId="13F3CB2D"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Prototype design with redundant WSN nodes; simulation and experiments with 20-node networks under interference.</w:t>
            </w:r>
          </w:p>
        </w:tc>
        <w:tc>
          <w:tcPr>
            <w:tcW w:w="1466" w:type="pct"/>
            <w:tcBorders>
              <w:left w:val="nil"/>
              <w:right w:val="nil"/>
            </w:tcBorders>
            <w:noWrap/>
            <w:hideMark/>
          </w:tcPr>
          <w:p w14:paraId="0AC63639"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Advances resilient, energy-efficient WSN architecture for safety-critical rail applications and IoT integration.</w:t>
            </w:r>
          </w:p>
        </w:tc>
      </w:tr>
      <w:tr w:rsidR="00263B53" w:rsidRPr="00263B53" w14:paraId="639A982C" w14:textId="77777777" w:rsidTr="00506B5D">
        <w:trPr>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nil"/>
              <w:left w:val="nil"/>
              <w:bottom w:val="nil"/>
              <w:right w:val="nil"/>
            </w:tcBorders>
            <w:noWrap/>
            <w:hideMark/>
          </w:tcPr>
          <w:p w14:paraId="2DB771AC"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4</w:t>
            </w:r>
          </w:p>
        </w:tc>
        <w:tc>
          <w:tcPr>
            <w:tcW w:w="1607" w:type="pct"/>
            <w:tcBorders>
              <w:top w:val="nil"/>
              <w:left w:val="nil"/>
              <w:bottom w:val="nil"/>
              <w:right w:val="nil"/>
            </w:tcBorders>
            <w:noWrap/>
            <w:hideMark/>
          </w:tcPr>
          <w:p w14:paraId="71909665" w14:textId="36F3D79C"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Suggestion of Maintenance Criteria for Electric Railroad Facilities Based on Fuzzy TOPSIS</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{"citationItems":[{"id":"ITEM-1","itemData":{"DOI":"10.32604/cmc.2022.021057","ISSN":"15462226","abstract":"This paper is on the suggestion of maintenance items for electric railway facility systems. With the recent increase in the use of electric locomotives, the utilization and importance of railroad electrical facility systems are also increasing, but the railroad electrical facility system in Korea is rapidly aging. To solve this problem, various methodologies are applied to ensure operational reliability and stability for railroad electrical facility systems, but there is a lack of detailed evaluation criteria for railroad electrical facility system maintenance. Also, maintenance items must be selected in a scientific and systematic method. Therefore, railroad electrical facility systems are selected for study. Design Structure Matrix (DSM) is utilized to establish considerations tailored to the maintenance characteristics, and the Fuzzy-TOPSIS methodology is utilized for determining the maintenance detail evaluation item baseline weights, a multi-criteria decision-making problem. Studies show that degradation, insulation items have the highest weight of 14.63%, and capacity items have the lowest weight of 5.34%. The results of this may be contributed to the underlying research in carrying out maintenance activities to ensure the reliability and safety of railroad electrical facility systems.","author":[{"dropping-particle":"","family":"Hwang","given":"Sunwoo","non-dropping-particle":"","parse-names":false,"suffix":""},{"dropping-particle":"","family":"Kim","given":"Joouk","non-dropping-particle":"","parse-names":false,"suffix":""},{"dropping-particle":"","family":"Kim","given":"Hagseoung","non-dropping-particle":"","parse-names":false,"suffix":""},{"dropping-particle":"","family":"Kim","given":"Hyungchul","non-dropping-particle":"","parse-names":false,"suffix":""},{"dropping-particle":"","family":"Kim","given":"Youngmin","non-dropping-particle":"","parse-names":false,"suffix":""}],"container-title":"Computers, Materials and Continua","id":"ITEM-1","issue":"3","issued":{"date-parts":[["2022"]]},"title":"Suggestion of maintenance criteria for electric railroad facilities based on fuzzy TOPSIS","type":"article-journal","volume":"70"},"uris":["http://www.mendeley.com/documents/?uuid=789d29d6-9702-386a-a0d4-9eef36a52454"]}],"mendeley":{"formattedCitation":"[16]","plainTextFormattedCitation":"[16]","previouslyFormattedCitation":"[16]"},"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[16]</w:t>
            </w:r>
            <w:r w:rsidRPr="00263B53">
              <w:rPr>
                <w:rFonts w:ascii="Arial" w:eastAsia="Arial" w:hAnsi="Arial" w:cs="Arial"/>
                <w:sz w:val="16"/>
                <w:szCs w:val="16"/>
              </w:rPr>
              <w:fldChar w:fldCharType="end"/>
            </w:r>
          </w:p>
        </w:tc>
        <w:tc>
          <w:tcPr>
            <w:tcW w:w="1655" w:type="pct"/>
            <w:tcBorders>
              <w:top w:val="nil"/>
              <w:left w:val="nil"/>
              <w:bottom w:val="nil"/>
              <w:right w:val="nil"/>
            </w:tcBorders>
            <w:noWrap/>
            <w:hideMark/>
          </w:tcPr>
          <w:p w14:paraId="52E68266"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DSM and Fuzzy TOPSIS applied for multi-criteria evaluation; quantified weights of technical aspects</w:t>
            </w:r>
          </w:p>
        </w:tc>
        <w:tc>
          <w:tcPr>
            <w:tcW w:w="1466" w:type="pct"/>
            <w:tcBorders>
              <w:top w:val="nil"/>
              <w:left w:val="nil"/>
              <w:bottom w:val="nil"/>
              <w:right w:val="nil"/>
            </w:tcBorders>
            <w:noWrap/>
            <w:hideMark/>
          </w:tcPr>
          <w:p w14:paraId="7025577F"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Offers a quantitative, structured model for electrical railway facility maintenance planning.</w:t>
            </w:r>
          </w:p>
        </w:tc>
      </w:tr>
      <w:tr w:rsidR="00263B53" w:rsidRPr="00263B53" w14:paraId="2957CE3A" w14:textId="77777777" w:rsidTr="00506B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left w:val="nil"/>
              <w:right w:val="nil"/>
            </w:tcBorders>
            <w:noWrap/>
            <w:hideMark/>
          </w:tcPr>
          <w:p w14:paraId="3CCCC5B2"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5</w:t>
            </w:r>
          </w:p>
        </w:tc>
        <w:tc>
          <w:tcPr>
            <w:tcW w:w="1607" w:type="pct"/>
            <w:tcBorders>
              <w:left w:val="nil"/>
              <w:right w:val="nil"/>
            </w:tcBorders>
            <w:noWrap/>
            <w:hideMark/>
          </w:tcPr>
          <w:p w14:paraId="16C92538" w14:textId="1F05690F"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br/>
              <w:t>Finite Element Analysis on the Rack of the JC-17B Mobile Lifting Jack</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{"citationItems":[{"id":"ITEM-1","itemData":{"DOI":"10.3233/ATDE230479","ISSN":"23527528","abstract":"Mobile lifting jack is one of the important equipment to CRH train overhaul, mostly in the manual mobile lifting jack. The JC-17B mobile lifting jack is often used as a lifting jack of CRH, which can implement lifting operations of 8 and 16 trains simultaneously. The mobile lifting jack mainly consists of the rack, transmission device, head supporting portion, walking device and other components. For efficiency, some structural modifications have been carried out, with electric pushing rods used for the expansion and contraction of the head supporting portion, and motor drive used for the walking device. At the same time, the original motor has been modified from the traditional top installation to the bottom installation to facilitate the maintenance of the lifting jack. Rack as an important component bears all loads, and its mechanical properties, especially the strength, play an important role in the normal operation of the entire equipment. This is the use of modern design method, using Pro/E, ANSYS and other modern engineering software platform, to do mechanical and modal analysis for rack on JC-17B mobile lifting jack, complete the rack design optimization, The analysis results show that the maximum stress is, which does not exceed the yield limit. Additionally, the thickness of the rack is reduced by 2mm, and the mass is reduced by 21.9%, thereby having saved materials and reduced production costs. Practice has proved that the mobile lifting jack developed based on the optimization method in this paper works well in actual operation, and for the future of all types of mobile lifting jack development, technological transformation and equipment renewal provides a reliable basis for the design.","author":[{"dropping-particle":"","family":"Zhang","given":"Shiqiang","non-dropping-particle":"","parse-names":false,"suffix":""},{"dropping-particle":"","family":"Chen","given":"Qian","non-dropping-particle":"","parse-names":false,"suffix":""},{"dropping-particle":"","family":"Lei","given":"Ming","non-dropping-particle":"","parse-names":false,"suffix":""}],"container-title":"Advances in Transdisciplinary Engineering","id":"ITEM-1","issued":{"date-parts":[["2023"]]},"title":"Finite Element Analysis on the Rack of the JC-17B Mobile Lifting Jack","type":"paper-conference","volume":"40"},"uris":["http://www.mendeley.com/documents/?uuid=082fdb1a-819a-363b-81fb-4ac505851fb2"]}],"mendeley":{"formattedCitation":"[17]","plainTextFormattedCitation":"[17]","previouslyFormattedCitation":"[17]"},"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[17]</w:t>
            </w:r>
            <w:r w:rsidRPr="00263B53">
              <w:rPr>
                <w:rFonts w:ascii="Arial" w:eastAsia="Arial" w:hAnsi="Arial" w:cs="Arial"/>
                <w:sz w:val="16"/>
                <w:szCs w:val="16"/>
              </w:rPr>
              <w:fldChar w:fldCharType="end"/>
            </w:r>
          </w:p>
        </w:tc>
        <w:tc>
          <w:tcPr>
            <w:tcW w:w="1655" w:type="pct"/>
            <w:tcBorders>
              <w:left w:val="nil"/>
              <w:right w:val="nil"/>
            </w:tcBorders>
            <w:noWrap/>
            <w:hideMark/>
          </w:tcPr>
          <w:p w14:paraId="3DA589DE"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FEA-based simulation using Pro/E and ANSYS; includes stress analysis, modal vibration analysis, and redesign of motor position and rack thickness.</w:t>
            </w:r>
          </w:p>
        </w:tc>
        <w:tc>
          <w:tcPr>
            <w:tcW w:w="1466" w:type="pct"/>
            <w:tcBorders>
              <w:left w:val="nil"/>
              <w:right w:val="nil"/>
            </w:tcBorders>
            <w:noWrap/>
            <w:hideMark/>
          </w:tcPr>
          <w:p w14:paraId="12A6F027"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Presents an efficient, simulation-based design method for mobile lifting jack development, supporting future tech upgrades</w:t>
            </w:r>
          </w:p>
        </w:tc>
      </w:tr>
      <w:tr w:rsidR="00263B53" w:rsidRPr="00263B53" w14:paraId="2398A98F" w14:textId="77777777" w:rsidTr="00506B5D">
        <w:trPr>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nil"/>
              <w:left w:val="nil"/>
              <w:bottom w:val="nil"/>
              <w:right w:val="nil"/>
            </w:tcBorders>
            <w:noWrap/>
            <w:hideMark/>
          </w:tcPr>
          <w:p w14:paraId="288F5A8B"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6</w:t>
            </w:r>
          </w:p>
        </w:tc>
        <w:tc>
          <w:tcPr>
            <w:tcW w:w="1607" w:type="pct"/>
            <w:tcBorders>
              <w:top w:val="nil"/>
              <w:left w:val="nil"/>
              <w:bottom w:val="nil"/>
              <w:right w:val="nil"/>
            </w:tcBorders>
            <w:noWrap/>
            <w:hideMark/>
          </w:tcPr>
          <w:p w14:paraId="1E914750" w14:textId="5F488675"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Consensus Control for Multiagent Systems under Asymmetric Actuator Saturations with Applications to Mobile Train Lifting Jack Systems</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{"citationItems":[{"id":"ITEM-1","itemData":{"DOI":"10.1109/TII.2022.3229138","ISSN":"19410050","abstract":"In this article, the consensus control problem is investigated for mobile train lifting jack systems (TLJSs) of electric multiple units in the context of distributed industrial systems. First, a kind of global consensus controller is dedicatedly designed to deal with the underlying actuator limitation that is a typical phenomenon in mobile TLJSs and is referred to as actuator saturation. In order to better cater for the impact from the TLJSs, we consider the asymmetric actuator saturations (rather than their symmetric counterparts) whose side effects are later attenuated by means of a novel Lyapunov-function-based method. A series of experiments are conducted on mobile TLJSs so as to illustrate the effectiveness of the proposed consensus control algorithm.","author":[{"dropping-particle":"","family":"He","given":"Xiao","non-dropping-particle":"","parse-names":false,"suffix":""},{"dropping-particle":"","family":"Wang","given":"Zidong","non-dropping-particle":"","parse-names":false,"suffix":""},{"dropping-particle":"","family":"Gao","given":"Chen","non-dropping-particle":"","parse-names":false,"suffix":""},{"dropping-particle":"","family":"Zhou","given":"Donghua","non-dropping-particle":"","parse-names":false,"suffix":""}],"container-title":"IEEE Transactions on Industrial Informatics","id":"ITEM-1","issue":"10","issued":{"date-parts":[["2023"]]},"title":"Consensus Control for Multiagent Systems under Asymmetric Actuator Saturations with Applications to Mobile Train Lifting Jack Systems","type":"article-journal","volume":"19"},"uris":["http://www.mendeley.com/documents/?uuid=920fbf54-8f42-35b6-a9e4-2e86f69c2fda"]}],"mendeley":{"formattedCitation":"[6]","plainTextFormattedCitation":"[6]","previouslyFormattedCitation":"[6]"},"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[6]</w:t>
            </w:r>
            <w:r w:rsidRPr="00263B53">
              <w:rPr>
                <w:rFonts w:ascii="Arial" w:eastAsia="Arial" w:hAnsi="Arial" w:cs="Arial"/>
                <w:sz w:val="16"/>
                <w:szCs w:val="16"/>
              </w:rPr>
              <w:fldChar w:fldCharType="end"/>
            </w:r>
          </w:p>
        </w:tc>
        <w:tc>
          <w:tcPr>
            <w:tcW w:w="1655" w:type="pct"/>
            <w:tcBorders>
              <w:top w:val="nil"/>
              <w:left w:val="nil"/>
              <w:bottom w:val="nil"/>
              <w:right w:val="nil"/>
            </w:tcBorders>
            <w:noWrap/>
            <w:hideMark/>
          </w:tcPr>
          <w:p w14:paraId="4669801C"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Multi-agent system control theory; consensus-based control algorithm; Lyapunov-based stability analysis; real-world TLJS experiments.</w:t>
            </w:r>
          </w:p>
        </w:tc>
        <w:tc>
          <w:tcPr>
            <w:tcW w:w="1466" w:type="pct"/>
            <w:tcBorders>
              <w:top w:val="nil"/>
              <w:left w:val="nil"/>
              <w:bottom w:val="nil"/>
              <w:right w:val="nil"/>
            </w:tcBorders>
            <w:noWrap/>
            <w:hideMark/>
          </w:tcPr>
          <w:p w14:paraId="586486EA"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Offers an adaptive consensus control for asymmetric actuator systems, applicable to TLJSs for safer and smarter operations.</w:t>
            </w:r>
          </w:p>
        </w:tc>
      </w:tr>
      <w:tr w:rsidR="00263B53" w:rsidRPr="00263B53" w14:paraId="6F731A08" w14:textId="77777777" w:rsidTr="00506B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left w:val="nil"/>
              <w:right w:val="nil"/>
            </w:tcBorders>
            <w:noWrap/>
            <w:hideMark/>
          </w:tcPr>
          <w:p w14:paraId="32AD91AA"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7</w:t>
            </w:r>
          </w:p>
        </w:tc>
        <w:tc>
          <w:tcPr>
            <w:tcW w:w="1607" w:type="pct"/>
            <w:tcBorders>
              <w:left w:val="nil"/>
              <w:right w:val="nil"/>
            </w:tcBorders>
            <w:noWrap/>
            <w:hideMark/>
          </w:tcPr>
          <w:p w14:paraId="47BA01DF" w14:textId="3224C690"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HIRADC Analysis for Rolling Stock Body Lifting Ngrombo Railway Maintenance Center</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{"citationItems":[{"id":"ITEM-1","itemData":{"DOI":"10.35134/jcivil.v8i2.59","ISSN":"2615-5915","abstract":"The Railway Maintenance Center as stated in the Regulation has the duty and function of carrying out the maintenance of state-owned railway facilities. The part of rolling stock heavy maintenance with high potential hazard is Lifting Body Activities Using OHTC in Maintenance of Hydraulic Diesel Locomotive Facilities activity. it so there is a need for a risk assessment which is a process to determine control priorities for the level of risk work accident or occupational disease. Part of  OHSAS 18001:2007 Clouse 4.3.1. recommendation HIRADC methode for can support a safety system with 3 stage analisys (hazard identification, risk assessment, and control determination) The Hazard Identification  results obtained 3 aspects of hazard risk in OHTC Rolling stock Body Lifting operations with the following analysis results Crane toppling, Equipment failure, Load falling with Death &amp; asset / property damage impact factor. Risk Assessment analisys of Rolling stock Body Lifting using OHTC obtained results action taken when resources are available regarding handling which in general were Administrative Control. Determine Control relevant steps to minimize potential hazards immediately (1) Evaluating SOP Rolling stock Body Lifting and conduct outreach to all employees related to the work, (2) Making and or adding hazard signs and (3) Human development by conducting Training/Refreshment Crane Operator and Signal man. (4) Strictness of the rules for using PPE for all employees related to the work as the last step in minimizing the risk of occupational hazards.","author":[{"dropping-particle":"","family":"Riyanta","given":"Wawan","non-dropping-particle":"","parse-names":false,"suffix":""}],"container-title":"Civil Engineering Collaboration","id":"ITEM-1","issued":{"date-parts":[["2023"]]},"title":"HIRADC Analysis for Rolling Stock Body Lifting Ngrombo Railway Maintenance Center","type":"article-journal"},"uris":["http://www.mendeley.com/documents/?uuid=7dfc97a7-777d-3ced-b966-c982aa15a372"]}],"mendeley":{"formattedCitation":"[18]","plainTextFormattedCitation":"[18]","previouslyFormattedCitation":"[18]"},"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[18]</w:t>
            </w:r>
            <w:r w:rsidRPr="00263B53">
              <w:rPr>
                <w:rFonts w:ascii="Arial" w:eastAsia="Arial" w:hAnsi="Arial" w:cs="Arial"/>
                <w:sz w:val="16"/>
                <w:szCs w:val="16"/>
              </w:rPr>
              <w:fldChar w:fldCharType="end"/>
            </w:r>
          </w:p>
        </w:tc>
        <w:tc>
          <w:tcPr>
            <w:tcW w:w="1655" w:type="pct"/>
            <w:tcBorders>
              <w:left w:val="nil"/>
              <w:right w:val="nil"/>
            </w:tcBorders>
            <w:noWrap/>
            <w:hideMark/>
          </w:tcPr>
          <w:p w14:paraId="45E69D0E"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HIRADC methodology: hazard identification, risk assessment, control determination for lifting activities.</w:t>
            </w:r>
          </w:p>
        </w:tc>
        <w:tc>
          <w:tcPr>
            <w:tcW w:w="1466" w:type="pct"/>
            <w:tcBorders>
              <w:left w:val="nil"/>
              <w:right w:val="nil"/>
            </w:tcBorders>
            <w:noWrap/>
            <w:hideMark/>
          </w:tcPr>
          <w:p w14:paraId="3B240225"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Provides an applicable HIRADC model for railway maintenance safety system improvement.</w:t>
            </w:r>
          </w:p>
        </w:tc>
      </w:tr>
      <w:tr w:rsidR="00263B53" w:rsidRPr="00263B53" w14:paraId="54E83EF3" w14:textId="77777777" w:rsidTr="00506B5D">
        <w:trPr>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nil"/>
              <w:left w:val="nil"/>
              <w:bottom w:val="nil"/>
              <w:right w:val="nil"/>
            </w:tcBorders>
            <w:noWrap/>
            <w:hideMark/>
          </w:tcPr>
          <w:p w14:paraId="2DBAA7E2"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lastRenderedPageBreak/>
              <w:t>8</w:t>
            </w:r>
          </w:p>
        </w:tc>
        <w:tc>
          <w:tcPr>
            <w:tcW w:w="1607" w:type="pct"/>
            <w:tcBorders>
              <w:top w:val="nil"/>
              <w:left w:val="nil"/>
              <w:bottom w:val="nil"/>
              <w:right w:val="nil"/>
            </w:tcBorders>
            <w:noWrap/>
            <w:hideMark/>
          </w:tcPr>
          <w:p w14:paraId="6CC7500E" w14:textId="20E94B86"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Dynamic Simulation of Railway Locomotive and Detection of Electromechanical Equipment Based on Virtual Reality Technology</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{"citationItems":[{"id":"ITEM-1","itemData":{"DOI":"10.17683/ijomam/issue14.20","ISSN":"25594397","abstract":"The stability of railway locomotive is closely related to the safety of railway transportation. A new method for assessing the stability of railway locomotives uses Virtual Reality (VR) technology in conjunction with a dynamic simulation exercise. This paper develops the virtual test technology of railway locomotive running stability and its prototype system, thus shortening the development cycle and guaranteeing the running safety. Additionally, this paper uses numerical simulation and VR as technical support to make a more accurate evaluation of locomotive running stability. This paper utilizes the robust scientific calculation and numerical simulation functions of Matlab and Simulink to realize the simulation control of vehicle model motion and realizes the visual interactive display of railway locomotive running stability test results to realize the automatic analysis and calculation of various railway locomotive coefficients. In the meantime, this paper develops and implements a virtual overhaul system of a railway locomotive based on VR technology and simulates the process of equipment overhaul and disassembly on CAD software in order to ensure the daily inspection, maintenance, and repair of mechanical and electrical equipment of EMU. The system's test results demonstrate that: (1) Matlab can be used as the calculation kernel to realize anti-derailment, anti-overturning, numerical simulation analysis, and calculation of hunting stability of railway locomotives, providing more precise data support for the stable operation of locomotives. (2) The VR-based mechanical and electrical equipment maintenance system can satisfy the needs of maintenance personnel's visual inspection and disassembly simulation in the virtual maintenance environment and improve the realism of the simulation. In order to provide a more accurate virtual simulation of running stability and equipment identification of railway locomotives, the real-time presentation of vehicle stability characteristics in dynamic operation is investigated in this paper.","author":[{"dropping-particle":"","family":"Song","given":"Yali","non-dropping-particle":"","parse-names":false,"suffix":""},{"dropping-particle":"","family":"Li","given":"Yaru","non-dropping-particle":"","parse-names":false,"suffix":""}],"container-title":"International Journal of Mechatronics and Applied Mechanics","id":"ITEM-1","issued":{"date-parts":[["2023"]]},"title":"DYNAMIC SIMULATION OF RAILWAY LOCOMOTIVE AND DETECTION OF ELECTROMECHANICAL EQUIPMENT BASED ON VIRTUAL REALITY TECHNOLOGY","type":"article-journal","volume":"14"},"uris":["http://www.mendeley.com/documents/?uuid=95dc2139-64fa-3c00-b3e4-2d64c8c98ae9"]}],"mendeley":{"formattedCitation":"[19]","plainTextFormattedCitation":"[19]","previouslyFormattedCitation":"[19]"},"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[19]</w:t>
            </w:r>
            <w:r w:rsidRPr="00263B53">
              <w:rPr>
                <w:rFonts w:ascii="Arial" w:eastAsia="Arial" w:hAnsi="Arial" w:cs="Arial"/>
                <w:sz w:val="16"/>
                <w:szCs w:val="16"/>
              </w:rPr>
              <w:fldChar w:fldCharType="end"/>
            </w:r>
          </w:p>
        </w:tc>
        <w:tc>
          <w:tcPr>
            <w:tcW w:w="1655" w:type="pct"/>
            <w:tcBorders>
              <w:top w:val="nil"/>
              <w:left w:val="nil"/>
              <w:bottom w:val="nil"/>
              <w:right w:val="nil"/>
            </w:tcBorders>
            <w:noWrap/>
            <w:hideMark/>
          </w:tcPr>
          <w:p w14:paraId="355729D0"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Matlab-Simulink for motion simulation; VR for visualization and training; CAD for disassembly simulations.</w:t>
            </w:r>
          </w:p>
        </w:tc>
        <w:tc>
          <w:tcPr>
            <w:tcW w:w="1466" w:type="pct"/>
            <w:tcBorders>
              <w:top w:val="nil"/>
              <w:left w:val="nil"/>
              <w:bottom w:val="nil"/>
              <w:right w:val="nil"/>
            </w:tcBorders>
            <w:noWrap/>
            <w:hideMark/>
          </w:tcPr>
          <w:p w14:paraId="6BEBECCC"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Pioneers VR-integrated simulation in rail operations and training; improves realism and maintenance efficiency.</w:t>
            </w:r>
          </w:p>
        </w:tc>
      </w:tr>
      <w:tr w:rsidR="00263B53" w:rsidRPr="00263B53" w14:paraId="0C3A23C5" w14:textId="77777777" w:rsidTr="00506B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3" w:type="pct"/>
            <w:tcBorders>
              <w:left w:val="nil"/>
              <w:right w:val="nil"/>
            </w:tcBorders>
            <w:noWrap/>
            <w:hideMark/>
          </w:tcPr>
          <w:p w14:paraId="6CC3DF65"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9</w:t>
            </w:r>
          </w:p>
        </w:tc>
        <w:tc>
          <w:tcPr>
            <w:tcW w:w="1607" w:type="pct"/>
            <w:tcBorders>
              <w:left w:val="nil"/>
              <w:right w:val="nil"/>
            </w:tcBorders>
            <w:noWrap/>
            <w:hideMark/>
          </w:tcPr>
          <w:p w14:paraId="315E0DD8" w14:textId="303727BB"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Mechanical Analysis on the Frame of JC-17B Mobile Lifting Jack</w:t>
            </w:r>
            <w:r w:rsidRPr="00263B53">
              <w:rPr>
                <w:rFonts w:ascii="Arial" w:eastAsia="Arial" w:hAnsi="Arial" w:cs="Arial"/>
                <w:sz w:val="16"/>
                <w:szCs w:val="16"/>
              </w:rPr>
              <w:fldChar w:fldCharType="begin" w:fldLock="1"/>
            </w:r>
            <w:r w:rsidR="006212F9">
              <w:rPr>
                <w:rFonts w:ascii="Arial" w:eastAsia="Arial" w:hAnsi="Arial" w:cs="Arial"/>
                <w:color w:val="auto"/>
                <w:sz w:val="16"/>
                <w:szCs w:val="16"/>
              </w:rPr>
              <w:instrText>ADDIN CSL_CITATION {"citationItems":[{"id":"ITEM-1","itemData":{"DOI":"10.3233/ATDE240603","author":[{"dropping-particle":"","family":"Transportation","given":"Smart","non-dropping-particle":"","parse-names":false,"suffix":""},{"dropping-particle":"","family":"City","given":"Suzhou","non-dropping-particle":"","parse-names":false,"suffix":""}],"id":"ITEM-1","issued":{"date-parts":[["2024"]]},"page":"1-6","title":"Mechanical Analysis on the Frame of JC- 17B Mobile Lifting Jack","type":"article-journal","volume":"0"},"uris":["http://www.mendeley.com/documents/?uuid=5ba61233-2897-4e51-a2dd-a2953f1c1cc9"]}],"mendeley":{"formattedCitation":"[20]","plainTextFormattedCitation":"[20]","previouslyFormattedCitation":"[20]"},"properties":{"noteIndex":0},"schema":"https://github.com/citation-style-language/schema/raw/master/csl-citation.json"}</w:instrText>
            </w:r>
            <w:r w:rsidRPr="00263B53">
              <w:rPr>
                <w:rFonts w:ascii="Arial" w:eastAsia="Arial" w:hAnsi="Arial" w:cs="Arial"/>
                <w:sz w:val="16"/>
                <w:szCs w:val="16"/>
              </w:rPr>
              <w:fldChar w:fldCharType="separate"/>
            </w:r>
            <w:r w:rsidR="006212F9" w:rsidRPr="006212F9">
              <w:rPr>
                <w:rFonts w:ascii="Arial" w:eastAsia="Arial" w:hAnsi="Arial" w:cs="Arial"/>
                <w:noProof/>
                <w:color w:val="auto"/>
                <w:sz w:val="16"/>
                <w:szCs w:val="16"/>
              </w:rPr>
              <w:t>[20]</w:t>
            </w:r>
            <w:r w:rsidRPr="00263B53">
              <w:rPr>
                <w:rFonts w:ascii="Arial" w:eastAsia="Arial" w:hAnsi="Arial" w:cs="Arial"/>
                <w:sz w:val="16"/>
                <w:szCs w:val="16"/>
              </w:rPr>
              <w:fldChar w:fldCharType="end"/>
            </w:r>
          </w:p>
        </w:tc>
        <w:tc>
          <w:tcPr>
            <w:tcW w:w="1655" w:type="pct"/>
            <w:tcBorders>
              <w:left w:val="nil"/>
              <w:right w:val="nil"/>
            </w:tcBorders>
            <w:noWrap/>
            <w:hideMark/>
          </w:tcPr>
          <w:p w14:paraId="0045DD88"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Simulations using Pro/E and ANSYS; static analysis (stress and strain), buckling, and vibration frequency analysis.</w:t>
            </w:r>
          </w:p>
        </w:tc>
        <w:tc>
          <w:tcPr>
            <w:tcW w:w="1466" w:type="pct"/>
            <w:tcBorders>
              <w:left w:val="nil"/>
              <w:right w:val="nil"/>
            </w:tcBorders>
            <w:noWrap/>
            <w:hideMark/>
          </w:tcPr>
          <w:p w14:paraId="13505784" w14:textId="77777777" w:rsidR="00263B53" w:rsidRPr="00263B53" w:rsidRDefault="00263B53" w:rsidP="007A591E">
            <w:pPr>
              <w:spacing w:before="0" w:after="0" w:afterAutospacing="0"/>
              <w:ind w:leftChars="0" w:left="2" w:right="0" w:hanging="2"/>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Provides a strong theoretical basis for future development of lifting jack frames and prevention of structural resonance.</w:t>
            </w:r>
          </w:p>
        </w:tc>
      </w:tr>
      <w:tr w:rsidR="00263B53" w:rsidRPr="00263B53" w14:paraId="2E04F1BE" w14:textId="77777777" w:rsidTr="00506B5D">
        <w:trPr>
          <w:trHeight w:val="300"/>
        </w:trPr>
        <w:tc>
          <w:tcPr>
            <w:cnfStyle w:val="001000000000" w:firstRow="0" w:lastRow="0" w:firstColumn="1" w:lastColumn="0" w:oddVBand="0" w:evenVBand="0" w:oddHBand="0" w:evenHBand="0" w:firstRowFirstColumn="0" w:firstRowLastColumn="0" w:lastRowFirstColumn="0" w:lastRowLastColumn="0"/>
            <w:tcW w:w="273" w:type="pct"/>
            <w:tcBorders>
              <w:top w:val="nil"/>
              <w:left w:val="nil"/>
              <w:bottom w:val="single" w:sz="4" w:space="0" w:color="7F7F7F" w:themeColor="text1" w:themeTint="80"/>
              <w:right w:val="nil"/>
            </w:tcBorders>
            <w:noWrap/>
            <w:hideMark/>
          </w:tcPr>
          <w:p w14:paraId="2D7B02FB" w14:textId="77777777" w:rsidR="00263B53" w:rsidRPr="00263B53" w:rsidRDefault="00263B53" w:rsidP="007A591E">
            <w:pPr>
              <w:spacing w:before="0" w:after="0" w:afterAutospacing="0"/>
              <w:ind w:leftChars="0" w:left="2" w:right="0" w:hanging="2"/>
              <w:jc w:val="right"/>
              <w:rPr>
                <w:rFonts w:ascii="Arial" w:eastAsia="Arial" w:hAnsi="Arial" w:cs="Arial"/>
                <w:b w:val="0"/>
                <w:bCs w:val="0"/>
                <w:color w:val="auto"/>
                <w:sz w:val="16"/>
                <w:szCs w:val="16"/>
              </w:rPr>
            </w:pPr>
            <w:r w:rsidRPr="00263B53">
              <w:rPr>
                <w:rFonts w:ascii="Arial" w:eastAsia="Arial" w:hAnsi="Arial" w:cs="Arial"/>
                <w:b w:val="0"/>
                <w:bCs w:val="0"/>
                <w:color w:val="auto"/>
                <w:sz w:val="16"/>
                <w:szCs w:val="16"/>
              </w:rPr>
              <w:t>10</w:t>
            </w:r>
          </w:p>
        </w:tc>
        <w:tc>
          <w:tcPr>
            <w:tcW w:w="1607" w:type="pct"/>
            <w:tcBorders>
              <w:top w:val="nil"/>
              <w:left w:val="nil"/>
              <w:bottom w:val="single" w:sz="4" w:space="0" w:color="7F7F7F" w:themeColor="text1" w:themeTint="80"/>
              <w:right w:val="nil"/>
            </w:tcBorders>
            <w:noWrap/>
            <w:hideMark/>
          </w:tcPr>
          <w:p w14:paraId="632E2EFB"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A Predictive Safety and Maintenance Framework For Railway Locomotives: Integrating HAZOP, FMEA, and IoT-Based Risk Mitigation (Present)</w:t>
            </w:r>
          </w:p>
        </w:tc>
        <w:tc>
          <w:tcPr>
            <w:tcW w:w="1655" w:type="pct"/>
            <w:tcBorders>
              <w:top w:val="nil"/>
              <w:left w:val="nil"/>
              <w:bottom w:val="single" w:sz="4" w:space="0" w:color="7F7F7F" w:themeColor="text1" w:themeTint="80"/>
              <w:right w:val="nil"/>
            </w:tcBorders>
            <w:noWrap/>
            <w:hideMark/>
          </w:tcPr>
          <w:p w14:paraId="7DCD3064"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Case study in Indonesian depot; identified risks with HAZOP &amp; FMEA; developed IoT system</w:t>
            </w:r>
          </w:p>
        </w:tc>
        <w:tc>
          <w:tcPr>
            <w:tcW w:w="1466" w:type="pct"/>
            <w:tcBorders>
              <w:top w:val="nil"/>
              <w:left w:val="nil"/>
              <w:bottom w:val="single" w:sz="4" w:space="0" w:color="7F7F7F" w:themeColor="text1" w:themeTint="80"/>
              <w:right w:val="nil"/>
            </w:tcBorders>
            <w:noWrap/>
            <w:hideMark/>
          </w:tcPr>
          <w:p w14:paraId="43C66B08" w14:textId="77777777" w:rsidR="00263B53" w:rsidRPr="00263B53" w:rsidRDefault="00263B53" w:rsidP="007A591E">
            <w:pPr>
              <w:spacing w:before="0" w:after="0" w:afterAutospacing="0"/>
              <w:ind w:leftChars="0" w:left="2" w:right="0" w:hanging="2"/>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263B53">
              <w:rPr>
                <w:rFonts w:ascii="Arial" w:eastAsia="Arial" w:hAnsi="Arial" w:cs="Arial"/>
                <w:color w:val="auto"/>
                <w:sz w:val="16"/>
                <w:szCs w:val="16"/>
              </w:rPr>
              <w:t>Provides a replicable predictive framework for railway components; supports future smart maintenance using AI and digital twin.</w:t>
            </w:r>
          </w:p>
        </w:tc>
      </w:tr>
    </w:tbl>
    <w:p w14:paraId="0AE01369" w14:textId="77777777" w:rsidR="00263B53" w:rsidRDefault="00263B53" w:rsidP="00263B53">
      <w:pPr>
        <w:spacing w:after="0" w:line="240" w:lineRule="auto"/>
        <w:ind w:left="0" w:hanging="2"/>
        <w:jc w:val="both"/>
        <w:rPr>
          <w:rFonts w:ascii="Arial" w:eastAsia="Arial" w:hAnsi="Arial" w:cs="Arial"/>
          <w:sz w:val="20"/>
          <w:szCs w:val="20"/>
        </w:rPr>
      </w:pPr>
    </w:p>
    <w:p w14:paraId="7C64C5EA" w14:textId="513DFDA8" w:rsidR="0012075E" w:rsidRDefault="0012075E" w:rsidP="00263B53">
      <w:pPr>
        <w:spacing w:after="0" w:line="240" w:lineRule="auto"/>
        <w:ind w:left="0" w:hanging="2"/>
        <w:jc w:val="both"/>
        <w:textDirection w:val="lrTb"/>
        <w:rPr>
          <w:rFonts w:ascii="Arial" w:eastAsia="Arial" w:hAnsi="Arial" w:cs="Arial"/>
          <w:sz w:val="20"/>
          <w:szCs w:val="20"/>
        </w:rPr>
      </w:pPr>
      <w:r w:rsidRPr="0012075E">
        <w:rPr>
          <w:rFonts w:ascii="Arial" w:eastAsia="Arial" w:hAnsi="Arial" w:cs="Arial"/>
          <w:sz w:val="20"/>
          <w:szCs w:val="20"/>
        </w:rPr>
        <w:t>While HAZOP and FMEA are both widely applied in industrial safety analysis, the literature reveals that their integration remains limited in scope, often confined to sequential or manual application without digital support. Most studies conduct HAZOP and FMEA separately or use them as static tools for pre-operational risk assessment, which lacks adaptability in dynamic environments such as railway maintenance depots. For example, prior works often use HAZOP to identify hazards and FMEA to prioritize them, yet fail to incorporate real-time data or feedback loops to continuously update risk levels. Additionally, integrated HAZOP-FMEA frameworks often overlook the potential of IoT-based data to enhance failure mode detection and risk prediction. This study addresses these limitations by introducing a fully integrated, real-time predictive system that fuses HAZOP and FMEA with IoT sensor data, enabling dynamic risk re-evaluation and early warning capabilities. This approach goes beyond static risk registers and offers a novel contribution to digital safety systems, particularly in high-risk environments like locomotive maintenance.</w:t>
      </w:r>
    </w:p>
    <w:p w14:paraId="1ED938FB" w14:textId="5F4F3302"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 xml:space="preserve">Despite the valuable contributions of these studies, none have comprehensively integrated formal risk analysis methods such as HAZOP and FMEA with Internet of Things (IoT) technology into a real-time predictive system for monitoring the </w:t>
      </w:r>
      <w:r w:rsidRPr="00263B53">
        <w:rPr>
          <w:rFonts w:ascii="Arial" w:eastAsia="Arial" w:hAnsi="Arial" w:cs="Arial"/>
          <w:sz w:val="20"/>
          <w:szCs w:val="20"/>
        </w:rPr>
        <w:t>condition of locomotive lifting jacks. In fact, workplace accidents involving lifting equipment in railway depots still frequently occur due to undetected functional failures. Therefore, the present study is of particular importance as it offers a predictive safety and maintenance framework that combines structured risk assessment with digital transformation through IoT sensors. This approach is expected to enhance both efficiency and safety in maintenance activities, while also paving the way for the development of intelligent, data-driven maintenance systems in the future.</w:t>
      </w:r>
    </w:p>
    <w:p w14:paraId="0E6BA7FD" w14:textId="50E9F68D"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The advancement of Internet of Things (IoT) technology presents new opportunities to implement sensor-based monitoring systems capable of detecting anomalies in lifting jack operations in real time. IoT enables direct data collection from operating equipment, transmitting information to monitoring systems that analyze failure patterns and provide early warnings</w:t>
      </w:r>
      <w:r w:rsidRPr="00263B53">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{"citationItems":[{"id":"ITEM-1","itemData":{"DOI":"10.1109/TII.2019.2913535","ISSN":"15513203 (ISSN)","abstract":"This paper designs a smart urban environment monitoring system based on the wireless network of ZigBee to complete the real-time collection of urban environment information. The system consists of the basic monitoring network and the remote receiving terminal. The basic monitoring network connects the streetlights as routes and the taxis as nodes. After dynamically organizing the network, each node is assigned with an address as the only identity in the network. Then, the system designed conducts the simulation experiment to prove that it could meet the needs and send the collected information to the designated terminal in the form of message according to the setting. The sensor organized through the wireless network of ZigBee could inspire the infrastructure construction of the smart city. With the network, a smarter and more comfortable society could be well offered to people. © 2005-2012 IEEE.","author":[{"dropping-particle":"","family":"Lv","given":"Z","non-dropping-particle":"","parse-names":false,"suffix":""},{"dropping-particle":"","family":"Hu","given":"B","non-dropping-particle":"","parse-names":false,"suffix":""},{"dropping-particle":"","family":"Lv","given":"H","non-dropping-particle":"","parse-names":false,"suffix":""}],"container-title":"IEEE Transactions on Industrial Informatics","id":"ITEM-1","issue":"3","issued":{"date-parts":[["2020"]]},"language":"English","note":"Export Date: 16 July 2024; Cited By: 140; Correspondence Address: B. Hu; School of Management, Huazhong University of Science and Technology, Wuhan, 430074, China; email: bin_hu@hust.edu.cn","page":"1957-1962","publisher":"IEEE Computer Society","publisher-place":"School of Data Science and Software Engineering, Qingdao University, Qingdao, 266071, China","title":"Infrastructure Monitoring and Operation for Smart Cities Based on IoT System","type":"article-journal","volume":"16"},"uris":["http://www.mendeley.com/documents/?uuid=451917d8-c3b2-4697-b167-ef854ad6dbd4"]},{"id":"ITEM-2","itemData":{"DOI":"10.3390/s23010232","ISSN":"14248220","abstract":"The Internet of Things (IoT) is a telecommunication network in the next generation of applications with the rapid progress of wireless sensor network techniques that have touched many spheres of life today. Hardware, telephony, communications, storage, secure platforms, software and services, and data processing platforms are all part of the IoT environment. IoT sensors collect data from their environment and share it by connecting to the Internet gateway. These sensors often perform tasks without human intervention. This article aims to review real-time scheduling in the IoT to fully understand the issues raised in this area published from 2018 to 2022. A classification for IoT applications based on practical application is provided for selected studies. Selected studies include healthcare, infrastructure, industrial applications, smart city, commercial applications, environmental protection, and general IoT applications. Studies are sorted into groups based on related applications and compared based on indicators such as performance time, energy consumption, makespan, and assessment environments depending on the provided classification. Finally, this paper discusses all reviewed studies’ main concepts, disadvantages, advantages, and future work.","author":[{"dropping-particle":"","family":"Abolhassani Khajeh","given":"Sima","non-dropping-particle":"","parse-names":false,"suffix":""},{"dropping-particle":"","family":"Saberikamarposhti","given":"Morteza","non-dropping-particle":"","parse-names":false,"suffix":""},{"dropping-particle":"","family":"Rahmani","given":"Amir Masoud","non-dropping-particle":"","parse-names":false,"suffix":""}],"container-title":"Sensors","id":"ITEM-2","issue":"1","issued":{"date-parts":[["2023"]]},"title":"Real-Time Scheduling in IoT Applications: A Systematic Review","type":"article","volume":"23"},"uris":["http://www.mendeley.com/documents/?uuid=95541fb7-bb6b-3b2f-8c35-f21f90173725"]},{"id":"ITEM-3","itemData":{"DOI":"10.35940/ijitee.K2457.0981119","ISSN":"22783075 (ISSN)","abstract":"Saving the environment is the alarming red-hot topic of this trendy world. A proper arrangement is required to monitor different environmental pollutions. Many researchers and volunteers are developing and deploying Wireless Sensor Networks (WSN) for this purpose. Internet-of-Things (IoT) is one of the widely used cost-effective modern technologies to design wireless sensor nodes. Three fresh functional modules are introduced in this work to constitute the proposed work named as ‘Strengthening IoT-WSN Architecture for Environmental Monitoring’ (SIAEM) which is indented to overcome some impuissance of applying generalized wireless sensor network architecture in the field of environmental pollution monitoring. The functional modules introduced in this work are Customized Clustering of IoT-WSN Nodes (CCIN) and Energy Aware State Change Routing Protocol (EASCRP). The objective of this proposed IoT-WSN architecture is to reduce the Latency, Jitter, End-to-End delay and Power Consumption whereas, improving the performance parameters such as Throughput and Packet Delivery Ratio. The impact of proposed method in the performance of IoT-WSN network is measured and stated using benchmark network simulator. © BEIESP.","author":[{"dropping-particle":"","family":"Akila","given":"K","non-dropping-particle":"","parse-names":false,"suffix":""},{"dropping-particle":"","family":"Evanjaline","given":"D J","non-dropping-particle":"","parse-names":false,"suffix":""}],"container-title":"International Journal of Innovative Technology and Exploring Engineering","id":"ITEM-3","issue":"11","issued":{"date-parts":[["2019"]]},"language":"English","note":"Export Date: 16 July 2024; Cited By: 2","page":"3339-3347","publisher":"Blue Eyes Intelligence Engineering and Sciences Publication","publisher-place":"Cauvery College for Women, Trichy, India","title":"Strengthening IoT-WSN architecture for environmental monitoring","type":"article-journal","volume":"8"},"uris":["http://www.mendeley.com/documents/?uuid=bf899d0c-1b7c-41a7-8455-e1af814db97c"]}],"mendeley":{"formattedCitation":"[21]–[23]","plainTextFormattedCitation":"[21]–[23]","previouslyFormattedCitation":"[21]–[23]"},"properties":{"noteIndex":0},"schema":"https://github.com/citation-style-language/schema/raw/master/csl-citation.json"}</w:instrText>
      </w:r>
      <w:r w:rsidRPr="00263B53">
        <w:rPr>
          <w:rFonts w:ascii="Arial" w:eastAsia="Arial" w:hAnsi="Arial" w:cs="Arial"/>
          <w:sz w:val="20"/>
          <w:szCs w:val="20"/>
        </w:rPr>
        <w:fldChar w:fldCharType="separate"/>
      </w:r>
      <w:r w:rsidR="006212F9" w:rsidRPr="006212F9">
        <w:rPr>
          <w:rFonts w:ascii="Arial" w:eastAsia="Arial" w:hAnsi="Arial" w:cs="Arial"/>
          <w:noProof/>
          <w:sz w:val="20"/>
          <w:szCs w:val="20"/>
        </w:rPr>
        <w:t>[21]–[23]</w:t>
      </w:r>
      <w:r w:rsidRPr="00263B53">
        <w:rPr>
          <w:rFonts w:ascii="Arial" w:eastAsia="Arial" w:hAnsi="Arial" w:cs="Arial"/>
          <w:sz w:val="20"/>
          <w:szCs w:val="20"/>
        </w:rPr>
        <w:fldChar w:fldCharType="end"/>
      </w:r>
      <w:r w:rsidRPr="00263B53">
        <w:rPr>
          <w:rFonts w:ascii="Arial" w:eastAsia="Arial" w:hAnsi="Arial" w:cs="Arial"/>
          <w:sz w:val="20"/>
          <w:szCs w:val="20"/>
        </w:rPr>
        <w:t>. Through this approach, maintenance practices can shift toward predictive maintenance systems, in which potential issues are identified and addressed proactively—before they disrupt operations.</w:t>
      </w:r>
    </w:p>
    <w:p w14:paraId="53184E3B" w14:textId="77777777"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Although HAZOP and FMEA methods have been widely applied in industry, the integration of these approaches with IoT technology to develop an effective predictive maintenance system remains relatively rare. Currently, there is a lack of comprehensive frameworks that combine HAZOP-FMEA-based risk analysis with real-time IoT-based monitoring in the context of railway maintenance. Yet, such integration has the potential to deliver significant benefits in improving workplace safety and maintenance efficiency.</w:t>
      </w:r>
    </w:p>
    <w:p w14:paraId="667E058C" w14:textId="6AFCEAB2"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This study aims to address this gap by first conducting a risk analysis of lifting jack failures before developing an IoT-based monitoring system. The system will employ a combination of sensors to continuously monitor the operational parameters of the lifting jack in real time. The collected data will be analyzed using the Risk Priority Number (RPN) method from FMEA to determine risk levels</w:t>
      </w:r>
      <w:r w:rsidR="006212F9">
        <w:rPr>
          <w:rFonts w:ascii="Arial" w:eastAsia="Arial" w:hAnsi="Arial" w:cs="Arial"/>
          <w:sz w:val="20"/>
          <w:szCs w:val="20"/>
        </w:rPr>
        <w:t xml:space="preserve"> </w:t>
      </w:r>
      <w:r w:rsidR="006212F9">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{"citationItems":[{"id":"ITEM-1","itemData":{"DOI":"10.1080/17480272.2023.2214527","ISSN":"17480280","abstract":"This case study aims to determine factors that cause defects in plywood products using failure mode effect analysis (FMEA) parameters. It also analyzes prevention strategies against plywood product defects in the plywood industry in Indonesia. The study involved 9 participants who are employees of different divisions. The research data were collected from direct observations of the plywood production process, analysis of documents recording plywood product defects, and focus group discussions. Based on the results of thematic analysis using FMEA parameters, this study identified five factors that significantly contribute to the failure of plywood products, as indicated by their highest Risk Priority Number (RPN) values. These factors are: (1) lack of employee discipline, (2) unstable machine temperature and excessive machine capacity usage, (3) waste on the veneer surface, (4) excessive adhesive wastage, and (5) inefficient work performance of the employees. The study suggests that the FMEA concept employed to capture product defects can potentially be used to explore employees’ perspectives and their lived experiences in plywood production. In addition, FMEA can provide improvement feedback to prevent defects in plywood products.","author":[{"dropping-particle":"","family":"Dyah Susanti","given":"Herdiana","non-dropping-particle":"","parse-names":false,"suffix":""}],"container-title":"Wood Material Science and Engineering","id":"ITEM-1","issue":"6","issued":{"date-parts":[["2023"]]},"title":"Risk prevention of plywood product defects using Failure Mode Effect Analysis (FMEA) in the Indonesian plywood processing industry","type":"article-journal","volume":"18"},"uris":["http://www.mendeley.com/documents/?uuid=7ba71975-685b-3795-8658-55a449842a82"]},{"id":"ITEM-2","itemData":{"DOI":"10.34306/att.v5i1sp.306","ISSN":"2655-8807","abstract":"The purpose of this study is to identify risks to operational factors in PT. XZY identifies and formulates existing handlers in PT. XZY related to risks to work operations. This study used the FMEA method. FMEA is a method used to perform analysis inductively, carried out repeatedly and systematically so that the process can be documented.  Data was obtained using direct observation and interviews with logistics workers. Based on the results of problem identification and fmea calculation results, 19 operational risks were obtained in the logistics department of PT. XZY and varying RPN values, with the smallest value being 12 and the largest value being 729. Thus, it is concluded that the 3 highest risks in operations that can hinder work activities are limited product storage, improper placement of spare parts, and input errors in the system","author":[{"dropping-particle":"","family":"Dwie Nurcahyanie","given":"Yunia","non-dropping-particle":"","parse-names":false,"suffix":""},{"dropping-particle":"","family":"Cahyono","given":"Antonius","non-dropping-particle":"","parse-names":false,"suffix":""}],"container-title":"Aptisi Transactions on Technopreneurship (ATT)","id":"ITEM-2","issue":"1Sp","issued":{"date-parts":[["2023"]]},"title":"Identification and Evaluation of Logistics Operational Risk Using the Fmea Method at PT. XZY","type":"article-journal","volume":"5"},"uris":["http://www.mendeley.com/documents/?uuid=575ba4a4-55ce-3ca8-be51-220ed2de281f"]},{"id":"ITEM-3","itemData":{"DOI":"10.56554/jtom.1193787","ISSN":"2630-6433","abstract":"It is aimed to gain study substantiality by making an application for risk analysis study in the automotive industry. To bring to the literature the current point of risk analyzes used in FMEA methods applied in the automotive industry. At the same time, it is aimed to improve a problem experienced in the process of an operating in the automotive supplier industry with the risk analysis method. Failure Mode and Effects Analysis (FMEA) from risk analysis which is strong method to identifying and managing of the risks of potential failures occurring from product, process, service and system. Three methods were used in FMEA risk analysis in the study. AIAG FMEA Handbook fourth edition 2008, VDA-4 standard and new generation AIAG&amp;amp;VDA FMEA handbook, 2019. In this study, a Process FMEA study was prepared for the surface coating preparation process used by an automotive supplier industry. According to the results of the risk analysis, corrective actions were defined and prepared after the P-FMEA study. Afterwards, the necessary investments were made by the company management and the risks were minimized. With this investment, an innovative and technological application was integrated by ensuring the transition of the process from the human factor to automation. In addition, differences and current information about FMEA evaluation methods used in the automotive industry have been brought to the literature","author":[{"dropping-particle":"","family":"KÖK","given":"Nesimi","non-dropping-particle":"","parse-names":false,"suffix":""},{"dropping-particle":"","family":"YILDIZ","given":"Mehmet Selami","non-dropping-particle":"","parse-names":false,"suffix":""}],"container-title":"Journal of Turkish Operations Management","id":"ITEM-3","issue":"1","issued":{"date-parts":[["2023"]]},"title":"New Generation FMEA Method in Automotive Industry: An Application","type":"article-journal","volume":"7"},"uris":["http://www.mendeley.com/documents/?uuid=6e4c049f-90fd-371d-a5fc-92a001b7aeea"]}],"mendeley":{"formattedCitation":"[11], [12], [24]","plainTextFormattedCitation":"[11], [12], [24]"},"properties":{"noteIndex":0},"schema":"https://github.com/citation-style-language/schema/raw/master/csl-citation.json"}</w:instrText>
      </w:r>
      <w:r w:rsidR="006212F9">
        <w:rPr>
          <w:rFonts w:ascii="Arial" w:eastAsia="Arial" w:hAnsi="Arial" w:cs="Arial"/>
          <w:sz w:val="20"/>
          <w:szCs w:val="20"/>
        </w:rPr>
        <w:fldChar w:fldCharType="separate"/>
      </w:r>
      <w:r w:rsidR="006212F9" w:rsidRPr="006212F9">
        <w:rPr>
          <w:rFonts w:ascii="Arial" w:eastAsia="Arial" w:hAnsi="Arial" w:cs="Arial"/>
          <w:noProof/>
          <w:sz w:val="20"/>
          <w:szCs w:val="20"/>
        </w:rPr>
        <w:t>[11], [12], [24]</w:t>
      </w:r>
      <w:r w:rsidR="006212F9">
        <w:rPr>
          <w:rFonts w:ascii="Arial" w:eastAsia="Arial" w:hAnsi="Arial" w:cs="Arial"/>
          <w:sz w:val="20"/>
          <w:szCs w:val="20"/>
        </w:rPr>
        <w:fldChar w:fldCharType="end"/>
      </w:r>
      <w:r w:rsidRPr="00263B53">
        <w:rPr>
          <w:rFonts w:ascii="Arial" w:eastAsia="Arial" w:hAnsi="Arial" w:cs="Arial"/>
          <w:sz w:val="20"/>
          <w:szCs w:val="20"/>
        </w:rPr>
        <w:t xml:space="preserve"> </w:t>
      </w:r>
      <w:r w:rsidRPr="00263B53">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{"citationItems":[{"id":"ITEM-1","itemData":{"DOI":"10.34306/att.v5i1sp.306","ISSN":"2655-8807","abstract":"The purpose of this study is to identify risks to operational factors in PT. XZY identifies and formulates existing handlers in PT. XZY related to risks to work operations. This study used the FMEA method. FMEA is a method used to perform analysis inductively, carried out repeatedly and systematically so that the process can be documented.  Data was obtained using direct observation and interviews with logistics workers. Based on the results of problem identification and fmea calculation results, 19 operational risks were obtained in the logistics department of PT. XZY and varying RPN values, with the smallest value being 12 and the largest value being 729. Thus, it is concluded that the 3 highest risks in operations that can hinder work activities are limited product storage, improper placement of spare parts, and input errors in the system","author":[{"dropping-particle":"","family":"Dwie Nurcahyanie","given":"Yunia","non-dropping-particle":"","parse-names":false,"suffix":""},{"dropping-particle":"","family":"Cahyono","given":"Antonius","non-dropping-particle":"","parse-names":false,"suffix":""}],"container-title":"Aptisi Transactions on Technopreneurship (ATT)","id":"ITEM-1","issue":"1Sp","issued":{"date-parts":[["2023"]]},"title":"Identification and Evaluation of Logistics Operational Risk Using the Fmea Method at PT. XZY","type":"article-journal","volume":"5"},"uris":["http://www.mendeley.com/documents/?uuid=575ba4a4-55ce-3ca8-be51-220ed2de281f"]},{"id":"ITEM-2","itemData":{"DOI":"10.3390/e22030280","ISSN":"10994300","abstract":"Failure mode and effects analysis (FMEA), as a commonly used risk management method, has been extensively applied to the engineering domain. A vital parameter in FMEA is the risk priority number (RPN), which is the product of occurrence (O), severity (S), and detection (D) of a failure mode. To deal with the uncertainty in the assessments given by domain experts, a novel Deng entropy weighted risk priority number (DEWRPN) for FMEA is proposed in the framework of Dempster-Shafer evidence theory (DST). DEWRPN takes into consideration the relative importance in both risk factors and FMEA experts. The uncertain degree of objective assessments coming from experts are measured by the Deng entropy. An expert's weight is comprised of the three risk factors' weights obtained independently from expert's assessments. In DEWRPN, the strategy of assigning weight for each expert is flexible and compatible to the real decision-making situation. The entropy-based relative weight symbolizes the relative importance. In detail, the higher the uncertain degree of a risk factor from an expert is, the lower the weight of the corresponding risk factor will be and vice versa. We utilize Deng entropy to construct the exponential weight of each risk factor as well as an expert's relative importance on an FMEA item in a state-of-the-art way. A case study is adopted to verify the practicability and effectiveness of the proposed model.","author":[{"dropping-particle":"","family":"Zheng","given":"Haixia","non-dropping-particle":"","parse-names":false,"suffix":""},{"dropping-particle":"","family":"Tang","given":"Yongchuan","non-dropping-particle":"","parse-names":false,"suffix":""}],"container-title":"Entropy","id":"ITEM-2","issue":"3","issued":{"date-parts":[["2020"]]},"title":"Deng entropy weighted risk priority number model for failure mode and effects analysis","type":"article-journal","volume":"22"},"uris":["http://www.mendeley.com/documents/?uuid=07f10165-3edd-3404-807c-1432b376aab8"]}],"mendeley":{"formattedCitation":"[24], [25]","plainTextFormattedCitation":"[24], [25]","previouslyFormattedCitation":"[24], [25]"},"properties":{"noteIndex":0},"schema":"https://github.com/citation-style-language/schema/raw/master/csl-citation.json"}</w:instrText>
      </w:r>
      <w:r w:rsidRPr="00263B53">
        <w:rPr>
          <w:rFonts w:ascii="Arial" w:eastAsia="Arial" w:hAnsi="Arial" w:cs="Arial"/>
          <w:sz w:val="20"/>
          <w:szCs w:val="20"/>
        </w:rPr>
        <w:fldChar w:fldCharType="separate"/>
      </w:r>
      <w:r w:rsidR="006212F9" w:rsidRPr="006212F9">
        <w:rPr>
          <w:rFonts w:ascii="Arial" w:eastAsia="Arial" w:hAnsi="Arial" w:cs="Arial"/>
          <w:noProof/>
          <w:sz w:val="20"/>
          <w:szCs w:val="20"/>
        </w:rPr>
        <w:t>[24], [25]</w:t>
      </w:r>
      <w:r w:rsidRPr="00263B53">
        <w:rPr>
          <w:rFonts w:ascii="Arial" w:eastAsia="Arial" w:hAnsi="Arial" w:cs="Arial"/>
          <w:sz w:val="20"/>
          <w:szCs w:val="20"/>
        </w:rPr>
        <w:fldChar w:fldCharType="end"/>
      </w:r>
      <w:r w:rsidRPr="00263B53">
        <w:rPr>
          <w:rFonts w:ascii="Arial" w:eastAsia="Arial" w:hAnsi="Arial" w:cs="Arial"/>
          <w:sz w:val="20"/>
          <w:szCs w:val="20"/>
        </w:rPr>
        <w:t xml:space="preserve"> and design more effective mitigation strategies .</w:t>
      </w:r>
    </w:p>
    <w:p w14:paraId="0BA7BD14" w14:textId="77777777"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The main contributions of this study include:</w:t>
      </w:r>
    </w:p>
    <w:p w14:paraId="3D0D6D5A" w14:textId="77777777" w:rsidR="00263B53" w:rsidRPr="00263B53" w:rsidRDefault="00263B53" w:rsidP="00263B53">
      <w:pPr>
        <w:pStyle w:val="ListParagraph"/>
        <w:numPr>
          <w:ilvl w:val="0"/>
          <w:numId w:val="5"/>
        </w:numPr>
        <w:spacing w:after="0" w:line="240" w:lineRule="auto"/>
        <w:ind w:leftChars="0" w:firstLineChars="0"/>
        <w:jc w:val="both"/>
        <w:textDirection w:val="lrTb"/>
        <w:rPr>
          <w:rFonts w:ascii="Arial" w:eastAsia="Arial" w:hAnsi="Arial" w:cs="Arial"/>
          <w:sz w:val="20"/>
          <w:szCs w:val="20"/>
        </w:rPr>
      </w:pPr>
      <w:r w:rsidRPr="00263B53">
        <w:rPr>
          <w:rFonts w:ascii="Arial" w:eastAsia="Arial" w:hAnsi="Arial" w:cs="Arial"/>
          <w:sz w:val="20"/>
          <w:szCs w:val="20"/>
        </w:rPr>
        <w:t>The development of an IoT-based predictive maintenance framework that integrates HAZOP and FMEA methods for detecting lifting jack failures;</w:t>
      </w:r>
    </w:p>
    <w:p w14:paraId="4728DB4E" w14:textId="77777777" w:rsidR="00263B53" w:rsidRPr="00263B53" w:rsidRDefault="00263B53" w:rsidP="00263B53">
      <w:pPr>
        <w:pStyle w:val="ListParagraph"/>
        <w:numPr>
          <w:ilvl w:val="0"/>
          <w:numId w:val="5"/>
        </w:numPr>
        <w:spacing w:after="0" w:line="240" w:lineRule="auto"/>
        <w:ind w:leftChars="0" w:firstLineChars="0"/>
        <w:jc w:val="both"/>
        <w:textDirection w:val="lrTb"/>
        <w:rPr>
          <w:rFonts w:ascii="Arial" w:eastAsia="Arial" w:hAnsi="Arial" w:cs="Arial"/>
          <w:sz w:val="20"/>
          <w:szCs w:val="20"/>
        </w:rPr>
      </w:pPr>
      <w:r w:rsidRPr="00263B53">
        <w:rPr>
          <w:rFonts w:ascii="Arial" w:eastAsia="Arial" w:hAnsi="Arial" w:cs="Arial"/>
          <w:sz w:val="20"/>
          <w:szCs w:val="20"/>
        </w:rPr>
        <w:t>The implementation of IoT sensors in a real-time monitoring system, enabling earlier anomaly detection compared to conventional inspection methods;</w:t>
      </w:r>
    </w:p>
    <w:p w14:paraId="05720F5D" w14:textId="77777777" w:rsidR="00263B53" w:rsidRPr="00263B53" w:rsidRDefault="00263B53" w:rsidP="00263B53">
      <w:pPr>
        <w:pStyle w:val="ListParagraph"/>
        <w:numPr>
          <w:ilvl w:val="0"/>
          <w:numId w:val="5"/>
        </w:numPr>
        <w:spacing w:after="0" w:line="240" w:lineRule="auto"/>
        <w:ind w:leftChars="0" w:firstLineChars="0"/>
        <w:jc w:val="both"/>
        <w:textDirection w:val="lrTb"/>
        <w:rPr>
          <w:rFonts w:ascii="Arial" w:eastAsia="Arial" w:hAnsi="Arial" w:cs="Arial"/>
          <w:sz w:val="20"/>
          <w:szCs w:val="20"/>
        </w:rPr>
      </w:pPr>
      <w:r w:rsidRPr="00263B53">
        <w:rPr>
          <w:rFonts w:ascii="Arial" w:eastAsia="Arial" w:hAnsi="Arial" w:cs="Arial"/>
          <w:sz w:val="20"/>
          <w:szCs w:val="20"/>
        </w:rPr>
        <w:lastRenderedPageBreak/>
        <w:t>The optimization of risk mitigation strategies through a data-driven approach, thereby improving maintenance efficiency and reducing the likelihood of workplace accidents.</w:t>
      </w:r>
    </w:p>
    <w:p w14:paraId="03C415F7" w14:textId="77777777"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Through this approach, the study aims to provide an innovative solution applicable within the railway industry to enhance both workplace safety and maintenance effectiveness.</w:t>
      </w:r>
    </w:p>
    <w:p w14:paraId="3B27AD98" w14:textId="31E7F2CF" w:rsidR="00263B53" w:rsidRDefault="00263B53" w:rsidP="00263B53">
      <w:pPr>
        <w:spacing w:after="0" w:line="240" w:lineRule="auto"/>
        <w:ind w:left="0" w:hanging="2"/>
        <w:jc w:val="both"/>
        <w:rPr>
          <w:rFonts w:ascii="Arial" w:eastAsia="Arial" w:hAnsi="Arial" w:cs="Arial"/>
          <w:sz w:val="20"/>
          <w:szCs w:val="20"/>
        </w:rPr>
      </w:pPr>
      <w:r w:rsidRPr="00263B53">
        <w:rPr>
          <w:rFonts w:ascii="Arial" w:eastAsia="Arial" w:hAnsi="Arial" w:cs="Arial"/>
          <w:sz w:val="20"/>
          <w:szCs w:val="20"/>
        </w:rPr>
        <w:t>This article is structured to provide a comprehensive overview of the conducted research. The Literature Review section discusses the fundamental concepts of locomotive maintenance, the application of HAZOP and FMEA methods in industrial risk management, and the utilization of IoT in predictive maintenance systems. The Research Methodology section outlines the development of the proposed framework, the data collection process, risk analysis, and the design of the IoT-based monitoring system. The Results and Discussion section presents the experimental outcomes and system evaluation, including the effectiveness of integrating HAZOP-FMEA methods with real-time monitoring. Finally, the Conclusion and Recommendations section summarizes the key findings of the study and provides suggestions for future developments in predictive maintenance systems within the railway industry.</w:t>
      </w:r>
    </w:p>
    <w:p w14:paraId="00000028" w14:textId="28B0B16B" w:rsidR="00FF0465" w:rsidRDefault="00500ED1">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 </w:t>
      </w:r>
    </w:p>
    <w:p w14:paraId="00000029" w14:textId="77777777" w:rsidR="00FF0465" w:rsidRDefault="00FF0465">
      <w:pPr>
        <w:spacing w:after="0" w:line="240" w:lineRule="auto"/>
        <w:ind w:left="0" w:hanging="2"/>
        <w:jc w:val="both"/>
        <w:rPr>
          <w:rFonts w:ascii="Arial" w:eastAsia="Arial" w:hAnsi="Arial" w:cs="Arial"/>
          <w:sz w:val="20"/>
          <w:szCs w:val="20"/>
        </w:rPr>
      </w:pPr>
    </w:p>
    <w:p w14:paraId="0000002B" w14:textId="0B4CF72B" w:rsidR="00FF0465" w:rsidRDefault="00500ED1">
      <w:pPr>
        <w:spacing w:after="0" w:line="240" w:lineRule="auto"/>
        <w:ind w:left="0" w:hanging="2"/>
        <w:jc w:val="both"/>
        <w:rPr>
          <w:rFonts w:ascii="Arial" w:eastAsia="Arial" w:hAnsi="Arial" w:cs="Arial"/>
          <w:sz w:val="20"/>
          <w:szCs w:val="20"/>
        </w:rPr>
      </w:pPr>
      <w:r>
        <w:rPr>
          <w:rFonts w:ascii="Arial" w:eastAsia="Arial" w:hAnsi="Arial" w:cs="Arial"/>
          <w:b/>
          <w:color w:val="1F4E79"/>
          <w:sz w:val="20"/>
          <w:szCs w:val="20"/>
        </w:rPr>
        <w:t>METHOD</w:t>
      </w:r>
    </w:p>
    <w:p w14:paraId="330EBDA9" w14:textId="77777777" w:rsidR="00263B53" w:rsidRDefault="00263B53" w:rsidP="00263B53">
      <w:pPr>
        <w:spacing w:after="0" w:line="240" w:lineRule="auto"/>
        <w:ind w:left="0" w:hanging="2"/>
        <w:jc w:val="both"/>
        <w:textDirection w:val="lrTb"/>
        <w:rPr>
          <w:rFonts w:eastAsia="Times New Roman" w:cs="Times New Roman"/>
          <w:b/>
          <w:bCs/>
          <w:position w:val="0"/>
          <w:sz w:val="28"/>
          <w:szCs w:val="28"/>
        </w:rPr>
      </w:pPr>
      <w:r w:rsidRPr="00263B53">
        <w:rPr>
          <w:rFonts w:ascii="Arial" w:eastAsia="Arial" w:hAnsi="Arial" w:cs="Arial"/>
          <w:b/>
          <w:color w:val="1F4E79"/>
          <w:sz w:val="20"/>
          <w:szCs w:val="20"/>
        </w:rPr>
        <w:t>Research Framework</w:t>
      </w:r>
    </w:p>
    <w:p w14:paraId="578EC6DF" w14:textId="267AE16B"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This study was conducted at a railway company in Indonesia that operates a locomotive maintenance facility utilizing a lifting jack system as the primary tool for servicing the underframe of locomotives. The research focuses on one of the main locomotive maintenance depots, where lifting jacks are routinely used to elevate locomotives for the inspection and repair of critical components such as traction systems, brakes, and suspension. This study proposes a predictive maintenance framework that integrates HAZOP, FMEA, and IoT technologies to enhance occupational safety in locomotive maintenance</w:t>
      </w:r>
      <w:r w:rsidRPr="00263B53">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{"citationItems":[{"id":"ITEM-1","itemData":{"DOI":"10.3390/app12168081","ISSN":"20763417","abstract":"In the era of the fourth industrial revolution, several concepts have arisen in parallel with this new revolution, such as predictive maintenance, which today plays a key role in sustainable manufacturing and production systems by introducing a digital version of machine maintenance. The data extracted from production processes have increased exponentially due to the proliferation of sensing technologies. Even if Maintenance 4.0 faces organizational, financial, or even data source and machine repair challenges, it remains a strong point for the companies that use it. Indeed, it allows for minimizing machine downtime and associated costs, maximizing the life cycle of the machine, and improving the quality and cadence of production. This approach is generally characterized by a very precise workflow, starting with project understanding and data collection and ending with the decision-making phase. This paper presents an exhaustive literature review of methods and applied tools for intelligent predictive maintenance models in Industry 4.0 by identifying and categorizing the life cycle of maintenance projects and the challenges encountered, and presents the models associated with this type of maintenance: condition-based maintenance (CBM), prognostics and health management (PHM), and remaining useful life (RUL). Finally, a novel applied industrial workflow of predictive maintenance is presented including the decision support phase wherein a recommendation for a predictive maintenance platform is presented. This platform ensures the management and fluid data communication between equipment throughout their life cycle in the context of smart maintenance.","author":[{"dropping-particle":"","family":"Achouch","given":"Mounia","non-dropping-particle":"","parse-names":false,"suffix":""},{"dropping-particle":"","family":"Dimitrova","given":"Mariya","non-dropping-particle":"","parse-names":false,"suffix":""},{"dropping-particle":"","family":"Ziane","given":"Khaled","non-dropping-particle":"","parse-names":false,"suffix":""},{"dropping-particle":"","family":"Sattarpanah Karganroudi","given":"Sasan","non-dropping-particle":"","parse-names":false,"suffix":""},{"dropping-particle":"","family":"Dhouib","given":"Rizck","non-dropping-particle":"","parse-names":false,"suffix":""},{"dropping-particle":"","family":"Ibrahim","given":"Hussein","non-dropping-particle":"","parse-names":false,"suffix":""},{"dropping-particle":"","family":"Adda","given":"Mehdi","non-dropping-particle":"","parse-names":false,"suffix":""}],"container-title":"Applied Sciences (Switzerland)","id":"ITEM-1","issue":"16","issued":{"date-parts":[["2022"]]},"title":"On Predictive Maintenance in Industry 4.0: Overview, Models, and Challenges","type":"article","volume":"12"},"uris":["http://www.mendeley.com/documents/?uuid=327cfe68-b07c-3cfd-b06e-0b78c82e97c3"]},{"id":"ITEM-2","itemData":{"DOI":"10.1016/j.cirpj.2022.11.004","ISSN":"17555817","abstract":"Predictive maintenance (PdM) aims the reduction of costs to increase the competitive strength of the enterprises. It uses sensor data together with analytics techniques to optimize the schedule of maintenance interventions. The application of such maintenance strategy requires the cooperation of several agents and involves knowledge and skills in distinct fields, since it encompasses from the averaging of relevant signals in the shop-floor to its processing, transmission, storage, and analysis in order to extract meaningful knowledge. PdM is a broad topic, making it impossible to address all its subtopics in the same paper. Having this into consideration, this paper focuses on the main challenges that hinder the development of a generalized data-driven system for PdM, namely: the existence of noisy or erroneous sensor data in a real industrial environment; the necessity to collect, transmit and process high volumes of data in a timely manner; and the fact that current approaches for PdM are specific for a part or equipment rather than global. This paper connects three different perspectives: anomaly detection, which allows the removal of noisy or erroneous data and the detection of relevant events that can be used to improve the prognostics methods; prognostics methods, which address the models to forecast the condition of industrial equipment; and the architectures, which may allow the deployment of the anomaly detection and prognostics methods in real-time and in different industrial scenarios. Furthermore, the last trends, current challenges and opportunities of each perspective are discussed over the paper.","author":[{"dropping-particle":"","family":"Nunes","given":"P.","non-dropping-particle":"","parse-names":false,"suffix":""},{"dropping-particle":"","family":"Santos","given":"J.","non-dropping-particle":"","parse-names":false,"suffix":""},{"dropping-particle":"","family":"Rocha","given":"E.","non-dropping-particle":"","parse-names":false,"suffix":""}],"container-title":"CIRP Journal of Manufacturing Science and Technology","id":"ITEM-2","issued":{"date-parts":[["2023"]]},"title":"Challenges in predictive maintenance – A review","type":"article","volume":"40"},"uris":["http://www.mendeley.com/documents/?uuid=d6ec495d-04a9-3bf5-803c-2ff3e51b5183"]}],"mendeley":{"formattedCitation":"[26], [27]","plainTextFormattedCitation":"[26], [27]","previouslyFormattedCitation":"[26], [27]"},"properties":{"noteIndex":0},"schema":"https://github.com/citation-style-language/schema/raw/master/csl-citation.json"}</w:instrText>
      </w:r>
      <w:r w:rsidRPr="00263B53">
        <w:rPr>
          <w:rFonts w:ascii="Arial" w:eastAsia="Arial" w:hAnsi="Arial" w:cs="Arial"/>
          <w:sz w:val="20"/>
          <w:szCs w:val="20"/>
        </w:rPr>
        <w:fldChar w:fldCharType="separate"/>
      </w:r>
      <w:r w:rsidR="006212F9" w:rsidRPr="006212F9">
        <w:rPr>
          <w:rFonts w:ascii="Arial" w:eastAsia="Arial" w:hAnsi="Arial" w:cs="Arial"/>
          <w:noProof/>
          <w:sz w:val="20"/>
          <w:szCs w:val="20"/>
        </w:rPr>
        <w:t>[26], [27]</w:t>
      </w:r>
      <w:r w:rsidRPr="00263B53">
        <w:rPr>
          <w:rFonts w:ascii="Arial" w:eastAsia="Arial" w:hAnsi="Arial" w:cs="Arial"/>
          <w:sz w:val="20"/>
          <w:szCs w:val="20"/>
        </w:rPr>
        <w:fldChar w:fldCharType="end"/>
      </w:r>
      <w:r w:rsidRPr="00263B53">
        <w:rPr>
          <w:rFonts w:ascii="Arial" w:eastAsia="Arial" w:hAnsi="Arial" w:cs="Arial"/>
          <w:sz w:val="20"/>
          <w:szCs w:val="20"/>
        </w:rPr>
        <w:t>. The research begins by identifying potential hazards in lifting jack operations using the HAZOP method and assessing failure modes through FMEA. Once the risks are identified, IoT sensors are employed to collect real-time operational data to detect anomalies before failures occur.</w:t>
      </w:r>
    </w:p>
    <w:p w14:paraId="1B7047FC" w14:textId="4AF0CE54"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noProof/>
          <w:sz w:val="20"/>
          <w:szCs w:val="20"/>
        </w:rPr>
        <w:drawing>
          <wp:inline distT="0" distB="0" distL="0" distR="0" wp14:anchorId="3D52F85C" wp14:editId="32A777BE">
            <wp:extent cx="2851785" cy="1428231"/>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l="2428" t="23566" r="2858" b="7132"/>
                    <a:stretch>
                      <a:fillRect/>
                    </a:stretch>
                  </pic:blipFill>
                  <pic:spPr bwMode="auto">
                    <a:xfrm>
                      <a:off x="0" y="0"/>
                      <a:ext cx="2878639" cy="1441680"/>
                    </a:xfrm>
                    <a:prstGeom prst="rect">
                      <a:avLst/>
                    </a:prstGeom>
                    <a:noFill/>
                    <a:ln>
                      <a:noFill/>
                    </a:ln>
                  </pic:spPr>
                </pic:pic>
              </a:graphicData>
            </a:graphic>
          </wp:inline>
        </w:drawing>
      </w:r>
    </w:p>
    <w:p w14:paraId="3D864266" w14:textId="35F94EA8" w:rsidR="00263B53" w:rsidRPr="00263B53" w:rsidRDefault="00263B53" w:rsidP="001925B2">
      <w:pPr>
        <w:spacing w:after="0" w:line="240" w:lineRule="auto"/>
        <w:ind w:left="0" w:hanging="2"/>
        <w:jc w:val="center"/>
        <w:textDirection w:val="lrTb"/>
        <w:rPr>
          <w:rFonts w:ascii="Arial" w:eastAsia="Arial" w:hAnsi="Arial" w:cs="Arial"/>
          <w:sz w:val="20"/>
          <w:szCs w:val="20"/>
        </w:rPr>
      </w:pPr>
      <w:r w:rsidRPr="00263B53">
        <w:rPr>
          <w:rFonts w:ascii="Arial" w:eastAsia="Arial" w:hAnsi="Arial" w:cs="Arial"/>
          <w:sz w:val="20"/>
          <w:szCs w:val="20"/>
        </w:rPr>
        <w:t>Fig</w:t>
      </w:r>
      <w:r w:rsidR="001925B2">
        <w:rPr>
          <w:rFonts w:ascii="Arial" w:eastAsia="Arial" w:hAnsi="Arial" w:cs="Arial"/>
          <w:sz w:val="20"/>
          <w:szCs w:val="20"/>
        </w:rPr>
        <w:t>ure</w:t>
      </w:r>
      <w:r w:rsidRPr="00263B53">
        <w:rPr>
          <w:rFonts w:ascii="Arial" w:eastAsia="Arial" w:hAnsi="Arial" w:cs="Arial"/>
          <w:sz w:val="20"/>
          <w:szCs w:val="20"/>
        </w:rPr>
        <w:t xml:space="preserve"> 2. Enhancing Workplace Safety in Locomotive Maintenance</w:t>
      </w:r>
    </w:p>
    <w:p w14:paraId="62AE1134" w14:textId="77777777" w:rsidR="00263B53" w:rsidRPr="00263B53" w:rsidRDefault="00263B53" w:rsidP="00263B53">
      <w:pPr>
        <w:spacing w:after="0" w:line="240" w:lineRule="auto"/>
        <w:ind w:left="0" w:hanging="2"/>
        <w:jc w:val="both"/>
        <w:textDirection w:val="lrTb"/>
        <w:rPr>
          <w:rFonts w:ascii="Arial" w:eastAsia="Arial" w:hAnsi="Arial" w:cs="Arial"/>
          <w:sz w:val="20"/>
          <w:szCs w:val="20"/>
        </w:rPr>
      </w:pPr>
      <w:r w:rsidRPr="00263B53">
        <w:rPr>
          <w:rFonts w:ascii="Arial" w:eastAsia="Arial" w:hAnsi="Arial" w:cs="Arial"/>
          <w:sz w:val="20"/>
          <w:szCs w:val="20"/>
        </w:rPr>
        <w:t>The study begins with hazard identification using the HAZOP (Hazard and Operability Study) method, aimed at identifying potential operational deviations that could lead to accidents or system failures in the lifting jack. Once the hazards are identified, FMEA (Failure Modes and Effects Analysis) is applied to evaluate possible failure modes and their impacts on the system. The results of this analysis are used to determine the level of risk and prioritize the necessary mitigation actions.</w:t>
      </w:r>
    </w:p>
    <w:p w14:paraId="4AD6E30A" w14:textId="77777777" w:rsidR="00263B53" w:rsidRDefault="00263B53" w:rsidP="00263B53">
      <w:pPr>
        <w:spacing w:after="0" w:line="240" w:lineRule="auto"/>
        <w:ind w:left="0" w:hanging="2"/>
        <w:jc w:val="both"/>
        <w:textDirection w:val="lrTb"/>
      </w:pPr>
      <w:r w:rsidRPr="00263B53">
        <w:rPr>
          <w:rFonts w:ascii="Arial" w:eastAsia="Arial" w:hAnsi="Arial" w:cs="Arial"/>
          <w:sz w:val="20"/>
          <w:szCs w:val="20"/>
        </w:rPr>
        <w:t>To enhance the reliability of predictive maintenance, IoT sensors are installed on the lifting jack to collect real-time operational data. The data collected includes information on the position, tilt, and stability of the lifting jack during operation. Ultrasonic and gyroscope sensors are used to ensure the stopper's position and detect potential imbalances. The collected data is analyzed using anomaly detection algorithms to identify deviations from normal conditions before failures occur. When operational parameters exceed safe limits, the system issues early warnings to enable preventive actions.</w:t>
      </w:r>
    </w:p>
    <w:p w14:paraId="08A574F5" w14:textId="6BC83F08" w:rsidR="00263B53" w:rsidRDefault="00263B53" w:rsidP="00263B53">
      <w:pPr>
        <w:spacing w:after="0" w:line="240" w:lineRule="auto"/>
        <w:ind w:left="0" w:hanging="2"/>
        <w:jc w:val="both"/>
        <w:rPr>
          <w:rFonts w:ascii="Arial" w:eastAsia="Arial" w:hAnsi="Arial" w:cs="Arial"/>
          <w:sz w:val="20"/>
          <w:szCs w:val="20"/>
        </w:rPr>
      </w:pPr>
      <w:r w:rsidRPr="001925B2">
        <w:rPr>
          <w:rFonts w:ascii="Arial" w:eastAsia="Arial" w:hAnsi="Arial" w:cs="Arial"/>
          <w:sz w:val="20"/>
          <w:szCs w:val="20"/>
        </w:rPr>
        <w:t xml:space="preserve">The final stage of this study involves the implementation of an integrated framework combining risk analysis through HAZOP and FMEA, IoT-based data collection, and real-time monitoring with anomaly detection. Data from the IoT sensors is transmitted via an ESP32 microcontroller to Google Firebase, enabling real-time monitoring of the lifting jack’s condition. With this system in place, maintenance can be carried out predictively, thereby reducing the risk of equipment failure that could potentially lead to workplace accidents. Overall, the research methodology offers an innovative solution for IoT-based predictive maintenance by leveraging risk analysis and real-time monitoring approaches. This system is expected to enable the lifting jack to operate more safely, efficiently, and free from unexpected failures, ultimately enhancing workplace safety </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{"citationItems":[{"id":"ITEM-1","itemData":{"DOI":"10.3390/s22145174","ISSN":"14248220","abstract":"A precise prediction of the health status of industrial equipment is of significant importance to determine its reliability and lifespan. This prediction provides users information that is useful in determining when to service, repair, or replace the unhealthy equipment’s components. In the last decades, many works have been conducted on data-driven prognostic models to estimate the asset’s remaining useful life. These models require updates on the novel happenings from regular diagnostics, otherwise, failure may happen before the estimated time due to different facts that may oblige rapid maintenance actions, including unexpected replacement. Adding to offline prognostic models, the continuous monitoring and prediction of remaining useful life can prevent failures, increase the useful lifespan through on-time maintenance actions, and reduce the unnecessary preventive maintenance and associated costs. This paper presents the ability of the two real-time tiny predictive analytics models: tiny long short-term memory (TinyLSTM) and sequential dense neural network (DNN). The model (TinyModel) from Edge Impulse is used to predict the remaining useful life of the equipment by considering the status of its different components. The equipment degradation insights were assessed through the real-time data gathered from operating equipment. To label our dataset, fuzzy logic based on the maintainer’s expertise is used to generate maintenance priorities, which are later used to compute the actual remaining useful life. The predictive analytic models were developed and performed well, with an evaluation loss of 0.01 and 0.11, respectively, for the LSTM and model from Edge Impulse. Both models were converted into TinyModels for on-device deployment. Unseen data were used to simulate the deployment of both TinyModels. Conferring to the evaluation and deployment results, both TinyLSTM and TinyModel from Edge Impulse are powerful in real-time predictive maintenance, but the model from Edge Impulse is much easier in terms of development, conversion to Tiny version, and deployment.","author":[{"dropping-particle":"","family":"Mihigo","given":"Irene Niyonambaza","non-dropping-particle":"","parse-names":false,"suffix":""},{"dropping-particle":"","family":"Zennaro","given":"Marco","non-dropping-particle":"","parse-names":false,"suffix":""},{"dropping-particle":"","family":"Uwitonze","given":"Alfred","non-dropping-particle":"","parse-names":false,"suffix":""},{"dropping-particle":"","family":"Rwigema","given":"James","non-dropping-particle":"","parse-names":false,"suffix":""},{"dropping-particle":"","family":"Rovai","given":"Marcelo","non-dropping-particle":"","parse-names":false,"suffix":""}],"container-title":"Sensors","id":"ITEM-1","issue":"14","issued":{"date-parts":[["2022"]]},"title":"On-Device IoT-Based Predictive Maintenance Analytics Model: Comparing TinyLSTM and TinyModel from Edge Impulse","type":"article-journal","volume":"22"},"uris":["http://www.mendeley.com/documents/?uuid=91bfe7ac-c202-3a54-ba5c-9dc050ffff5b"]}],"mendeley":{"formattedCitation":"[28]","plainTextFormattedCitation":"[28]","previouslyFormattedCitation":"[28]"},"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[28]</w:t>
      </w:r>
      <w:r w:rsidRPr="001925B2">
        <w:rPr>
          <w:rFonts w:ascii="Arial" w:eastAsia="Arial" w:hAnsi="Arial" w:cs="Arial"/>
          <w:sz w:val="20"/>
          <w:szCs w:val="20"/>
        </w:rPr>
        <w:fldChar w:fldCharType="end"/>
      </w:r>
      <w:r w:rsidRPr="001925B2">
        <w:rPr>
          <w:rFonts w:ascii="Arial" w:eastAsia="Arial" w:hAnsi="Arial" w:cs="Arial"/>
          <w:sz w:val="20"/>
          <w:szCs w:val="20"/>
        </w:rPr>
        <w:t>.</w:t>
      </w:r>
    </w:p>
    <w:p w14:paraId="0000002C" w14:textId="77777777" w:rsidR="00FF0465" w:rsidRDefault="00FF0465">
      <w:pPr>
        <w:spacing w:after="0" w:line="240" w:lineRule="auto"/>
        <w:ind w:left="0" w:hanging="2"/>
        <w:jc w:val="both"/>
        <w:rPr>
          <w:rFonts w:ascii="Arial" w:eastAsia="Arial" w:hAnsi="Arial" w:cs="Arial"/>
          <w:sz w:val="20"/>
          <w:szCs w:val="20"/>
        </w:rPr>
      </w:pPr>
    </w:p>
    <w:p w14:paraId="0000002D" w14:textId="63CC6895" w:rsidR="00FF0465" w:rsidRDefault="001925B2">
      <w:pPr>
        <w:spacing w:after="0" w:line="240" w:lineRule="auto"/>
        <w:ind w:left="0" w:hanging="2"/>
        <w:jc w:val="both"/>
        <w:rPr>
          <w:rFonts w:ascii="Arial" w:eastAsia="Arial" w:hAnsi="Arial" w:cs="Arial"/>
          <w:color w:val="1F4E79"/>
          <w:sz w:val="20"/>
          <w:szCs w:val="20"/>
        </w:rPr>
      </w:pPr>
      <w:r w:rsidRPr="001925B2">
        <w:rPr>
          <w:rFonts w:ascii="Arial" w:eastAsia="Arial" w:hAnsi="Arial" w:cs="Arial"/>
          <w:b/>
          <w:color w:val="1F4E79"/>
          <w:sz w:val="20"/>
          <w:szCs w:val="20"/>
        </w:rPr>
        <w:t>IoT-Based Predictive Maintenance System</w:t>
      </w:r>
    </w:p>
    <w:p w14:paraId="32C84FDC" w14:textId="28280137"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lastRenderedPageBreak/>
        <w:t xml:space="preserve">This study proposes an IoT-based predictive maintenance system to enhance occupational safety in the maintenance of locomotive lifting jacks. The system is designed to monitor the condition of the lifting jack in real time by integrating various devices, sensors, and communication technologies. The system architecture consists of several key components, including sensor nodes, a router, a database, and a web- or mobile-based monitoring platform </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{"citationItems":[{"id":"ITEM-1","itemData":{"DOI":"10.1038/s41598-023-38887-z","ISSN":"20452322","abstract":"Industry 4.0 technologies need to plan reactive and Preventive Maintenance (PM) strategies for their production lines. This applied research study aims to employ the Predictive Maintenance (PdM) technology with advanced automation technologies to counter all expected maintenance problems. Moreover, the deep learning based AI is employed to interpret the alarming patterns into real faults by which the system minimizes the human based fault recognition errors. The Sensors Information Modeling (SIM) and the Internet of Things (IoT) have the potential to improve the efficiency of industrial production machines maintenance management. This research work provides a better maintenance strategy by utilizing a data-driven predictive maintenance planning framework based on our proposed SIM and IoT technologies. To verify the feasibility of our approach, the proposed framework is applied practically on a corrugated cardboard production factory in real industrial environment. The Fuzzy Logic System (FLS) is utilized to achieve the AI based PM while the Deep Learning (DL) is applied for the alarming and fault diagnosis in case the fault already occured.","author":[{"dropping-particle":"","family":"Aboshosha","given":"Ashraf","non-dropping-particle":"","parse-names":false,"suffix":""},{"dropping-particle":"","family":"Haggag","given":"Ayman","non-dropping-particle":"","parse-names":false,"suffix":""},{"dropping-particle":"","family":"George","given":"Neseem","non-dropping-particle":"","parse-names":false,"suffix":""},{"dropping-particle":"","family":"Hamad","given":"Hisham A.","non-dropping-particle":"","parse-names":false,"suffix":""}],"container-title":"Scientific Reports","id":"ITEM-1","issue":"1","issued":{"date-parts":[["2023"]]},"title":"IoT-based data-driven predictive maintenance relying on fuzzy system and artificial neural networks","type":"article-journal","volume":"13"},"uris":["http://www.mendeley.com/documents/?uuid=afdde518-4c57-3475-969a-fbdc919c46de"]},{"id":"ITEM-2","itemData":{"DOI":"10.2139/ssrn.3563559","abstract":"Industry 4.0 enables technological trends like Big Data Analytics and Machine Learning techniques to converge into and merge with traditional manufacturing processes, resulting in smart manufacturing. Smart manufacturing techniques leverage the use of Industrial Internet of things (IIoT) technology using IoT sensors that are fitted on physical assets to enhance manufacturing processes. IoT Sensors enable smart manufacturing facilities capable of autonomously exchanging information, which can be used to drive business decisions more accurately. Businesses that adopt Smart manufacturing techniques lead to a competitive advantage for these firms as they can bring in higher profit margins, reduced maintenance costs, energy savings, and better-quality products. This study proposes an architecture for IIoT based predictive maintenance. A case study from ancillary automobile industry is presented to demonstrate a predictive model for predicting sudden breakdown in industrial machines, thereby enabling the production and maintenance cycle to be 'smart.'","author":[{"dropping-particle":"","family":"Nangia","given":"Shikhil","non-dropping-particle":"","parse-names":false,"suffix":""},{"dropping-particle":"","family":"Makkar","given":"Sandhya","non-dropping-particle":"","parse-names":false,"suffix":""},{"dropping-particle":"","family":"Hassan","given":"Rohail","non-dropping-particle":"","parse-names":false,"suffix":""}],"container-title":"SSRN Electronic Journal","id":"ITEM-2","issued":{"date-parts":[["2020"]]},"title":"IoT based Predictive Maintenance in Manufacturing Sector","type":"article-journal"},"uris":["http://www.mendeley.com/documents/?uuid=9a79f67b-28e8-34c1-812e-91a40d681b1d"]}],"mendeley":{"formattedCitation":"[29], [30]","plainTextFormattedCitation":"[29], [30]","previouslyFormattedCitation":"[29], [30]"},"properties":{"noteIndex":0},"schema":"https://github.com/citation-style-language/schema/raw/master/csl-citation.json"}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[29], [30]</w:t>
      </w:r>
      <w:r w:rsidRPr="001925B2">
        <w:rPr>
          <w:rFonts w:ascii="Arial" w:eastAsia="Arial" w:hAnsi="Arial" w:cs="Arial"/>
          <w:sz w:val="20"/>
          <w:szCs w:val="20"/>
        </w:rPr>
        <w:fldChar w:fldCharType="end"/>
      </w:r>
      <w:r w:rsidRPr="001925B2">
        <w:rPr>
          <w:rFonts w:ascii="Arial" w:eastAsia="Arial" w:hAnsi="Arial" w:cs="Arial"/>
          <w:sz w:val="20"/>
          <w:szCs w:val="20"/>
        </w:rPr>
        <w:t>.</w:t>
      </w:r>
    </w:p>
    <w:p w14:paraId="49AC88F5" w14:textId="116E3376"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noProof/>
          <w:sz w:val="20"/>
          <w:szCs w:val="20"/>
        </w:rPr>
        <w:drawing>
          <wp:inline distT="0" distB="0" distL="0" distR="0" wp14:anchorId="6B8D9CE1" wp14:editId="5D6D29FF">
            <wp:extent cx="2839773" cy="1381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5430" cy="1383876"/>
                    </a:xfrm>
                    <a:prstGeom prst="rect">
                      <a:avLst/>
                    </a:prstGeom>
                    <a:noFill/>
                    <a:ln>
                      <a:noFill/>
                    </a:ln>
                  </pic:spPr>
                </pic:pic>
              </a:graphicData>
            </a:graphic>
          </wp:inline>
        </w:drawing>
      </w:r>
    </w:p>
    <w:p w14:paraId="7B0EF744" w14:textId="6CEA4259" w:rsidR="001925B2" w:rsidRPr="001925B2" w:rsidRDefault="001925B2" w:rsidP="001925B2">
      <w:pPr>
        <w:spacing w:after="0" w:line="240" w:lineRule="auto"/>
        <w:ind w:left="0" w:hanging="2"/>
        <w:jc w:val="center"/>
        <w:textDirection w:val="lrTb"/>
        <w:rPr>
          <w:rFonts w:ascii="Arial" w:eastAsia="Arial" w:hAnsi="Arial" w:cs="Arial"/>
          <w:sz w:val="20"/>
          <w:szCs w:val="20"/>
        </w:rPr>
      </w:pPr>
      <w:r w:rsidRPr="001925B2">
        <w:rPr>
          <w:rFonts w:ascii="Arial" w:eastAsia="Arial" w:hAnsi="Arial" w:cs="Arial"/>
          <w:sz w:val="20"/>
          <w:szCs w:val="20"/>
        </w:rPr>
        <w:t>Fig</w:t>
      </w:r>
      <w:r>
        <w:rPr>
          <w:rFonts w:ascii="Arial" w:eastAsia="Arial" w:hAnsi="Arial" w:cs="Arial"/>
          <w:sz w:val="20"/>
          <w:szCs w:val="20"/>
        </w:rPr>
        <w:t>ure</w:t>
      </w:r>
      <w:r w:rsidRPr="001925B2">
        <w:rPr>
          <w:rFonts w:ascii="Arial" w:eastAsia="Arial" w:hAnsi="Arial" w:cs="Arial"/>
          <w:sz w:val="20"/>
          <w:szCs w:val="20"/>
        </w:rPr>
        <w:t xml:space="preserve"> 3. IoT-Based Predictive Maintenance System</w:t>
      </w:r>
    </w:p>
    <w:p w14:paraId="0830EADC" w14:textId="38A9CB5F"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t>The sensor node serves as the core unit of the system, responsible for collecting data from the lifting jack. It comprises a NodeMCU ESP32, which functions as the microcontroller and primary communication module</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{"citationItems":[{"id":"ITEM-1","itemData":{"DOI":"10.12720/jait.13.6.569-577","ISSN":"17982340","abstract":"—The way to increase the convenience of waste container users and monitor the level of waste container content can be by utilizing IoT technology and building an intelligent waste container system. Therefore, this study aims to conduct research and development (R&amp;D) of an Internet of Things (IoT) control system to automatically open and close the lid of trash containers and detect the fullness of garbage in trash containers. This research method is a combination of experimental and survey methods. The research results show that the waste container control system effectively opens and closes the lid of the garbage container at a distance of about 40 cm between the distance ultrasonic sensor of garbage containers and users. In addition, the garbage janitor can monitor the level of garbage that is filled in the garbage container correctly through the website and telegram on his cell phone, and users of trash containers are more comfortable disposing of waste.","author":[{"dropping-particle":"","family":"Anggrawan","given":"Anthony","non-dropping-particle":"","parse-names":false,"suffix":""},{"dropping-particle":"","family":"Hadi","given":"Sirojul","non-dropping-particle":"","parse-names":false,"suffix":""},{"dropping-particle":"","family":"Satria","given":"Christofer","non-dropping-particle":"","parse-names":false,"suffix":""}],"container-title":"Journal of Advances in Information Technology","id":"ITEM-1","issue":"6","issued":{"date-parts":[["2022"]]},"title":"IoT-Based Garbage Container System Using NodeMCU ESP32 Microcontroller","type":"article-journal","volume":"13"},"uris":["http://www.mendeley.com/documents/?uuid=d3adb371-9b8a-36f8-b02c-307713b462ca"]},{"id":"ITEM-2","itemData":{"DOI":"10.22146/juliet.v4i1.83131","abstract":"Intisari – Penelitian tentang rancang bangun sistem pemantauan kualitas air budidaya ikan koi telah dilakukan menggunakan NodeMCU ESP32 berbasis Internet of Things (IoT) yang terhubung dengan perangkat Android melalui aplikasi Blynk. Sistem ini terdiri dari empat sensor kualitas air, yaitu jumlah padatan terlarut, tingkat keasaman, tingkat amonia, dan besar suhu. Sistem ini dibuat agar kualitas air ikan koi selalu terpantau secara langsung lewat Android. Keuntungan menggunakan perangkat Android sebagai penampil sistem pemantauan adalah memudahkan pengguna untuk memantau kondisi air di lokasi manapun. Hasil dari sistem ini ditampilkan dalam bentuk pemantauan pada aplikasi Blynk dan pada liquid crystal display (LCD) 20×4, dengan notifikasi tentang ambang batas kualitas air. Hasil penelitian menunjukkan bahwa sensor memiliki akurasi sebesar 94,92% untuk jumlah padatan terlarut, 98,88% untuk tingkat keasaman, 90,49% untuk tingkat amonia, dan 98,77% untuk suhu, dengan waktu tunggu selama 5 menit untuk tampilan hasil pemantauan. Tingkat akurasi yang tinggi menunjukan alat ini dapat digunakan untuk melakukan pemantauan kualitas air budidaya ikan koi.Kata kunci: Blynk, ESP32, IoT, pemantauan, kualitas airAbstract - A research study on the design and development of a water quality monitoring system for koi fish farming has been conducted using the Internet of Things (IoT) based NodeMCU ESP32, connected to an Android device through the Blynk application. This system consists of four water quality sensors, namely dissolved solids, acidity level, ammonia level, and temperature. The purpose of this system is to ensure direct monitoring of the koi fish water quality through an Android device. The advantage of using an Android device as the monitoring interface is that it allows users to monitor the water conditions from any location. The system's results are displayed through the Blynk application and a 20x4 liquid crystal display (LCD) screen, with notifications indicating the threshold limits of water quality. The research findings indicate that the sensors have an accuracy of 94.92% for dissolved solids, 98.88% for acidity level, 90.49% for ammonia level, and 98.77% for temperature, with a waiting time of 5 minutes for the monitoring results to be displayed. The high level of accuracy demonstrates that this device can be used effectively for monitoring the water quality in koi fish farming.Keywords: Blynk, ESP32, IoT, monitoring, water quality","author":[{"dropping-particle":"","family":"Rosandi","given":"Dendi","non-dropping-particle":"","parse-names":false,"suffix":""},{"dropping-particle":"","family":"Junaidi","given":"Junaidi","non-dropping-particle":"","parse-names":false,"suffix":""},{"dropping-particle":"","family":"Apriyanto","given":"Donni Kis","non-dropping-particle":"","parse-names":false,"suffix":""},{"dropping-particle":"","family":"Surtono","given":"Arif","non-dropping-particle":"","parse-names":false,"suffix":""}],"container-title":"Jurnal Listrik, Instrumentasi, dan Elektronika Terapan","id":"ITEM-2","issue":"1","issued":{"date-parts":[["2023"]]},"title":"Design of Water Quality Monitoring System for Koi Fish Farming Using NodeMCU ESP32 and Blynk Application Based on Internet of Things","type":"article-journal","volume":"4"},"uris":["http://www.mendeley.com/documents/?uuid=c6db7d65-a992-38c9-85ea-4c50dae97ecc"]}],"mendeley":{"formattedCitation":"[31], [32]","plainTextFormattedCitation":"[31], [32]","previouslyFormattedCitation":"[31], [32]"},"properties":{"noteIndex":0},"schema":"https://github.com/citation-style-language/schema/raw/master/csl-citation.json"}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[31], [32]</w:t>
      </w:r>
      <w:r w:rsidRPr="001925B2">
        <w:rPr>
          <w:rFonts w:ascii="Arial" w:eastAsia="Arial" w:hAnsi="Arial" w:cs="Arial"/>
          <w:sz w:val="20"/>
          <w:szCs w:val="20"/>
        </w:rPr>
        <w:fldChar w:fldCharType="end"/>
      </w:r>
      <w:r w:rsidRPr="001925B2">
        <w:rPr>
          <w:rFonts w:ascii="Arial" w:eastAsia="Arial" w:hAnsi="Arial" w:cs="Arial"/>
          <w:sz w:val="20"/>
          <w:szCs w:val="20"/>
        </w:rPr>
        <w:t xml:space="preserve">. The ESP32 processes data from the sensors and transmits it to the server via the internet. The HC-SR04 sensor is used to measure the height or distance of the lifting jack stopper to ensure safe positioning during operation </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{"citationItems":[{"id":"ITEM-1","itemData":{"DOI":"10.3991/ijoe.v19i17.42875","ISSN":"26268493","abstract":"Difficulties related to vehicular chaos and obstacles in public spaces hinder the orientation of visually impaired individuals, limiting their autonomy and exposing them to potential accidents. Considering these factors, the objective was to develop a prototype that facilitates autonomous learning by utilizing different electronic components. The aim is to ensure the safe movement of blind pedestrians, promote self-reliance, and minimize the risk of accidents. The proposed prototype is based on the concept of implementing intelligent traffic lights that detect the presence of pedestrians, allowing for safe crossing for both pedestrians and vehicles. The proposed circuit utilizes two ESP32 modules. One module is placed in the traffic light and configured as a Bluetooth master to transmit signals. It is also equipped with an ultrasonic sensor. The other module is located in the user’s wristband and configured as a Bluetooth slave to receive signals. It is also equipped with a horn. The communication between the modules has been developed using the C programming language for microcontrollers in the Arduino IDE development environment. A master-slave communication system was implemented, resulting in the constant reporting of the distance between the pedestrian and the sidewalk within the pedestrian crossing by the ultrasonic sensor. This system controls the safe crossing by regulating the traffic lights. The HC-SR04 ultrasonic sensor can detect distances ranging from 2 cm to 450 cm. Therefore, the prototype can be used as a foundation for future advancements in various cities and contexts, ultimately benefiting blind pedestrians by improving their mobility.","author":[{"dropping-particle":"","family":"Luque-Milera","given":"Benjamin","non-dropping-particle":"","parse-names":false,"suffix":""},{"dropping-particle":"","family":"Tocas-Taipe","given":"Alcides Alejandro","non-dropping-particle":"","parse-names":false,"suffix":""},{"dropping-particle":"","family":"Florian-Amaro","given":"Estefano Jose Luis","non-dropping-particle":"","parse-names":false,"suffix":""},{"dropping-particle":"","family":"Estrada-Ventocilla","given":"Axel","non-dropping-particle":"","parse-names":false,"suffix":""},{"dropping-particle":"","family":"Salinas-Carbajal","given":"Brahyan Fabián","non-dropping-particle":"","parse-names":false,"suffix":""},{"dropping-particle":"","family":"Sanchez-Ramirez","given":"Jhony Miguel","non-dropping-particle":"","parse-names":false,"suffix":""},{"dropping-particle":"","family":"Cabana-Cáceres","given":"Maritza","non-dropping-particle":"","parse-names":false,"suffix":""},{"dropping-particle":"","family":"Castro-Vargas","given":"Cristian","non-dropping-particle":"","parse-names":false,"suffix":""}],"container-title":"International journal of online and biomedical engineering","id":"ITEM-1","issue":"17","issued":{"date-parts":[["2023"]]},"title":"Electronic Prototype of Autonomous Learning for the Crossing of Pedestrians with Visual Disabilities in Lima","type":"article-journal","volume":"19"},"uris":["http://www.mendeley.com/documents/?uuid=edf5bfaa-4fbf-364a-92ca-682b24e61221"]},{"id":"ITEM-2","itemData":{"DOI":"10.31258/ijeepse.4.1.134-138","abstract":"The Diesel Power Plant is an oil-fired generator. The PLTD engine in Ranai uses Bio Solar fuel to produce 1 MW (MegaWatt) of power. The PLTD engine in Ranai each has one tank with a capacity of 1820 liters. Within 1 hour of using a machine with a power of ±, 750 KW (Kilo Watt) can consume ± 182 liters of oil. The IoT system serves to simplify the work in the oil distribution system. This IoT system uses the ESP8266 as a microcontroller, the HC-SR04 ultrasonic sensor as a volume level reader for the oil in the engine tank, and a relay as a replacement switch pump on or off. This tool works in real-time to help reduce the risk of negligence in refueling the engine. The Device testing results showed good results because the error value in the measurement distance test was 0%. The tool can provide fast and accurate information because it is equipped with an information system using Android and notifications from email messages.","author":[{"dropping-particle":"","family":"Prayetno","given":"Eko","non-dropping-particle":"","parse-names":false,"suffix":""},{"dropping-particle":"","family":"Nadapdap","given":"Trisianto","non-dropping-particle":"","parse-names":false,"suffix":""},{"dropping-particle":"","family":"Susanti","given":"Ani Sari","non-dropping-particle":"","parse-names":false,"suffix":""},{"dropping-particle":"","family":"Miranda","given":"Delta","non-dropping-particle":"","parse-names":false,"suffix":""}],"container-title":"International Journal of Electrical, Energy and Power System Engineering","id":"ITEM-2","issue":"1","issued":{"date-parts":[["2021"]]},"title":"PLTD Engine Tank Oil Volume Monitoring System using HC-SR04 Ultrasonic Sensor Based on Internet of Things (IoT)","type":"article-journal","volume":"4"},"uris":["http://www.mendeley.com/documents/?uuid=bc6463f9-e41c-313a-8c99-47cde5d56654"]}],"mendeley":{"formattedCitation":"[33], [34]","plainTextFormattedCitation":"[33], [34]","previouslyFormattedCitation":"[33], [34]"},"properties":{"noteIndex":0},"schema":"https://github.com/citation-style-language/schema/raw/master/csl-citation.json"}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[33], [34]</w:t>
      </w:r>
      <w:r w:rsidRPr="001925B2">
        <w:rPr>
          <w:rFonts w:ascii="Arial" w:eastAsia="Arial" w:hAnsi="Arial" w:cs="Arial"/>
          <w:sz w:val="20"/>
          <w:szCs w:val="20"/>
        </w:rPr>
        <w:fldChar w:fldCharType="end"/>
      </w:r>
      <w:r w:rsidRPr="001925B2">
        <w:rPr>
          <w:rFonts w:ascii="Arial" w:eastAsia="Arial" w:hAnsi="Arial" w:cs="Arial"/>
          <w:sz w:val="20"/>
          <w:szCs w:val="20"/>
        </w:rPr>
        <w:t>, while the MPU6050 sensor functions as both an accelerometer and gyroscope to detect tilt or imbalance in the lifting jack</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{"citationItems":[{"id":"ITEM-1","itemData":{"DOI":"10.37385/jaets.v4i1.1327","ISSN":"27156079","abstract":"This research is a research and development research that aims to find out the results of the development of tower slope monitoring tools using the ESP32 Microcontroller-Based Sensor Gyroscope and find out the test results of the tool tower tilt monitoring using the ESP32 Microcontroller-Based Gyroscope Sensor. The development model used in this study is a prototyping model with stages of collecting needs, building prototypes, evaluating prototypes, coding, testing, evaluation, uses of system. The data used are interviews, questionnaires, observations and measurements. The data were analyzed using descriptive statistical analysis techniques. Based on the results of this study is a prototype of a tower slope monitoring tool was produced that was used to monitor the slope of the tower remotely through the telegram application. From the test results of the tower tilt monitoring tool using the MPU6050 gyroscope sensor based on the ESP32 microcontroller, it was found that the average time it takes to receive notifications if they occur the slope is 3.21 seconds. The results of the pecan test n there is a difference in the angle read at a height of 1 meter is 0.3 degrees, a height of 2 meters 0.2 degrees, a height of 3 meters 0.22 degrees, and a height of 4 meters 0.18 degrees. The results of the functional suitability test show that the tool functions as designed. The usability characteristic of the tower slope monitoring tool gets an average score of being included in the excellent category.","author":[{"dropping-particle":"","family":"Imran","given":"Al","non-dropping-particle":"","parse-names":false,"suffix":""},{"dropping-particle":"","family":"Yantahin","given":"Muliaty","non-dropping-particle":"","parse-names":false,"suffix":""},{"dropping-particle":"","family":"Mappalotteng","given":"Abd Muis","non-dropping-particle":"","parse-names":false,"suffix":""},{"dropping-particle":"","family":"Arham","given":"Muh","non-dropping-particle":"","parse-names":false,"suffix":""}],"container-title":"Journal of Applied Engineering and Technological Science","id":"ITEM-1","issue":"1","issued":{"date-parts":[["2022"]]},"title":"DEVELOPMENT OF MONITORING TOWER USING GYROSCOPE SENSOR BASED ON ESP32 MICROCONTROLLER","type":"article-journal","volume":"4"},"uris":["http://www.mendeley.com/documents/?uuid=37c43921-a068-3f82-95b8-31e5ba359bb0"]},{"id":"ITEM-2","itemData":{"DOI":"10.35882/ijeeemi.v4i1.6","abstract":"The majority of Indonesia's population is Muslim, including more than 13,000 people with hearing impairments. In carrying out congregational prayers, the Deaf find it difficult to follow the instructions of the Imam's movement. The presence of hearing aids cannot be used by all persons with hearing impairments, and hearing aids often cause a buzzing sound, thus disturbing concentration. Therefore, in this study, a gyroscope bracelet will be made to assist people with hearing impairments in following the instructions of the Imam's movement when carrying out congregational prayers. The bracelet worn by the Imam will send a code in the form of a change in angle to the bracelet used by the Deaf congregation. The Z angle is a vertical angle in the gyroscope where the Z angle has an angular velocity of 360 degrees per second. The control system uses Arduino nano FT232RL FTDI FT232. The communication module uses HC-12 SI4463, with a wireless frequency of 433.4 - 473.0 MHz. The sensor for detecting changes in motion is the MPU6050 gyroscope sensor, the vibration indicator uses a micro vibrator motor. The bracelet used by the deaf will read the code from the Imam's device, with a notification in the form of a different vibration on every change in prayer movement. After experimenting with 30 people, the percentage of success was 84% ​​for all prayer positions. Thus, the gyroscope bracelet tool for prayer guides for the Deaf can help the Deaf community in carrying out congregational prayers.","author":[{"dropping-particle":"","family":"Heriyadi","given":"Heriyadi","non-dropping-particle":"","parse-names":false,"suffix":""},{"dropping-particle":"","family":"Fajrin","given":"Hanifah Rahmi","non-dropping-particle":"","parse-names":false,"suffix":""},{"dropping-particle":"","family":"Kartika","given":"Wisnu","non-dropping-particle":"","parse-names":false,"suffix":""}],"container-title":"Indonesian Journal of Electronics, Electromedical Engineering, and Medical Informatics","id":"ITEM-2","issue":"1","issued":{"date-parts":[["2022"]]},"title":"Prayer Guide Gyroscope Bracelet for The Deaf Using MPU6050 Sensor","type":"article-journal","volume":"4"},"uris":["http://www.mendeley.com/documents/?uuid=8f1252d0-f8c8-38df-af0e-c45949c6ca72"]}],"mendeley":{"formattedCitation":"[35], [36]","plainTextFormattedCitation":"[35], [36]","previouslyFormattedCitation":"[35], [36]"},"properties":{"noteIndex":0},"schema":"https://github.com/citation-style-language/schema/raw/master/csl-citation.json"}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[35], [36]</w:t>
      </w:r>
      <w:r w:rsidRPr="001925B2">
        <w:rPr>
          <w:rFonts w:ascii="Arial" w:eastAsia="Arial" w:hAnsi="Arial" w:cs="Arial"/>
          <w:sz w:val="20"/>
          <w:szCs w:val="20"/>
        </w:rPr>
        <w:fldChar w:fldCharType="end"/>
      </w:r>
      <w:r w:rsidRPr="001925B2">
        <w:rPr>
          <w:rFonts w:ascii="Arial" w:eastAsia="Arial" w:hAnsi="Arial" w:cs="Arial"/>
          <w:sz w:val="20"/>
          <w:szCs w:val="20"/>
        </w:rPr>
        <w:t>. The data collected by these sensors is processed by the ESP32 and transmitted to the internet through a router for further monitoring.</w:t>
      </w:r>
    </w:p>
    <w:p w14:paraId="57AEB6D6" w14:textId="55114B29"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t>The router acts as a communication bridge between the sensor node and the internet</w:t>
      </w:r>
      <w:r w:rsidRPr="001925B2">
        <w:rPr>
          <w:rFonts w:ascii="Arial" w:eastAsia="Arial" w:hAnsi="Arial" w:cs="Arial"/>
          <w:sz w:val="20"/>
          <w:szCs w:val="20"/>
        </w:rPr>
        <w:fldChar w:fldCharType="begin" w:fldLock="1"/>
      </w:r>
      <w:r w:rsidR="006212F9">
        <w:rPr>
          <w:rFonts w:ascii="Arial" w:eastAsia="Arial" w:hAnsi="Arial" w:cs="Arial"/>
          <w:sz w:val="20"/>
          <w:szCs w:val="20"/>
        </w:rPr>
        <w:instrText>ADDIN CSL_CITATION {"citationItems":[{"id":"ITEM-1","itemData":{"DOI":"10.54097/ajst.v6i1.9131","abstract":" With the continuous development of artificial intelligence technology, its application prospects in computer network technology are gradually showing. In the introduction, the research points out the importance and prospects of artificial intelligence in computer networks, and then introduces the basic concepts and technologies of artificial intelligence in computer network technology from the aspects of machine learning technology, intelligent interaction technology and data analysis technology. In the application of enterprise network architecture, this study reveals the intelligent upgrading of network equipment such as routers and switches, as well as the way of using artificial intelligence in security defense and risk management. In terms of mobile Internet network technology, this study analyzes the deep integration of artificial intelligence and 5G mobile communication, as well as the improvement of network service quality and the artificial transformation of operation support technology. Finally, this paper draws the conclusion that artificial intelligence is becoming the strongest assistant in the field of computer network technology, and it is the direction of future network technology development.","author":[{"dropping-particle":"","family":"Liu","given":"Jihong","non-dropping-particle":"","parse-names":false,"suffix":""},{"dropping-particle":"","family":"Jianyin","given":"Yiyan","non-dropping-particle":"","parse-names":false,"suffix":""}],"container-title":"Academic Journal of Science and Technology","id":"ITEM-1","issue":"1","issued":{"date-parts":[["2023"]]},"title":"Application Prospect of Artificial Intelligence in Computer Network Technology","type":"article-journal","volume":"6"},"uris":["http://www.mendeley.com/documents/?uuid=40520165-5955-3b40-9e9f-848db3beb407"]}],"mendeley":{"formattedCitation":"[37]","plainTextFormattedCitation":"[37]","previouslyFormattedCitation":"[37]"},"properties":{"noteIndex":0},"schema":"https://github.com/citation-style-language/schema/raw/master/csl-citation.json"}</w:instrText>
      </w:r>
      <w:r w:rsidRPr="001925B2">
        <w:rPr>
          <w:rFonts w:ascii="Arial" w:eastAsia="Arial" w:hAnsi="Arial" w:cs="Arial"/>
          <w:sz w:val="20"/>
          <w:szCs w:val="20"/>
        </w:rPr>
        <w:fldChar w:fldCharType="separate"/>
      </w:r>
      <w:r w:rsidR="006212F9" w:rsidRPr="006212F9">
        <w:rPr>
          <w:rFonts w:ascii="Arial" w:eastAsia="Arial" w:hAnsi="Arial" w:cs="Arial"/>
          <w:noProof/>
          <w:sz w:val="20"/>
          <w:szCs w:val="20"/>
        </w:rPr>
        <w:t>[37]</w:t>
      </w:r>
      <w:r w:rsidRPr="001925B2">
        <w:rPr>
          <w:rFonts w:ascii="Arial" w:eastAsia="Arial" w:hAnsi="Arial" w:cs="Arial"/>
          <w:sz w:val="20"/>
          <w:szCs w:val="20"/>
        </w:rPr>
        <w:fldChar w:fldCharType="end"/>
      </w:r>
      <w:r w:rsidRPr="001925B2">
        <w:rPr>
          <w:rFonts w:ascii="Arial" w:eastAsia="Arial" w:hAnsi="Arial" w:cs="Arial"/>
          <w:sz w:val="20"/>
          <w:szCs w:val="20"/>
        </w:rPr>
        <w:t>. After the sensor node gathers operational data, the router sends the data to the cloud via an internet connection. The router ensures fast and real-time data transmission to the monitoring system. Once the data is sent online, it is stored in a cloud-based database such as Google Firebase or other web platforms. This database serves as the primary storage for all operational data, which can later be analyzed to detect anomalies or predict lifting jack failures.</w:t>
      </w:r>
    </w:p>
    <w:p w14:paraId="64A9236E" w14:textId="77777777"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t xml:space="preserve">The system enables sensor data to be monitored from various devices, including computers at the data center and mobile devices. The data center functions as the monitoring hub, presenting sensor data in the form of graphs, trends, and advanced analytics, allowing operators or technicians to access this information for </w:t>
      </w:r>
      <w:r w:rsidRPr="001925B2">
        <w:rPr>
          <w:rFonts w:ascii="Arial" w:eastAsia="Arial" w:hAnsi="Arial" w:cs="Arial"/>
          <w:sz w:val="20"/>
          <w:szCs w:val="20"/>
        </w:rPr>
        <w:t>maintenance decision-making. Additionally, the data can be accessed via mobile devices through a web-based application or Firebase interface. If an anomaly is detected in the lifting jack’s operation, the system will issue a notification or alert to the user, enabling prompt preventive action.</w:t>
      </w:r>
    </w:p>
    <w:p w14:paraId="0000002F" w14:textId="47C11E2F" w:rsidR="00FF0465" w:rsidRDefault="001925B2" w:rsidP="001925B2">
      <w:pPr>
        <w:spacing w:after="0" w:line="240" w:lineRule="auto"/>
        <w:ind w:left="0" w:hanging="2"/>
        <w:jc w:val="both"/>
        <w:rPr>
          <w:rFonts w:ascii="Arial" w:eastAsia="Arial" w:hAnsi="Arial" w:cs="Arial"/>
          <w:sz w:val="20"/>
          <w:szCs w:val="20"/>
        </w:rPr>
      </w:pPr>
      <w:r w:rsidRPr="001925B2">
        <w:rPr>
          <w:rFonts w:ascii="Arial" w:eastAsia="Arial" w:hAnsi="Arial" w:cs="Arial"/>
          <w:sz w:val="20"/>
          <w:szCs w:val="20"/>
        </w:rPr>
        <w:t>Overall, the system integrates sensor nodes, communication networks, cloud storage, and monitoring platforms to enable effective predictive maintenance. With real-time monitoring, the risk of lifting jack failure can be minimized, maintenance efficiency can be improved, and workplace safety can be better ensured. The implementation of this system will assist operators in maintaining the optimal condition of the lifting jack and preventing accidents caused by equipment failure.</w:t>
      </w:r>
      <w:r w:rsidR="00500ED1">
        <w:rPr>
          <w:rFonts w:ascii="Arial" w:eastAsia="Arial" w:hAnsi="Arial" w:cs="Arial"/>
          <w:sz w:val="20"/>
          <w:szCs w:val="20"/>
        </w:rPr>
        <w:t xml:space="preserve"> </w:t>
      </w:r>
    </w:p>
    <w:p w14:paraId="00000030" w14:textId="77777777" w:rsidR="00FF0465" w:rsidRDefault="00FF0465">
      <w:pPr>
        <w:spacing w:after="0" w:line="240" w:lineRule="auto"/>
        <w:ind w:left="0" w:hanging="2"/>
        <w:jc w:val="both"/>
        <w:rPr>
          <w:rFonts w:ascii="Arial" w:eastAsia="Arial" w:hAnsi="Arial" w:cs="Arial"/>
          <w:sz w:val="20"/>
          <w:szCs w:val="20"/>
        </w:rPr>
      </w:pPr>
    </w:p>
    <w:p w14:paraId="00000031" w14:textId="23BA586F" w:rsidR="00FF0465" w:rsidRDefault="001925B2">
      <w:pPr>
        <w:spacing w:after="0" w:line="240" w:lineRule="auto"/>
        <w:ind w:left="0" w:hanging="2"/>
        <w:jc w:val="both"/>
        <w:rPr>
          <w:rFonts w:ascii="Arial" w:eastAsia="Arial" w:hAnsi="Arial" w:cs="Arial"/>
          <w:color w:val="1F4E79"/>
          <w:sz w:val="20"/>
          <w:szCs w:val="20"/>
        </w:rPr>
      </w:pPr>
      <w:r w:rsidRPr="001925B2">
        <w:rPr>
          <w:rFonts w:ascii="Arial" w:eastAsia="Arial" w:hAnsi="Arial" w:cs="Arial"/>
          <w:b/>
          <w:color w:val="1F4E79"/>
          <w:sz w:val="20"/>
          <w:szCs w:val="20"/>
        </w:rPr>
        <w:t>Sensor Data-Based Failure Prediction Algorithm</w:t>
      </w:r>
    </w:p>
    <w:p w14:paraId="00000032" w14:textId="3EDF6E8B" w:rsidR="00FF0465" w:rsidRDefault="00500ED1">
      <w:pPr>
        <w:spacing w:after="0" w:line="240" w:lineRule="auto"/>
        <w:ind w:left="0" w:hanging="2"/>
        <w:jc w:val="both"/>
        <w:rPr>
          <w:rFonts w:ascii="Arial" w:eastAsia="Arial" w:hAnsi="Arial" w:cs="Arial"/>
          <w:sz w:val="20"/>
          <w:szCs w:val="20"/>
        </w:rPr>
      </w:pPr>
      <w:r>
        <w:rPr>
          <w:rFonts w:ascii="Arial" w:eastAsia="Arial" w:hAnsi="Arial" w:cs="Arial"/>
          <w:sz w:val="20"/>
          <w:szCs w:val="20"/>
        </w:rPr>
        <w:t>The methods used in the completion of the research are written in this section. The method includes research chronological, including research design, research procedure (in the form of algorithms, Pseudocode or other), instruments, and analysis techniques used in solving problems. In addition, the description of the course of research should be supported by references so that the explanation can be accepted scientifically [13].</w:t>
      </w:r>
    </w:p>
    <w:p w14:paraId="75634483" w14:textId="77777777"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t>This code is designed to detect potential system failures in an IoT-based environment using the NodeMCU ESP32 as the main microcontroller. The system utilizes two types of sensors: the HC-SR04 for distance measurement and the MPU6050 for detecting tilt angles and acceleration. During the initialization phase, the microcontroller is configured to read data from both sensors and connect the device to a WiFi network in order to transmit the data to Firebase for real-time monitoring.</w:t>
      </w:r>
    </w:p>
    <w:p w14:paraId="7C484DB2" w14:textId="1185D601" w:rsidR="001925B2" w:rsidRPr="001925B2" w:rsidRDefault="001925B2" w:rsidP="001925B2">
      <w:pPr>
        <w:spacing w:after="0" w:line="240" w:lineRule="auto"/>
        <w:ind w:left="0" w:hanging="2"/>
        <w:jc w:val="center"/>
        <w:textDirection w:val="lrTb"/>
        <w:rPr>
          <w:rFonts w:ascii="Arial" w:eastAsia="Arial" w:hAnsi="Arial" w:cs="Arial"/>
          <w:sz w:val="20"/>
          <w:szCs w:val="20"/>
        </w:rPr>
      </w:pPr>
      <w:r w:rsidRPr="001925B2">
        <w:rPr>
          <w:rFonts w:ascii="Arial" w:eastAsia="Arial" w:hAnsi="Arial" w:cs="Arial"/>
          <w:noProof/>
          <w:sz w:val="20"/>
          <w:szCs w:val="20"/>
        </w:rPr>
        <w:lastRenderedPageBreak/>
        <w:drawing>
          <wp:inline distT="0" distB="0" distL="0" distR="0" wp14:anchorId="0B026181" wp14:editId="1DF0F66B">
            <wp:extent cx="1907931" cy="353450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l="8731" t="13130" r="7890" b="4100"/>
                    <a:stretch>
                      <a:fillRect/>
                    </a:stretch>
                  </pic:blipFill>
                  <pic:spPr bwMode="auto">
                    <a:xfrm>
                      <a:off x="0" y="0"/>
                      <a:ext cx="1919605" cy="3556128"/>
                    </a:xfrm>
                    <a:prstGeom prst="rect">
                      <a:avLst/>
                    </a:prstGeom>
                    <a:noFill/>
                    <a:ln>
                      <a:noFill/>
                    </a:ln>
                  </pic:spPr>
                </pic:pic>
              </a:graphicData>
            </a:graphic>
          </wp:inline>
        </w:drawing>
      </w:r>
    </w:p>
    <w:p w14:paraId="7CD9AC75" w14:textId="345C9475" w:rsidR="001925B2" w:rsidRPr="001925B2" w:rsidRDefault="001925B2" w:rsidP="001925B2">
      <w:pPr>
        <w:spacing w:after="0" w:line="240" w:lineRule="auto"/>
        <w:ind w:left="0" w:hanging="2"/>
        <w:jc w:val="center"/>
        <w:textDirection w:val="lrTb"/>
        <w:rPr>
          <w:rFonts w:ascii="Arial" w:eastAsia="Arial" w:hAnsi="Arial" w:cs="Arial"/>
          <w:sz w:val="20"/>
          <w:szCs w:val="20"/>
        </w:rPr>
      </w:pPr>
      <w:r w:rsidRPr="001925B2">
        <w:rPr>
          <w:rFonts w:ascii="Arial" w:eastAsia="Arial" w:hAnsi="Arial" w:cs="Arial"/>
          <w:sz w:val="20"/>
          <w:szCs w:val="20"/>
        </w:rPr>
        <w:t>Fig</w:t>
      </w:r>
      <w:r>
        <w:rPr>
          <w:rFonts w:ascii="Arial" w:eastAsia="Arial" w:hAnsi="Arial" w:cs="Arial"/>
          <w:sz w:val="20"/>
          <w:szCs w:val="20"/>
        </w:rPr>
        <w:t>ure</w:t>
      </w:r>
      <w:r w:rsidRPr="001925B2">
        <w:rPr>
          <w:rFonts w:ascii="Arial" w:eastAsia="Arial" w:hAnsi="Arial" w:cs="Arial"/>
          <w:sz w:val="20"/>
          <w:szCs w:val="20"/>
        </w:rPr>
        <w:t xml:space="preserve"> 4. Sensor Data-Based Failure Prediction Algorithm</w:t>
      </w:r>
    </w:p>
    <w:p w14:paraId="45B9FC04" w14:textId="77777777" w:rsidR="001925B2" w:rsidRPr="001925B2" w:rsidRDefault="001925B2" w:rsidP="001925B2">
      <w:pPr>
        <w:spacing w:after="0" w:line="240" w:lineRule="auto"/>
        <w:ind w:left="0" w:hanging="2"/>
        <w:jc w:val="both"/>
        <w:textDirection w:val="lrTb"/>
        <w:rPr>
          <w:rFonts w:ascii="Arial" w:eastAsia="Arial" w:hAnsi="Arial" w:cs="Arial"/>
          <w:sz w:val="20"/>
          <w:szCs w:val="20"/>
        </w:rPr>
      </w:pPr>
      <w:r w:rsidRPr="001925B2">
        <w:rPr>
          <w:rFonts w:ascii="Arial" w:eastAsia="Arial" w:hAnsi="Arial" w:cs="Arial"/>
          <w:sz w:val="20"/>
          <w:szCs w:val="20"/>
        </w:rPr>
        <w:t xml:space="preserve">During the data acquisition process, the HC-SR04 sensor is activated to measure distance using ultrasonic waves, while the MPU6050 reads acceleration values, which are then converted into tilt angles. Once data from both sensors is obtained, the system performs an analysis to detect anomalies. If the detected change in distance exceeds a predefined threshold, the system considers it as a potential mechanical </w:t>
      </w:r>
      <w:r w:rsidRPr="001925B2">
        <w:rPr>
          <w:rFonts w:ascii="Arial" w:eastAsia="Arial" w:hAnsi="Arial" w:cs="Arial"/>
          <w:sz w:val="20"/>
          <w:szCs w:val="20"/>
        </w:rPr>
        <w:t>failure. Likewise, if a significant change in tilt angle is detected, the system identifies a possible imbalance in the lifting jack that could affect its stability. In the event of an anomaly, a warning message is displayed through the Serial Monitor.</w:t>
      </w:r>
    </w:p>
    <w:p w14:paraId="1CA0AAA2" w14:textId="0B05F482" w:rsidR="001925B2" w:rsidRDefault="001925B2" w:rsidP="001925B2">
      <w:pPr>
        <w:spacing w:after="0" w:line="240" w:lineRule="auto"/>
        <w:ind w:left="0" w:hanging="2"/>
        <w:jc w:val="both"/>
        <w:rPr>
          <w:rFonts w:ascii="Arial" w:eastAsia="Arial" w:hAnsi="Arial" w:cs="Arial"/>
          <w:sz w:val="20"/>
          <w:szCs w:val="20"/>
        </w:rPr>
      </w:pPr>
      <w:r w:rsidRPr="001925B2">
        <w:rPr>
          <w:rFonts w:ascii="Arial" w:eastAsia="Arial" w:hAnsi="Arial" w:cs="Arial"/>
          <w:sz w:val="20"/>
          <w:szCs w:val="20"/>
        </w:rPr>
        <w:t>To ensure the data can be accessed and further analyzed, the system transmits sensor data to Firebase every five seconds, including distance, tilt angle, and anomaly status. Firebase serves as a cloud storage platform that enables users to monitor the data in real time via computer or mobile devices. With each iteration of the loop, new data is updated and compared to the previous data to improve the accuracy of failure pattern detection.</w:t>
      </w:r>
    </w:p>
    <w:p w14:paraId="00000033" w14:textId="77777777" w:rsidR="00FF0465" w:rsidRDefault="00FF0465">
      <w:pPr>
        <w:spacing w:after="0" w:line="240" w:lineRule="auto"/>
        <w:ind w:left="0" w:hanging="2"/>
        <w:jc w:val="both"/>
        <w:rPr>
          <w:rFonts w:ascii="Arial" w:eastAsia="Arial" w:hAnsi="Arial" w:cs="Arial"/>
          <w:sz w:val="20"/>
          <w:szCs w:val="20"/>
        </w:rPr>
      </w:pPr>
    </w:p>
    <w:p w14:paraId="00000034" w14:textId="77777777" w:rsidR="00FF0465" w:rsidRDefault="00500ED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2D553692" w14:textId="521F6327" w:rsidR="001925B2" w:rsidRPr="00D20277" w:rsidRDefault="001925B2" w:rsidP="001925B2">
      <w:pPr>
        <w:spacing w:after="0" w:line="240" w:lineRule="auto"/>
        <w:ind w:left="0" w:hanging="2"/>
        <w:jc w:val="both"/>
        <w:rPr>
          <w:rFonts w:ascii="Arial" w:eastAsia="Arial" w:hAnsi="Arial" w:cs="Arial"/>
          <w:b/>
          <w:color w:val="1F4E79"/>
          <w:sz w:val="20"/>
          <w:szCs w:val="20"/>
        </w:rPr>
      </w:pPr>
      <w:r w:rsidRPr="001925B2">
        <w:rPr>
          <w:rFonts w:ascii="Arial" w:eastAsia="Arial" w:hAnsi="Arial" w:cs="Arial"/>
          <w:b/>
          <w:color w:val="1F4E79"/>
          <w:sz w:val="20"/>
          <w:szCs w:val="20"/>
        </w:rPr>
        <w:t>Risk Assessment Results Using HAZOP-FMEA</w:t>
      </w:r>
    </w:p>
    <w:p w14:paraId="00000035" w14:textId="6062686B" w:rsidR="00FF0465" w:rsidRDefault="00500ED1">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Results and Discussion should be an objective description of the results and should be in relation to the purposes of research. The discussion also needs to be supported by the reference list [14][15]. Results can be presented in figures, tables, and others that make the readers understand easily. </w:t>
      </w:r>
    </w:p>
    <w:p w14:paraId="260127C2" w14:textId="77777777" w:rsidR="001925B2" w:rsidRDefault="001925B2" w:rsidP="001925B2">
      <w:pPr>
        <w:spacing w:after="0" w:line="240" w:lineRule="auto"/>
        <w:ind w:left="0" w:hanging="2"/>
        <w:jc w:val="both"/>
        <w:textDirection w:val="lrTb"/>
        <w:rPr>
          <w:b/>
          <w:bCs/>
          <w:position w:val="0"/>
        </w:rPr>
      </w:pPr>
      <w:r w:rsidRPr="001925B2">
        <w:rPr>
          <w:rFonts w:ascii="Arial" w:eastAsia="Arial" w:hAnsi="Arial" w:cs="Arial"/>
          <w:sz w:val="20"/>
          <w:szCs w:val="20"/>
        </w:rPr>
        <w:t>The HAZOP (Hazard and Operability Study) method was applied to systematically identify potential hazards in the operation of lifting jacks used for locomotive maintenance. This analysis focused on deviations from normal operating conditions that could lead to workplace accidents or equipment failures. Each deviation was categorized based on possible causes, associated risks, and suggested preventive actions.</w:t>
      </w:r>
    </w:p>
    <w:p w14:paraId="0FECFC42" w14:textId="77777777" w:rsidR="00D20277" w:rsidRDefault="00D20277" w:rsidP="001925B2">
      <w:pPr>
        <w:spacing w:after="0" w:line="240" w:lineRule="auto"/>
        <w:ind w:left="0" w:hanging="2"/>
        <w:jc w:val="center"/>
        <w:textDirection w:val="lrTb"/>
        <w:rPr>
          <w:rFonts w:ascii="Arial" w:eastAsia="Arial" w:hAnsi="Arial" w:cs="Arial"/>
          <w:color w:val="000000"/>
          <w:sz w:val="20"/>
          <w:szCs w:val="20"/>
        </w:rPr>
        <w:sectPr w:rsidR="00D20277">
          <w:type w:val="continuous"/>
          <w:pgSz w:w="11907" w:h="16840"/>
          <w:pgMar w:top="1701" w:right="1134" w:bottom="1701" w:left="1701" w:header="680" w:footer="680" w:gutter="0"/>
          <w:cols w:num="2" w:space="720" w:equalWidth="0">
            <w:col w:w="4394" w:space="284"/>
            <w:col w:w="4394" w:space="0"/>
          </w:cols>
          <w:titlePg/>
        </w:sectPr>
      </w:pPr>
    </w:p>
    <w:p w14:paraId="7A64E33C" w14:textId="3FF4083E" w:rsidR="001925B2" w:rsidRDefault="001925B2" w:rsidP="001925B2">
      <w:pPr>
        <w:spacing w:after="0" w:line="240" w:lineRule="auto"/>
        <w:ind w:left="0" w:hanging="2"/>
        <w:jc w:val="center"/>
        <w:textDirection w:val="lrTb"/>
        <w:rPr>
          <w:szCs w:val="16"/>
        </w:rPr>
      </w:pPr>
      <w:r w:rsidRPr="001925B2">
        <w:rPr>
          <w:rFonts w:ascii="Arial" w:eastAsia="Arial" w:hAnsi="Arial" w:cs="Arial"/>
          <w:color w:val="000000"/>
          <w:sz w:val="20"/>
          <w:szCs w:val="20"/>
        </w:rPr>
        <w:t>Table 2. HAZOP Worksheet.</w:t>
      </w:r>
    </w:p>
    <w:tbl>
      <w:tblPr>
        <w:tblStyle w:val="PlainTable21"/>
        <w:tblW w:w="9072" w:type="dxa"/>
        <w:jc w:val="center"/>
        <w:tblInd w:w="0" w:type="dxa"/>
        <w:tblLook w:val="04A0" w:firstRow="1" w:lastRow="0" w:firstColumn="1" w:lastColumn="0" w:noHBand="0" w:noVBand="1"/>
      </w:tblPr>
      <w:tblGrid>
        <w:gridCol w:w="892"/>
        <w:gridCol w:w="1305"/>
        <w:gridCol w:w="1220"/>
        <w:gridCol w:w="1527"/>
        <w:gridCol w:w="1064"/>
        <w:gridCol w:w="1343"/>
        <w:gridCol w:w="1721"/>
      </w:tblGrid>
      <w:tr w:rsidR="001925B2" w:rsidRPr="00506B5D" w14:paraId="362F2CCD" w14:textId="77777777" w:rsidTr="00506B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0B6E70A8" w14:textId="77777777" w:rsidR="001925B2" w:rsidRPr="00506B5D" w:rsidRDefault="001925B2" w:rsidP="00506B5D">
            <w:pPr>
              <w:spacing w:before="0" w:after="0" w:afterAutospacing="0"/>
              <w:ind w:leftChars="0" w:left="2" w:right="0" w:hanging="2"/>
              <w:jc w:val="center"/>
              <w:rPr>
                <w:rFonts w:ascii="Arial" w:eastAsia="Arial" w:hAnsi="Arial" w:cs="Arial"/>
                <w:color w:val="auto"/>
                <w:sz w:val="16"/>
                <w:szCs w:val="16"/>
              </w:rPr>
            </w:pPr>
            <w:r w:rsidRPr="00506B5D">
              <w:rPr>
                <w:rFonts w:ascii="Arial" w:eastAsia="Arial" w:hAnsi="Arial" w:cs="Arial"/>
                <w:color w:val="auto"/>
                <w:sz w:val="16"/>
                <w:szCs w:val="16"/>
              </w:rPr>
              <w:t>No</w:t>
            </w:r>
          </w:p>
        </w:tc>
        <w:tc>
          <w:tcPr>
            <w:tcW w:w="1305" w:type="dxa"/>
            <w:tcBorders>
              <w:top w:val="single" w:sz="4" w:space="0" w:color="7F7F7F" w:themeColor="text1" w:themeTint="80"/>
              <w:left w:val="nil"/>
              <w:right w:val="nil"/>
            </w:tcBorders>
            <w:hideMark/>
          </w:tcPr>
          <w:p w14:paraId="26E49A40"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Process</w:t>
            </w:r>
          </w:p>
        </w:tc>
        <w:tc>
          <w:tcPr>
            <w:tcW w:w="1220" w:type="dxa"/>
            <w:tcBorders>
              <w:top w:val="single" w:sz="4" w:space="0" w:color="7F7F7F" w:themeColor="text1" w:themeTint="80"/>
              <w:left w:val="nil"/>
              <w:right w:val="nil"/>
            </w:tcBorders>
            <w:hideMark/>
          </w:tcPr>
          <w:p w14:paraId="2AFE4C16"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Identified Issues</w:t>
            </w:r>
          </w:p>
        </w:tc>
        <w:tc>
          <w:tcPr>
            <w:tcW w:w="1527" w:type="dxa"/>
            <w:tcBorders>
              <w:top w:val="single" w:sz="4" w:space="0" w:color="7F7F7F" w:themeColor="text1" w:themeTint="80"/>
              <w:left w:val="nil"/>
              <w:right w:val="nil"/>
            </w:tcBorders>
            <w:hideMark/>
          </w:tcPr>
          <w:p w14:paraId="78B9C2BA"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Possible Consequences</w:t>
            </w:r>
          </w:p>
        </w:tc>
        <w:tc>
          <w:tcPr>
            <w:tcW w:w="1064" w:type="dxa"/>
            <w:tcBorders>
              <w:top w:val="single" w:sz="4" w:space="0" w:color="7F7F7F" w:themeColor="text1" w:themeTint="80"/>
              <w:left w:val="nil"/>
              <w:right w:val="nil"/>
            </w:tcBorders>
            <w:hideMark/>
          </w:tcPr>
          <w:p w14:paraId="09705881"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Risk Matrix (L, C, R)</w:t>
            </w:r>
          </w:p>
        </w:tc>
        <w:tc>
          <w:tcPr>
            <w:tcW w:w="1343" w:type="dxa"/>
            <w:tcBorders>
              <w:top w:val="single" w:sz="4" w:space="0" w:color="7F7F7F" w:themeColor="text1" w:themeTint="80"/>
              <w:left w:val="nil"/>
              <w:right w:val="nil"/>
            </w:tcBorders>
            <w:hideMark/>
          </w:tcPr>
          <w:p w14:paraId="35FFF4F3"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Safeguards</w:t>
            </w:r>
          </w:p>
        </w:tc>
        <w:tc>
          <w:tcPr>
            <w:tcW w:w="1721" w:type="dxa"/>
            <w:tcBorders>
              <w:top w:val="single" w:sz="4" w:space="0" w:color="7F7F7F" w:themeColor="text1" w:themeTint="80"/>
              <w:left w:val="nil"/>
              <w:right w:val="nil"/>
            </w:tcBorders>
            <w:hideMark/>
          </w:tcPr>
          <w:p w14:paraId="3764EEF0" w14:textId="77777777" w:rsidR="001925B2" w:rsidRPr="00506B5D" w:rsidRDefault="001925B2"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Recommendations</w:t>
            </w:r>
          </w:p>
        </w:tc>
      </w:tr>
      <w:tr w:rsidR="001925B2" w:rsidRPr="00506B5D" w14:paraId="21212A97" w14:textId="77777777" w:rsidTr="00506B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4AD6967B" w14:textId="77777777" w:rsidR="001925B2" w:rsidRPr="00506B5D" w:rsidRDefault="001925B2"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1</w:t>
            </w:r>
          </w:p>
        </w:tc>
        <w:tc>
          <w:tcPr>
            <w:tcW w:w="1305" w:type="dxa"/>
            <w:tcBorders>
              <w:left w:val="nil"/>
              <w:right w:val="nil"/>
            </w:tcBorders>
            <w:hideMark/>
          </w:tcPr>
          <w:p w14:paraId="2557B6A4"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Preparing the jack</w:t>
            </w:r>
          </w:p>
        </w:tc>
        <w:tc>
          <w:tcPr>
            <w:tcW w:w="1220" w:type="dxa"/>
            <w:tcBorders>
              <w:left w:val="nil"/>
              <w:right w:val="nil"/>
            </w:tcBorders>
            <w:hideMark/>
          </w:tcPr>
          <w:p w14:paraId="31066FC5"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Jack wheel detaches from the axle</w:t>
            </w:r>
          </w:p>
        </w:tc>
        <w:tc>
          <w:tcPr>
            <w:tcW w:w="1527" w:type="dxa"/>
            <w:tcBorders>
              <w:left w:val="nil"/>
              <w:right w:val="nil"/>
            </w:tcBorders>
            <w:hideMark/>
          </w:tcPr>
          <w:p w14:paraId="5EFAA943"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The jack may tilt or fall</w:t>
            </w:r>
          </w:p>
        </w:tc>
        <w:tc>
          <w:tcPr>
            <w:tcW w:w="1064" w:type="dxa"/>
            <w:tcBorders>
              <w:left w:val="nil"/>
              <w:right w:val="nil"/>
            </w:tcBorders>
            <w:hideMark/>
          </w:tcPr>
          <w:p w14:paraId="513C613B"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3, 2, M</w:t>
            </w:r>
          </w:p>
        </w:tc>
        <w:tc>
          <w:tcPr>
            <w:tcW w:w="1343" w:type="dxa"/>
            <w:tcBorders>
              <w:left w:val="nil"/>
              <w:right w:val="nil"/>
            </w:tcBorders>
            <w:hideMark/>
          </w:tcPr>
          <w:p w14:paraId="146AF1DF"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None</w:t>
            </w:r>
          </w:p>
        </w:tc>
        <w:tc>
          <w:tcPr>
            <w:tcW w:w="1721" w:type="dxa"/>
            <w:tcBorders>
              <w:left w:val="nil"/>
              <w:right w:val="nil"/>
            </w:tcBorders>
            <w:hideMark/>
          </w:tcPr>
          <w:p w14:paraId="65CDBEE4"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Add a locking nut on the wheels</w:t>
            </w:r>
          </w:p>
        </w:tc>
      </w:tr>
      <w:tr w:rsidR="001925B2" w:rsidRPr="00506B5D" w14:paraId="19DF07B7" w14:textId="77777777" w:rsidTr="00506B5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06B9CB4" w14:textId="77777777" w:rsidR="001925B2" w:rsidRPr="00506B5D" w:rsidRDefault="001925B2"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2</w:t>
            </w:r>
          </w:p>
        </w:tc>
        <w:tc>
          <w:tcPr>
            <w:tcW w:w="1305" w:type="dxa"/>
            <w:tcBorders>
              <w:top w:val="nil"/>
              <w:left w:val="nil"/>
              <w:bottom w:val="nil"/>
              <w:right w:val="nil"/>
            </w:tcBorders>
            <w:hideMark/>
          </w:tcPr>
          <w:p w14:paraId="0B676190"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Lifting process starts</w:t>
            </w:r>
          </w:p>
        </w:tc>
        <w:tc>
          <w:tcPr>
            <w:tcW w:w="1220" w:type="dxa"/>
            <w:tcBorders>
              <w:top w:val="nil"/>
              <w:left w:val="nil"/>
              <w:bottom w:val="nil"/>
              <w:right w:val="nil"/>
            </w:tcBorders>
            <w:hideMark/>
          </w:tcPr>
          <w:p w14:paraId="18167F52"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Stopper does not rise and does not push the load support</w:t>
            </w:r>
          </w:p>
        </w:tc>
        <w:tc>
          <w:tcPr>
            <w:tcW w:w="1527" w:type="dxa"/>
            <w:tcBorders>
              <w:top w:val="nil"/>
              <w:left w:val="nil"/>
              <w:bottom w:val="nil"/>
              <w:right w:val="nil"/>
            </w:tcBorders>
            <w:hideMark/>
          </w:tcPr>
          <w:p w14:paraId="321F347F"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Load support does not move up, motor overheats, locomotive tilts</w:t>
            </w:r>
          </w:p>
        </w:tc>
        <w:tc>
          <w:tcPr>
            <w:tcW w:w="1064" w:type="dxa"/>
            <w:tcBorders>
              <w:top w:val="nil"/>
              <w:left w:val="nil"/>
              <w:bottom w:val="nil"/>
              <w:right w:val="nil"/>
            </w:tcBorders>
            <w:hideMark/>
          </w:tcPr>
          <w:p w14:paraId="722DBF74"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5, 4, E</w:t>
            </w:r>
          </w:p>
        </w:tc>
        <w:tc>
          <w:tcPr>
            <w:tcW w:w="1343" w:type="dxa"/>
            <w:tcBorders>
              <w:top w:val="nil"/>
              <w:left w:val="nil"/>
              <w:bottom w:val="nil"/>
              <w:right w:val="nil"/>
            </w:tcBorders>
            <w:hideMark/>
          </w:tcPr>
          <w:p w14:paraId="6016C4BE"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None</w:t>
            </w:r>
          </w:p>
        </w:tc>
        <w:tc>
          <w:tcPr>
            <w:tcW w:w="1721" w:type="dxa"/>
            <w:tcBorders>
              <w:top w:val="nil"/>
              <w:left w:val="nil"/>
              <w:bottom w:val="nil"/>
              <w:right w:val="nil"/>
            </w:tcBorders>
            <w:hideMark/>
          </w:tcPr>
          <w:p w14:paraId="648693C0" w14:textId="77777777" w:rsidR="001925B2" w:rsidRPr="00506B5D" w:rsidRDefault="001925B2"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Perform testing before use, add an automatic sensor on the motor, install additional safety nuts on the stopper</w:t>
            </w:r>
          </w:p>
        </w:tc>
      </w:tr>
      <w:tr w:rsidR="001925B2" w:rsidRPr="00506B5D" w14:paraId="61CDC85B" w14:textId="77777777" w:rsidTr="00506B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1C37BE97" w14:textId="77777777" w:rsidR="001925B2" w:rsidRPr="00506B5D" w:rsidRDefault="001925B2"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3</w:t>
            </w:r>
          </w:p>
        </w:tc>
        <w:tc>
          <w:tcPr>
            <w:tcW w:w="1305" w:type="dxa"/>
            <w:tcBorders>
              <w:left w:val="nil"/>
              <w:right w:val="nil"/>
            </w:tcBorders>
            <w:hideMark/>
          </w:tcPr>
          <w:p w14:paraId="219768CB"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Holding the locomotive</w:t>
            </w:r>
          </w:p>
        </w:tc>
        <w:tc>
          <w:tcPr>
            <w:tcW w:w="1220" w:type="dxa"/>
            <w:tcBorders>
              <w:left w:val="nil"/>
              <w:right w:val="nil"/>
            </w:tcBorders>
            <w:hideMark/>
          </w:tcPr>
          <w:p w14:paraId="489C0797"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Voltage below 220V</w:t>
            </w:r>
          </w:p>
        </w:tc>
        <w:tc>
          <w:tcPr>
            <w:tcW w:w="1527" w:type="dxa"/>
            <w:tcBorders>
              <w:left w:val="nil"/>
              <w:right w:val="nil"/>
            </w:tcBorders>
            <w:hideMark/>
          </w:tcPr>
          <w:p w14:paraId="24DC0F83"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The jack cannot sustain the load for long, sudden drop, reduced motor power</w:t>
            </w:r>
          </w:p>
        </w:tc>
        <w:tc>
          <w:tcPr>
            <w:tcW w:w="1064" w:type="dxa"/>
            <w:tcBorders>
              <w:left w:val="nil"/>
              <w:right w:val="nil"/>
            </w:tcBorders>
            <w:hideMark/>
          </w:tcPr>
          <w:p w14:paraId="294BDE65"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3, 4, H</w:t>
            </w:r>
          </w:p>
        </w:tc>
        <w:tc>
          <w:tcPr>
            <w:tcW w:w="1343" w:type="dxa"/>
            <w:tcBorders>
              <w:left w:val="nil"/>
              <w:right w:val="nil"/>
            </w:tcBorders>
            <w:hideMark/>
          </w:tcPr>
          <w:p w14:paraId="5E9F9F4F"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None</w:t>
            </w:r>
          </w:p>
        </w:tc>
        <w:tc>
          <w:tcPr>
            <w:tcW w:w="1721" w:type="dxa"/>
            <w:tcBorders>
              <w:left w:val="nil"/>
              <w:right w:val="nil"/>
            </w:tcBorders>
            <w:hideMark/>
          </w:tcPr>
          <w:p w14:paraId="2CAF72A4" w14:textId="77777777" w:rsidR="001925B2" w:rsidRPr="00506B5D" w:rsidRDefault="001925B2"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Replace cables between jacks, improve the electrical power distribution system</w:t>
            </w:r>
          </w:p>
        </w:tc>
      </w:tr>
    </w:tbl>
    <w:p w14:paraId="2E8C2F8A" w14:textId="77777777" w:rsidR="001925B2" w:rsidRPr="001925B2" w:rsidRDefault="001925B2" w:rsidP="001925B2">
      <w:pPr>
        <w:spacing w:after="0" w:line="240" w:lineRule="auto"/>
        <w:ind w:left="0" w:hanging="2"/>
        <w:jc w:val="center"/>
        <w:textDirection w:val="lrTb"/>
        <w:rPr>
          <w:rFonts w:ascii="Arial" w:eastAsia="Arial" w:hAnsi="Arial" w:cs="Arial"/>
          <w:sz w:val="16"/>
          <w:szCs w:val="16"/>
        </w:rPr>
      </w:pPr>
    </w:p>
    <w:p w14:paraId="49C674B3" w14:textId="77777777" w:rsidR="00D20277" w:rsidRDefault="00D20277" w:rsidP="001925B2">
      <w:pPr>
        <w:spacing w:after="0" w:line="240" w:lineRule="auto"/>
        <w:ind w:left="0" w:hanging="2"/>
        <w:jc w:val="both"/>
        <w:sectPr w:rsidR="00D20277" w:rsidSect="00D20277">
          <w:type w:val="continuous"/>
          <w:pgSz w:w="11907" w:h="16840"/>
          <w:pgMar w:top="1701" w:right="1134" w:bottom="1701" w:left="1701" w:header="680" w:footer="680" w:gutter="0"/>
          <w:cols w:space="284"/>
          <w:titlePg/>
        </w:sectPr>
      </w:pPr>
    </w:p>
    <w:p w14:paraId="3A4CC6E2" w14:textId="094DBA9A" w:rsidR="001925B2" w:rsidRDefault="001925B2" w:rsidP="001925B2">
      <w:pPr>
        <w:spacing w:after="0" w:line="240" w:lineRule="auto"/>
        <w:ind w:left="0" w:hanging="2"/>
        <w:jc w:val="both"/>
        <w:rPr>
          <w:rFonts w:ascii="Arial" w:eastAsia="Arial" w:hAnsi="Arial" w:cs="Arial"/>
          <w:sz w:val="20"/>
          <w:szCs w:val="20"/>
        </w:rPr>
      </w:pPr>
      <w:r w:rsidRPr="00D20277">
        <w:rPr>
          <w:rFonts w:ascii="Arial" w:eastAsia="Arial" w:hAnsi="Arial" w:cs="Arial"/>
          <w:sz w:val="20"/>
          <w:szCs w:val="20"/>
        </w:rPr>
        <w:t xml:space="preserve">The HAZOP analysis identified three critical deviations (see table 2): jack wheel instability, stopper malfunction, and unstable electrical supply. These issues pose significant operational and safety risks, potentially leading to accidents or system failures. Mitigation measures such as </w:t>
      </w:r>
      <w:r w:rsidRPr="00D20277">
        <w:rPr>
          <w:rFonts w:ascii="Arial" w:eastAsia="Arial" w:hAnsi="Arial" w:cs="Arial"/>
          <w:sz w:val="20"/>
          <w:szCs w:val="20"/>
        </w:rPr>
        <w:t>automatic sensor integration, electrical system reinforcement, and additional safety locks were proposed to enhance system reliability.</w:t>
      </w:r>
    </w:p>
    <w:p w14:paraId="6571CC9D" w14:textId="77777777" w:rsidR="00D20277" w:rsidRDefault="00D20277" w:rsidP="00D20277">
      <w:pPr>
        <w:spacing w:after="0" w:line="240" w:lineRule="auto"/>
        <w:ind w:left="0" w:hanging="2"/>
        <w:jc w:val="both"/>
        <w:textDirection w:val="lrTb"/>
        <w:rPr>
          <w:position w:val="0"/>
          <w:lang w:val="en-ID"/>
        </w:rPr>
      </w:pPr>
      <w:r w:rsidRPr="00D20277">
        <w:rPr>
          <w:rFonts w:ascii="Arial" w:eastAsia="Arial" w:hAnsi="Arial" w:cs="Arial"/>
          <w:sz w:val="20"/>
          <w:szCs w:val="20"/>
        </w:rPr>
        <w:t xml:space="preserve">Building upon the findings from HAZOP, a Failure Modes and Effects Analysis (FMEA) was conducted to assess potential failure modes, their </w:t>
      </w:r>
      <w:r w:rsidRPr="00D20277">
        <w:rPr>
          <w:rFonts w:ascii="Arial" w:eastAsia="Arial" w:hAnsi="Arial" w:cs="Arial"/>
          <w:sz w:val="20"/>
          <w:szCs w:val="20"/>
        </w:rPr>
        <w:lastRenderedPageBreak/>
        <w:t xml:space="preserve">severity, occurrence likelihood, and detection capability. The Risk Priority Number (RPN) was </w:t>
      </w:r>
      <w:r w:rsidRPr="00D20277">
        <w:rPr>
          <w:rFonts w:ascii="Arial" w:eastAsia="Arial" w:hAnsi="Arial" w:cs="Arial"/>
          <w:sz w:val="20"/>
          <w:szCs w:val="20"/>
        </w:rPr>
        <w:t>calculated to rank failure risks and prioritize mitigation strategies.</w:t>
      </w:r>
    </w:p>
    <w:p w14:paraId="64AB1F23" w14:textId="77777777" w:rsidR="00D20277" w:rsidRDefault="00D20277" w:rsidP="00D20277">
      <w:pPr>
        <w:spacing w:after="0" w:line="240" w:lineRule="auto"/>
        <w:ind w:left="0" w:hanging="2"/>
        <w:jc w:val="center"/>
        <w:textDirection w:val="lrTb"/>
        <w:rPr>
          <w:rFonts w:ascii="Arial" w:eastAsia="Arial" w:hAnsi="Arial" w:cs="Arial"/>
          <w:color w:val="000000"/>
          <w:sz w:val="20"/>
          <w:szCs w:val="20"/>
        </w:rPr>
        <w:sectPr w:rsidR="00D20277">
          <w:type w:val="continuous"/>
          <w:pgSz w:w="11907" w:h="16840"/>
          <w:pgMar w:top="1701" w:right="1134" w:bottom="1701" w:left="1701" w:header="680" w:footer="680" w:gutter="0"/>
          <w:cols w:num="2" w:space="720" w:equalWidth="0">
            <w:col w:w="4394" w:space="284"/>
            <w:col w:w="4394" w:space="0"/>
          </w:cols>
          <w:titlePg/>
        </w:sectPr>
      </w:pPr>
      <w:bookmarkStart w:id="1" w:name="_Hlk195531989"/>
    </w:p>
    <w:p w14:paraId="59C37D19" w14:textId="74867107" w:rsidR="00D20277" w:rsidRDefault="00D20277" w:rsidP="00D20277">
      <w:pPr>
        <w:spacing w:after="0" w:line="240" w:lineRule="auto"/>
        <w:ind w:left="0" w:hanging="2"/>
        <w:jc w:val="center"/>
        <w:textDirection w:val="lrTb"/>
      </w:pPr>
      <w:r w:rsidRPr="00D20277">
        <w:rPr>
          <w:rFonts w:ascii="Arial" w:eastAsia="Arial" w:hAnsi="Arial" w:cs="Arial"/>
          <w:color w:val="000000"/>
          <w:sz w:val="20"/>
          <w:szCs w:val="20"/>
        </w:rPr>
        <w:t>Table 3 Failure Mode Identification Using FMEA</w:t>
      </w:r>
    </w:p>
    <w:tbl>
      <w:tblPr>
        <w:tblStyle w:val="PlainTable21"/>
        <w:tblW w:w="0" w:type="auto"/>
        <w:jc w:val="center"/>
        <w:tblInd w:w="0" w:type="dxa"/>
        <w:tblLook w:val="04A0" w:firstRow="1" w:lastRow="0" w:firstColumn="1" w:lastColumn="0" w:noHBand="0" w:noVBand="1"/>
      </w:tblPr>
      <w:tblGrid>
        <w:gridCol w:w="1243"/>
        <w:gridCol w:w="962"/>
        <w:gridCol w:w="1059"/>
        <w:gridCol w:w="1206"/>
        <w:gridCol w:w="986"/>
        <w:gridCol w:w="489"/>
        <w:gridCol w:w="515"/>
        <w:gridCol w:w="515"/>
        <w:gridCol w:w="713"/>
        <w:gridCol w:w="1328"/>
      </w:tblGrid>
      <w:tr w:rsidR="00D20277" w:rsidRPr="00506B5D" w14:paraId="389AE09A" w14:textId="77777777" w:rsidTr="00D202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3" w:type="dxa"/>
            <w:tcBorders>
              <w:top w:val="single" w:sz="4" w:space="0" w:color="7F7F7F" w:themeColor="text1" w:themeTint="80"/>
              <w:left w:val="nil"/>
              <w:right w:val="nil"/>
            </w:tcBorders>
            <w:hideMark/>
          </w:tcPr>
          <w:bookmarkEnd w:id="1"/>
          <w:p w14:paraId="3BA30EA9" w14:textId="77777777" w:rsidR="00D20277" w:rsidRPr="00506B5D" w:rsidRDefault="00D20277" w:rsidP="00506B5D">
            <w:pPr>
              <w:spacing w:before="0" w:after="0" w:afterAutospacing="0"/>
              <w:ind w:leftChars="0" w:left="2" w:right="0" w:hanging="2"/>
              <w:jc w:val="center"/>
              <w:rPr>
                <w:rFonts w:ascii="Arial" w:eastAsia="Arial" w:hAnsi="Arial" w:cs="Arial"/>
                <w:color w:val="auto"/>
                <w:sz w:val="16"/>
                <w:szCs w:val="16"/>
              </w:rPr>
            </w:pPr>
            <w:r w:rsidRPr="00506B5D">
              <w:rPr>
                <w:rFonts w:ascii="Arial" w:eastAsia="Arial" w:hAnsi="Arial" w:cs="Arial"/>
                <w:color w:val="auto"/>
                <w:sz w:val="16"/>
                <w:szCs w:val="16"/>
              </w:rPr>
              <w:t>Component &amp; Function</w:t>
            </w:r>
          </w:p>
        </w:tc>
        <w:tc>
          <w:tcPr>
            <w:tcW w:w="962" w:type="dxa"/>
            <w:tcBorders>
              <w:top w:val="single" w:sz="4" w:space="0" w:color="7F7F7F" w:themeColor="text1" w:themeTint="80"/>
              <w:left w:val="nil"/>
              <w:right w:val="nil"/>
            </w:tcBorders>
            <w:hideMark/>
          </w:tcPr>
          <w:p w14:paraId="7976366B"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Material</w:t>
            </w:r>
          </w:p>
        </w:tc>
        <w:tc>
          <w:tcPr>
            <w:tcW w:w="1059" w:type="dxa"/>
            <w:tcBorders>
              <w:top w:val="single" w:sz="4" w:space="0" w:color="7F7F7F" w:themeColor="text1" w:themeTint="80"/>
              <w:left w:val="nil"/>
              <w:right w:val="nil"/>
            </w:tcBorders>
            <w:hideMark/>
          </w:tcPr>
          <w:p w14:paraId="47129C95"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Failure Mode</w:t>
            </w:r>
          </w:p>
        </w:tc>
        <w:tc>
          <w:tcPr>
            <w:tcW w:w="1206" w:type="dxa"/>
            <w:tcBorders>
              <w:top w:val="single" w:sz="4" w:space="0" w:color="7F7F7F" w:themeColor="text1" w:themeTint="80"/>
              <w:left w:val="nil"/>
              <w:right w:val="nil"/>
            </w:tcBorders>
            <w:hideMark/>
          </w:tcPr>
          <w:p w14:paraId="300DE7C2"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Effect of Failure</w:t>
            </w:r>
          </w:p>
        </w:tc>
        <w:tc>
          <w:tcPr>
            <w:tcW w:w="986" w:type="dxa"/>
            <w:tcBorders>
              <w:top w:val="single" w:sz="4" w:space="0" w:color="7F7F7F" w:themeColor="text1" w:themeTint="80"/>
              <w:left w:val="nil"/>
              <w:right w:val="nil"/>
            </w:tcBorders>
            <w:hideMark/>
          </w:tcPr>
          <w:p w14:paraId="2080B8F9"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Cause of Failure</w:t>
            </w:r>
          </w:p>
        </w:tc>
        <w:tc>
          <w:tcPr>
            <w:tcW w:w="489" w:type="dxa"/>
            <w:tcBorders>
              <w:top w:val="single" w:sz="4" w:space="0" w:color="7F7F7F" w:themeColor="text1" w:themeTint="80"/>
              <w:left w:val="nil"/>
              <w:right w:val="nil"/>
            </w:tcBorders>
            <w:hideMark/>
          </w:tcPr>
          <w:p w14:paraId="0544E47A"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w:t>
            </w:r>
          </w:p>
        </w:tc>
        <w:tc>
          <w:tcPr>
            <w:tcW w:w="515" w:type="dxa"/>
            <w:tcBorders>
              <w:top w:val="single" w:sz="4" w:space="0" w:color="7F7F7F" w:themeColor="text1" w:themeTint="80"/>
              <w:left w:val="nil"/>
              <w:right w:val="nil"/>
            </w:tcBorders>
            <w:hideMark/>
          </w:tcPr>
          <w:p w14:paraId="3EFDE2C1"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O</w:t>
            </w:r>
          </w:p>
        </w:tc>
        <w:tc>
          <w:tcPr>
            <w:tcW w:w="515" w:type="dxa"/>
            <w:tcBorders>
              <w:top w:val="single" w:sz="4" w:space="0" w:color="7F7F7F" w:themeColor="text1" w:themeTint="80"/>
              <w:left w:val="nil"/>
              <w:right w:val="nil"/>
            </w:tcBorders>
            <w:hideMark/>
          </w:tcPr>
          <w:p w14:paraId="2CF0D610"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D</w:t>
            </w:r>
          </w:p>
        </w:tc>
        <w:tc>
          <w:tcPr>
            <w:tcW w:w="713" w:type="dxa"/>
            <w:tcBorders>
              <w:top w:val="single" w:sz="4" w:space="0" w:color="7F7F7F" w:themeColor="text1" w:themeTint="80"/>
              <w:left w:val="nil"/>
              <w:right w:val="nil"/>
            </w:tcBorders>
            <w:hideMark/>
          </w:tcPr>
          <w:p w14:paraId="2E50F663"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RPN</w:t>
            </w:r>
          </w:p>
        </w:tc>
        <w:tc>
          <w:tcPr>
            <w:tcW w:w="1328" w:type="dxa"/>
            <w:tcBorders>
              <w:top w:val="single" w:sz="4" w:space="0" w:color="7F7F7F" w:themeColor="text1" w:themeTint="80"/>
              <w:left w:val="nil"/>
              <w:right w:val="nil"/>
            </w:tcBorders>
            <w:hideMark/>
          </w:tcPr>
          <w:p w14:paraId="7308EDE2"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Control Detection</w:t>
            </w:r>
          </w:p>
        </w:tc>
      </w:tr>
      <w:tr w:rsidR="00D20277" w:rsidRPr="00506B5D" w14:paraId="1CC37C7F" w14:textId="77777777" w:rsidTr="00D202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3" w:type="dxa"/>
            <w:tcBorders>
              <w:left w:val="nil"/>
              <w:right w:val="nil"/>
            </w:tcBorders>
            <w:hideMark/>
          </w:tcPr>
          <w:p w14:paraId="28A74432" w14:textId="77777777" w:rsidR="00D20277" w:rsidRPr="00506B5D" w:rsidRDefault="00D20277"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Stopper (support to hold load movement)</w:t>
            </w:r>
          </w:p>
        </w:tc>
        <w:tc>
          <w:tcPr>
            <w:tcW w:w="962" w:type="dxa"/>
            <w:tcBorders>
              <w:left w:val="nil"/>
              <w:right w:val="nil"/>
            </w:tcBorders>
            <w:hideMark/>
          </w:tcPr>
          <w:p w14:paraId="33EFFA3F"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Steel</w:t>
            </w:r>
          </w:p>
        </w:tc>
        <w:tc>
          <w:tcPr>
            <w:tcW w:w="1059" w:type="dxa"/>
            <w:tcBorders>
              <w:left w:val="nil"/>
              <w:right w:val="nil"/>
            </w:tcBorders>
            <w:hideMark/>
          </w:tcPr>
          <w:p w14:paraId="186012B0"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Stopper does not rise</w:t>
            </w:r>
          </w:p>
        </w:tc>
        <w:tc>
          <w:tcPr>
            <w:tcW w:w="1206" w:type="dxa"/>
            <w:tcBorders>
              <w:left w:val="nil"/>
              <w:right w:val="nil"/>
            </w:tcBorders>
            <w:hideMark/>
          </w:tcPr>
          <w:p w14:paraId="38B9AE93"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Load support does not move up, locomotive remains stationary</w:t>
            </w:r>
          </w:p>
        </w:tc>
        <w:tc>
          <w:tcPr>
            <w:tcW w:w="986" w:type="dxa"/>
            <w:tcBorders>
              <w:left w:val="nil"/>
              <w:right w:val="nil"/>
            </w:tcBorders>
            <w:hideMark/>
          </w:tcPr>
          <w:p w14:paraId="466AFF90"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Stopper nut becomes loose</w:t>
            </w:r>
          </w:p>
        </w:tc>
        <w:tc>
          <w:tcPr>
            <w:tcW w:w="489" w:type="dxa"/>
            <w:tcBorders>
              <w:left w:val="nil"/>
              <w:right w:val="nil"/>
            </w:tcBorders>
            <w:hideMark/>
          </w:tcPr>
          <w:p w14:paraId="11DB2011"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515" w:type="dxa"/>
            <w:tcBorders>
              <w:left w:val="nil"/>
              <w:right w:val="nil"/>
            </w:tcBorders>
            <w:hideMark/>
          </w:tcPr>
          <w:p w14:paraId="1E69DD1B"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515" w:type="dxa"/>
            <w:tcBorders>
              <w:left w:val="nil"/>
              <w:right w:val="nil"/>
            </w:tcBorders>
            <w:hideMark/>
          </w:tcPr>
          <w:p w14:paraId="5E541FBC"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713" w:type="dxa"/>
            <w:tcBorders>
              <w:left w:val="nil"/>
              <w:right w:val="nil"/>
            </w:tcBorders>
            <w:hideMark/>
          </w:tcPr>
          <w:p w14:paraId="5C5261B6"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512</w:t>
            </w:r>
          </w:p>
        </w:tc>
        <w:tc>
          <w:tcPr>
            <w:tcW w:w="1328" w:type="dxa"/>
            <w:tcBorders>
              <w:left w:val="nil"/>
              <w:right w:val="nil"/>
            </w:tcBorders>
            <w:hideMark/>
          </w:tcPr>
          <w:p w14:paraId="5F7B6AF7"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Perform pre-operation testing</w:t>
            </w:r>
          </w:p>
        </w:tc>
      </w:tr>
      <w:tr w:rsidR="00D20277" w:rsidRPr="00506B5D" w14:paraId="176F816C" w14:textId="77777777" w:rsidTr="00D20277">
        <w:trPr>
          <w:jc w:val="center"/>
        </w:trPr>
        <w:tc>
          <w:tcPr>
            <w:cnfStyle w:val="001000000000" w:firstRow="0" w:lastRow="0" w:firstColumn="1" w:lastColumn="0" w:oddVBand="0" w:evenVBand="0" w:oddHBand="0" w:evenHBand="0" w:firstRowFirstColumn="0" w:firstRowLastColumn="0" w:lastRowFirstColumn="0" w:lastRowLastColumn="0"/>
            <w:tcW w:w="1243" w:type="dxa"/>
            <w:tcBorders>
              <w:top w:val="nil"/>
              <w:left w:val="nil"/>
              <w:bottom w:val="single" w:sz="4" w:space="0" w:color="7F7F7F" w:themeColor="text1" w:themeTint="80"/>
              <w:right w:val="nil"/>
            </w:tcBorders>
            <w:hideMark/>
          </w:tcPr>
          <w:p w14:paraId="128BC3CB" w14:textId="77777777" w:rsidR="00D20277" w:rsidRPr="00506B5D" w:rsidRDefault="00D20277"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Drive motor</w:t>
            </w:r>
          </w:p>
        </w:tc>
        <w:tc>
          <w:tcPr>
            <w:tcW w:w="962" w:type="dxa"/>
            <w:tcBorders>
              <w:top w:val="nil"/>
              <w:left w:val="nil"/>
              <w:bottom w:val="single" w:sz="4" w:space="0" w:color="7F7F7F" w:themeColor="text1" w:themeTint="80"/>
              <w:right w:val="nil"/>
            </w:tcBorders>
            <w:hideMark/>
          </w:tcPr>
          <w:p w14:paraId="16E30A4E"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t>
            </w:r>
          </w:p>
        </w:tc>
        <w:tc>
          <w:tcPr>
            <w:tcW w:w="1059" w:type="dxa"/>
            <w:tcBorders>
              <w:top w:val="nil"/>
              <w:left w:val="nil"/>
              <w:bottom w:val="single" w:sz="4" w:space="0" w:color="7F7F7F" w:themeColor="text1" w:themeTint="80"/>
              <w:right w:val="nil"/>
            </w:tcBorders>
            <w:hideMark/>
          </w:tcPr>
          <w:p w14:paraId="1F0F17B9"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Motor overheats</w:t>
            </w:r>
          </w:p>
        </w:tc>
        <w:tc>
          <w:tcPr>
            <w:tcW w:w="1206" w:type="dxa"/>
            <w:tcBorders>
              <w:top w:val="nil"/>
              <w:left w:val="nil"/>
              <w:bottom w:val="single" w:sz="4" w:space="0" w:color="7F7F7F" w:themeColor="text1" w:themeTint="80"/>
              <w:right w:val="nil"/>
            </w:tcBorders>
            <w:hideMark/>
          </w:tcPr>
          <w:p w14:paraId="210DCF54"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Potential motor damage, failure to lift load</w:t>
            </w:r>
          </w:p>
        </w:tc>
        <w:tc>
          <w:tcPr>
            <w:tcW w:w="986" w:type="dxa"/>
            <w:tcBorders>
              <w:top w:val="nil"/>
              <w:left w:val="nil"/>
              <w:bottom w:val="single" w:sz="4" w:space="0" w:color="7F7F7F" w:themeColor="text1" w:themeTint="80"/>
              <w:right w:val="nil"/>
            </w:tcBorders>
            <w:hideMark/>
          </w:tcPr>
          <w:p w14:paraId="29D7890E"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Stopper does not move up, causing the motor to keep running</w:t>
            </w:r>
          </w:p>
        </w:tc>
        <w:tc>
          <w:tcPr>
            <w:tcW w:w="489" w:type="dxa"/>
            <w:tcBorders>
              <w:top w:val="nil"/>
              <w:left w:val="nil"/>
              <w:bottom w:val="single" w:sz="4" w:space="0" w:color="7F7F7F" w:themeColor="text1" w:themeTint="80"/>
              <w:right w:val="nil"/>
            </w:tcBorders>
            <w:hideMark/>
          </w:tcPr>
          <w:p w14:paraId="4CB1B920"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515" w:type="dxa"/>
            <w:tcBorders>
              <w:top w:val="nil"/>
              <w:left w:val="nil"/>
              <w:bottom w:val="single" w:sz="4" w:space="0" w:color="7F7F7F" w:themeColor="text1" w:themeTint="80"/>
              <w:right w:val="nil"/>
            </w:tcBorders>
            <w:hideMark/>
          </w:tcPr>
          <w:p w14:paraId="5917CEB3"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515" w:type="dxa"/>
            <w:tcBorders>
              <w:top w:val="nil"/>
              <w:left w:val="nil"/>
              <w:bottom w:val="single" w:sz="4" w:space="0" w:color="7F7F7F" w:themeColor="text1" w:themeTint="80"/>
              <w:right w:val="nil"/>
            </w:tcBorders>
            <w:hideMark/>
          </w:tcPr>
          <w:p w14:paraId="01618D36"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8</w:t>
            </w:r>
          </w:p>
        </w:tc>
        <w:tc>
          <w:tcPr>
            <w:tcW w:w="713" w:type="dxa"/>
            <w:tcBorders>
              <w:top w:val="nil"/>
              <w:left w:val="nil"/>
              <w:bottom w:val="single" w:sz="4" w:space="0" w:color="7F7F7F" w:themeColor="text1" w:themeTint="80"/>
              <w:right w:val="nil"/>
            </w:tcBorders>
            <w:hideMark/>
          </w:tcPr>
          <w:p w14:paraId="1672FE7A"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512</w:t>
            </w:r>
          </w:p>
        </w:tc>
        <w:tc>
          <w:tcPr>
            <w:tcW w:w="1328" w:type="dxa"/>
            <w:tcBorders>
              <w:top w:val="nil"/>
              <w:left w:val="nil"/>
              <w:bottom w:val="single" w:sz="4" w:space="0" w:color="7F7F7F" w:themeColor="text1" w:themeTint="80"/>
              <w:right w:val="nil"/>
            </w:tcBorders>
            <w:hideMark/>
          </w:tcPr>
          <w:p w14:paraId="54994817"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Conduct periodic maintenance on stopper components</w:t>
            </w:r>
          </w:p>
        </w:tc>
      </w:tr>
    </w:tbl>
    <w:p w14:paraId="2BC4CCF9" w14:textId="77777777" w:rsidR="00D20277" w:rsidRPr="00506B5D" w:rsidRDefault="00D20277" w:rsidP="00506B5D">
      <w:pPr>
        <w:spacing w:after="0" w:line="240" w:lineRule="auto"/>
        <w:ind w:leftChars="0" w:left="2" w:hanging="2"/>
        <w:jc w:val="center"/>
        <w:textDirection w:val="lrTb"/>
        <w:rPr>
          <w:rFonts w:ascii="Arial" w:eastAsia="Arial" w:hAnsi="Arial" w:cs="Arial"/>
          <w:b/>
          <w:bCs/>
          <w:sz w:val="16"/>
          <w:szCs w:val="16"/>
        </w:rPr>
      </w:pPr>
    </w:p>
    <w:p w14:paraId="267F6ED7" w14:textId="77777777" w:rsidR="00D20277" w:rsidRDefault="00D20277" w:rsidP="00D20277">
      <w:pPr>
        <w:pStyle w:val="BODY"/>
        <w:ind w:left="0" w:right="824" w:hanging="2"/>
        <w:sectPr w:rsidR="00D20277" w:rsidSect="00D20277">
          <w:type w:val="continuous"/>
          <w:pgSz w:w="11907" w:h="16840"/>
          <w:pgMar w:top="1701" w:right="1134" w:bottom="1701" w:left="1701" w:header="680" w:footer="680" w:gutter="0"/>
          <w:cols w:space="284"/>
          <w:titlePg/>
        </w:sectPr>
      </w:pPr>
    </w:p>
    <w:p w14:paraId="37F843E6" w14:textId="64718878" w:rsidR="00D20277" w:rsidRDefault="00D20277" w:rsidP="00D20277">
      <w:pPr>
        <w:spacing w:after="0" w:line="240" w:lineRule="auto"/>
        <w:ind w:left="0" w:hanging="2"/>
        <w:jc w:val="both"/>
        <w:textDirection w:val="lrTb"/>
        <w:rPr>
          <w:rFonts w:ascii="Arial" w:eastAsia="Arial" w:hAnsi="Arial" w:cs="Arial"/>
          <w:sz w:val="20"/>
          <w:szCs w:val="20"/>
        </w:rPr>
      </w:pPr>
      <w:r w:rsidRPr="00D20277">
        <w:rPr>
          <w:rFonts w:ascii="Arial" w:eastAsia="Arial" w:hAnsi="Arial" w:cs="Arial"/>
          <w:sz w:val="20"/>
          <w:szCs w:val="20"/>
        </w:rPr>
        <w:t xml:space="preserve">The stopper malfunction, motor overheating, and locomotive tilting were identified as the most critical failure modes, each with an RPN exceeding 500, indicating high-risk conditions (see table 3). If left unaddressed, these failures could lead to mechanical damage and workplace accidents. Therefore, implementing preventive measures such as systematic pre-use checks and </w:t>
      </w:r>
      <w:r w:rsidRPr="00D20277">
        <w:rPr>
          <w:rFonts w:ascii="Arial" w:eastAsia="Arial" w:hAnsi="Arial" w:cs="Arial"/>
          <w:sz w:val="20"/>
          <w:szCs w:val="20"/>
        </w:rPr>
        <w:t>automatic failure detection sensors was deemed necessary.</w:t>
      </w:r>
    </w:p>
    <w:p w14:paraId="728D4EBD" w14:textId="77777777" w:rsidR="005B5E41" w:rsidRDefault="005B5E41" w:rsidP="00D20277">
      <w:pPr>
        <w:spacing w:after="0" w:line="240" w:lineRule="auto"/>
        <w:ind w:left="0" w:hanging="2"/>
        <w:jc w:val="both"/>
        <w:textDirection w:val="lrTb"/>
        <w:rPr>
          <w:rFonts w:ascii="Arial" w:eastAsia="Arial" w:hAnsi="Arial" w:cs="Arial"/>
          <w:sz w:val="20"/>
          <w:szCs w:val="20"/>
        </w:rPr>
      </w:pPr>
    </w:p>
    <w:p w14:paraId="4A51A76B" w14:textId="77777777" w:rsidR="00D20277" w:rsidRDefault="00D20277" w:rsidP="00D20277">
      <w:pPr>
        <w:spacing w:after="0" w:line="240" w:lineRule="auto"/>
        <w:ind w:left="0" w:hanging="2"/>
        <w:jc w:val="both"/>
        <w:textDirection w:val="lrTb"/>
        <w:rPr>
          <w:b/>
          <w:bCs/>
          <w:lang w:val="en-ID"/>
        </w:rPr>
      </w:pPr>
      <w:r w:rsidRPr="00D20277">
        <w:rPr>
          <w:rFonts w:ascii="Arial" w:eastAsia="Arial" w:hAnsi="Arial" w:cs="Arial"/>
          <w:b/>
          <w:color w:val="1F4E79"/>
          <w:sz w:val="20"/>
          <w:szCs w:val="20"/>
        </w:rPr>
        <w:t>Root Cause Analysis Using 5W+1H</w:t>
      </w:r>
    </w:p>
    <w:p w14:paraId="39909E0C" w14:textId="77777777" w:rsidR="00D20277" w:rsidRDefault="00D20277" w:rsidP="00D20277">
      <w:pPr>
        <w:spacing w:after="0" w:line="240" w:lineRule="auto"/>
        <w:ind w:left="0" w:hanging="2"/>
        <w:jc w:val="both"/>
        <w:textDirection w:val="lrTb"/>
        <w:rPr>
          <w:lang w:val="en-ID"/>
        </w:rPr>
      </w:pPr>
      <w:r w:rsidRPr="00D20277">
        <w:rPr>
          <w:rFonts w:ascii="Arial" w:eastAsia="Arial" w:hAnsi="Arial" w:cs="Arial"/>
          <w:sz w:val="20"/>
          <w:szCs w:val="20"/>
        </w:rPr>
        <w:t>To further understand the underlying causes of stopper failures, a 5W+1H (What, Who, Why, When, Where, How) analysis was conducted. This method helps pinpoint failure root causes and determine targeted solutions.</w:t>
      </w:r>
    </w:p>
    <w:p w14:paraId="2E0EF68B" w14:textId="77777777" w:rsidR="00D20277" w:rsidRDefault="00D20277" w:rsidP="00D20277">
      <w:pPr>
        <w:spacing w:after="0" w:line="240" w:lineRule="auto"/>
        <w:ind w:left="0" w:hanging="2"/>
        <w:jc w:val="center"/>
        <w:textDirection w:val="lrTb"/>
        <w:rPr>
          <w:rFonts w:ascii="Arial" w:eastAsia="Arial" w:hAnsi="Arial" w:cs="Arial"/>
          <w:color w:val="000000"/>
          <w:sz w:val="20"/>
          <w:szCs w:val="20"/>
        </w:rPr>
        <w:sectPr w:rsidR="00D20277">
          <w:type w:val="continuous"/>
          <w:pgSz w:w="11907" w:h="16840"/>
          <w:pgMar w:top="1701" w:right="1134" w:bottom="1701" w:left="1701" w:header="680" w:footer="680" w:gutter="0"/>
          <w:cols w:num="2" w:space="720" w:equalWidth="0">
            <w:col w:w="4394" w:space="284"/>
            <w:col w:w="4394" w:space="0"/>
          </w:cols>
          <w:titlePg/>
        </w:sectPr>
      </w:pPr>
    </w:p>
    <w:p w14:paraId="0A511A7B" w14:textId="77777777" w:rsidR="005B5E41" w:rsidRDefault="005B5E41" w:rsidP="00D20277">
      <w:pPr>
        <w:spacing w:after="0" w:line="240" w:lineRule="auto"/>
        <w:ind w:left="0" w:hanging="2"/>
        <w:jc w:val="center"/>
        <w:textDirection w:val="lrTb"/>
        <w:rPr>
          <w:rFonts w:ascii="Arial" w:eastAsia="Arial" w:hAnsi="Arial" w:cs="Arial"/>
          <w:color w:val="000000"/>
          <w:sz w:val="20"/>
          <w:szCs w:val="20"/>
        </w:rPr>
      </w:pPr>
    </w:p>
    <w:p w14:paraId="7C0BF498" w14:textId="1BAE5720" w:rsidR="00D20277" w:rsidRDefault="00D20277" w:rsidP="00D20277">
      <w:pPr>
        <w:spacing w:after="0" w:line="240" w:lineRule="auto"/>
        <w:ind w:left="0" w:hanging="2"/>
        <w:jc w:val="center"/>
        <w:textDirection w:val="lrTb"/>
      </w:pPr>
      <w:r w:rsidRPr="00D20277">
        <w:rPr>
          <w:rFonts w:ascii="Arial" w:eastAsia="Arial" w:hAnsi="Arial" w:cs="Arial"/>
          <w:color w:val="000000"/>
          <w:sz w:val="20"/>
          <w:szCs w:val="20"/>
        </w:rPr>
        <w:t>Table 4. 5W+1H Failure Analysis of Stopper Component</w:t>
      </w:r>
    </w:p>
    <w:tbl>
      <w:tblPr>
        <w:tblStyle w:val="PlainTable21"/>
        <w:tblW w:w="0" w:type="auto"/>
        <w:jc w:val="center"/>
        <w:tblInd w:w="0" w:type="dxa"/>
        <w:tblLook w:val="04A0" w:firstRow="1" w:lastRow="0" w:firstColumn="1" w:lastColumn="0" w:noHBand="0" w:noVBand="1"/>
      </w:tblPr>
      <w:tblGrid>
        <w:gridCol w:w="1288"/>
        <w:gridCol w:w="1288"/>
        <w:gridCol w:w="1288"/>
        <w:gridCol w:w="1288"/>
        <w:gridCol w:w="1288"/>
        <w:gridCol w:w="1288"/>
        <w:gridCol w:w="1288"/>
      </w:tblGrid>
      <w:tr w:rsidR="00D20277" w:rsidRPr="00D20277" w14:paraId="3E172322" w14:textId="77777777" w:rsidTr="00D202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dxa"/>
            <w:tcBorders>
              <w:top w:val="single" w:sz="4" w:space="0" w:color="7F7F7F" w:themeColor="text1" w:themeTint="80"/>
              <w:left w:val="nil"/>
              <w:right w:val="nil"/>
            </w:tcBorders>
            <w:hideMark/>
          </w:tcPr>
          <w:p w14:paraId="71B35AEF" w14:textId="77777777" w:rsidR="00D20277" w:rsidRPr="00506B5D" w:rsidRDefault="00D20277" w:rsidP="00506B5D">
            <w:pPr>
              <w:spacing w:before="0" w:after="0" w:afterAutospacing="0"/>
              <w:ind w:leftChars="0" w:left="2" w:right="0" w:hanging="2"/>
              <w:jc w:val="center"/>
              <w:rPr>
                <w:rFonts w:ascii="Arial" w:eastAsia="Arial" w:hAnsi="Arial" w:cs="Arial"/>
                <w:color w:val="auto"/>
                <w:sz w:val="16"/>
                <w:szCs w:val="16"/>
              </w:rPr>
            </w:pPr>
            <w:r w:rsidRPr="00506B5D">
              <w:rPr>
                <w:rFonts w:ascii="Arial" w:eastAsia="Arial" w:hAnsi="Arial" w:cs="Arial"/>
                <w:color w:val="auto"/>
                <w:sz w:val="16"/>
                <w:szCs w:val="16"/>
              </w:rPr>
              <w:t>What</w:t>
            </w:r>
          </w:p>
        </w:tc>
        <w:tc>
          <w:tcPr>
            <w:tcW w:w="1288" w:type="dxa"/>
            <w:tcBorders>
              <w:top w:val="single" w:sz="4" w:space="0" w:color="7F7F7F" w:themeColor="text1" w:themeTint="80"/>
              <w:left w:val="nil"/>
              <w:right w:val="nil"/>
            </w:tcBorders>
            <w:hideMark/>
          </w:tcPr>
          <w:p w14:paraId="08B47C70"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Who</w:t>
            </w:r>
          </w:p>
        </w:tc>
        <w:tc>
          <w:tcPr>
            <w:tcW w:w="1288" w:type="dxa"/>
            <w:tcBorders>
              <w:top w:val="single" w:sz="4" w:space="0" w:color="7F7F7F" w:themeColor="text1" w:themeTint="80"/>
              <w:left w:val="nil"/>
              <w:right w:val="nil"/>
            </w:tcBorders>
            <w:hideMark/>
          </w:tcPr>
          <w:p w14:paraId="0F1680AC"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Why</w:t>
            </w:r>
          </w:p>
        </w:tc>
        <w:tc>
          <w:tcPr>
            <w:tcW w:w="1288" w:type="dxa"/>
            <w:tcBorders>
              <w:top w:val="single" w:sz="4" w:space="0" w:color="7F7F7F" w:themeColor="text1" w:themeTint="80"/>
              <w:left w:val="nil"/>
              <w:right w:val="nil"/>
            </w:tcBorders>
            <w:hideMark/>
          </w:tcPr>
          <w:p w14:paraId="6D5311DC"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When</w:t>
            </w:r>
          </w:p>
        </w:tc>
        <w:tc>
          <w:tcPr>
            <w:tcW w:w="1288" w:type="dxa"/>
            <w:tcBorders>
              <w:top w:val="single" w:sz="4" w:space="0" w:color="7F7F7F" w:themeColor="text1" w:themeTint="80"/>
              <w:left w:val="nil"/>
              <w:right w:val="nil"/>
            </w:tcBorders>
            <w:hideMark/>
          </w:tcPr>
          <w:p w14:paraId="26E11AC9"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Where</w:t>
            </w:r>
          </w:p>
        </w:tc>
        <w:tc>
          <w:tcPr>
            <w:tcW w:w="1288" w:type="dxa"/>
            <w:tcBorders>
              <w:top w:val="single" w:sz="4" w:space="0" w:color="7F7F7F" w:themeColor="text1" w:themeTint="80"/>
              <w:left w:val="nil"/>
              <w:right w:val="nil"/>
            </w:tcBorders>
            <w:hideMark/>
          </w:tcPr>
          <w:p w14:paraId="24CD6039"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How</w:t>
            </w:r>
          </w:p>
        </w:tc>
        <w:tc>
          <w:tcPr>
            <w:tcW w:w="1288" w:type="dxa"/>
            <w:tcBorders>
              <w:top w:val="single" w:sz="4" w:space="0" w:color="7F7F7F" w:themeColor="text1" w:themeTint="80"/>
              <w:left w:val="nil"/>
              <w:right w:val="nil"/>
            </w:tcBorders>
            <w:hideMark/>
          </w:tcPr>
          <w:p w14:paraId="75F11DF4" w14:textId="77777777" w:rsidR="00D20277" w:rsidRPr="00506B5D" w:rsidRDefault="00D20277" w:rsidP="00506B5D">
            <w:pPr>
              <w:spacing w:before="0" w:after="0" w:afterAutospacing="0"/>
              <w:ind w:leftChars="0" w:left="2" w:righ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Potential Solution</w:t>
            </w:r>
          </w:p>
        </w:tc>
      </w:tr>
      <w:tr w:rsidR="00D20277" w:rsidRPr="00D20277" w14:paraId="34874133" w14:textId="77777777" w:rsidTr="00D202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dxa"/>
            <w:tcBorders>
              <w:left w:val="nil"/>
              <w:right w:val="nil"/>
            </w:tcBorders>
            <w:hideMark/>
          </w:tcPr>
          <w:p w14:paraId="18ABB52F" w14:textId="77777777" w:rsidR="00D20277" w:rsidRPr="00506B5D" w:rsidRDefault="00D20277"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Stopper does not rise and fails to push the load support</w:t>
            </w:r>
          </w:p>
        </w:tc>
        <w:tc>
          <w:tcPr>
            <w:tcW w:w="1288" w:type="dxa"/>
            <w:tcBorders>
              <w:left w:val="nil"/>
              <w:right w:val="nil"/>
            </w:tcBorders>
            <w:hideMark/>
          </w:tcPr>
          <w:p w14:paraId="0E5279C9"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Operator</w:t>
            </w:r>
          </w:p>
        </w:tc>
        <w:tc>
          <w:tcPr>
            <w:tcW w:w="1288" w:type="dxa"/>
            <w:tcBorders>
              <w:left w:val="nil"/>
              <w:right w:val="nil"/>
            </w:tcBorders>
            <w:hideMark/>
          </w:tcPr>
          <w:p w14:paraId="0D16BFDB"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Loose stopper nut</w:t>
            </w:r>
          </w:p>
        </w:tc>
        <w:tc>
          <w:tcPr>
            <w:tcW w:w="1288" w:type="dxa"/>
            <w:tcBorders>
              <w:left w:val="nil"/>
              <w:right w:val="nil"/>
            </w:tcBorders>
            <w:hideMark/>
          </w:tcPr>
          <w:p w14:paraId="3CCAF200"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During jack operation</w:t>
            </w:r>
          </w:p>
        </w:tc>
        <w:tc>
          <w:tcPr>
            <w:tcW w:w="1288" w:type="dxa"/>
            <w:tcBorders>
              <w:left w:val="nil"/>
              <w:right w:val="nil"/>
            </w:tcBorders>
            <w:hideMark/>
          </w:tcPr>
          <w:p w14:paraId="50B2C1BE"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Worksite</w:t>
            </w:r>
          </w:p>
        </w:tc>
        <w:tc>
          <w:tcPr>
            <w:tcW w:w="1288" w:type="dxa"/>
            <w:tcBorders>
              <w:left w:val="nil"/>
              <w:right w:val="nil"/>
            </w:tcBorders>
            <w:hideMark/>
          </w:tcPr>
          <w:p w14:paraId="74BF6465"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Monthly check</w:t>
            </w:r>
          </w:p>
        </w:tc>
        <w:tc>
          <w:tcPr>
            <w:tcW w:w="1288" w:type="dxa"/>
            <w:tcBorders>
              <w:left w:val="nil"/>
              <w:right w:val="nil"/>
            </w:tcBorders>
            <w:hideMark/>
          </w:tcPr>
          <w:p w14:paraId="6D7B76BE"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Install locking nut and automatic sensor</w:t>
            </w:r>
          </w:p>
        </w:tc>
      </w:tr>
      <w:tr w:rsidR="00D20277" w:rsidRPr="00D20277" w14:paraId="524B5443" w14:textId="77777777" w:rsidTr="00D20277">
        <w:trPr>
          <w:jc w:val="center"/>
        </w:trPr>
        <w:tc>
          <w:tcPr>
            <w:cnfStyle w:val="001000000000" w:firstRow="0" w:lastRow="0" w:firstColumn="1" w:lastColumn="0" w:oddVBand="0" w:evenVBand="0" w:oddHBand="0" w:evenHBand="0" w:firstRowFirstColumn="0" w:firstRowLastColumn="0" w:lastRowFirstColumn="0" w:lastRowLastColumn="0"/>
            <w:tcW w:w="1288" w:type="dxa"/>
            <w:tcBorders>
              <w:top w:val="nil"/>
              <w:left w:val="nil"/>
              <w:bottom w:val="nil"/>
              <w:right w:val="nil"/>
            </w:tcBorders>
            <w:hideMark/>
          </w:tcPr>
          <w:p w14:paraId="43DD03D7" w14:textId="77777777" w:rsidR="00D20277" w:rsidRPr="00506B5D" w:rsidRDefault="00D20277"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Motor overheating</w:t>
            </w:r>
          </w:p>
        </w:tc>
        <w:tc>
          <w:tcPr>
            <w:tcW w:w="1288" w:type="dxa"/>
            <w:tcBorders>
              <w:top w:val="nil"/>
              <w:left w:val="nil"/>
              <w:bottom w:val="nil"/>
              <w:right w:val="nil"/>
            </w:tcBorders>
            <w:hideMark/>
          </w:tcPr>
          <w:p w14:paraId="10E91F6F"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Operator</w:t>
            </w:r>
          </w:p>
        </w:tc>
        <w:tc>
          <w:tcPr>
            <w:tcW w:w="1288" w:type="dxa"/>
            <w:tcBorders>
              <w:top w:val="nil"/>
              <w:left w:val="nil"/>
              <w:bottom w:val="nil"/>
              <w:right w:val="nil"/>
            </w:tcBorders>
            <w:hideMark/>
          </w:tcPr>
          <w:p w14:paraId="5A678E02"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Stopper failure causes motor to keep running</w:t>
            </w:r>
          </w:p>
        </w:tc>
        <w:tc>
          <w:tcPr>
            <w:tcW w:w="1288" w:type="dxa"/>
            <w:tcBorders>
              <w:top w:val="nil"/>
              <w:left w:val="nil"/>
              <w:bottom w:val="nil"/>
              <w:right w:val="nil"/>
            </w:tcBorders>
            <w:hideMark/>
          </w:tcPr>
          <w:p w14:paraId="51BFD4C4"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During jack operation</w:t>
            </w:r>
          </w:p>
        </w:tc>
        <w:tc>
          <w:tcPr>
            <w:tcW w:w="1288" w:type="dxa"/>
            <w:tcBorders>
              <w:top w:val="nil"/>
              <w:left w:val="nil"/>
              <w:bottom w:val="nil"/>
              <w:right w:val="nil"/>
            </w:tcBorders>
            <w:hideMark/>
          </w:tcPr>
          <w:p w14:paraId="47524E93"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Worksite</w:t>
            </w:r>
          </w:p>
        </w:tc>
        <w:tc>
          <w:tcPr>
            <w:tcW w:w="1288" w:type="dxa"/>
            <w:tcBorders>
              <w:top w:val="nil"/>
              <w:left w:val="nil"/>
              <w:bottom w:val="nil"/>
              <w:right w:val="nil"/>
            </w:tcBorders>
            <w:hideMark/>
          </w:tcPr>
          <w:p w14:paraId="3B9D4268"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Monthly check</w:t>
            </w:r>
          </w:p>
        </w:tc>
        <w:tc>
          <w:tcPr>
            <w:tcW w:w="1288" w:type="dxa"/>
            <w:tcBorders>
              <w:top w:val="nil"/>
              <w:left w:val="nil"/>
              <w:bottom w:val="nil"/>
              <w:right w:val="nil"/>
            </w:tcBorders>
            <w:hideMark/>
          </w:tcPr>
          <w:p w14:paraId="1B0963EE" w14:textId="77777777" w:rsidR="00D20277" w:rsidRPr="00506B5D" w:rsidRDefault="00D20277" w:rsidP="00506B5D">
            <w:pPr>
              <w:spacing w:before="0" w:after="0" w:afterAutospacing="0"/>
              <w:ind w:leftChars="0" w:left="2" w:right="0" w:hanging="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Install automatic switch-off sensor</w:t>
            </w:r>
          </w:p>
        </w:tc>
      </w:tr>
      <w:tr w:rsidR="00D20277" w:rsidRPr="00D20277" w14:paraId="7023856C" w14:textId="77777777" w:rsidTr="00D202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8" w:type="dxa"/>
            <w:tcBorders>
              <w:left w:val="nil"/>
              <w:right w:val="nil"/>
            </w:tcBorders>
            <w:hideMark/>
          </w:tcPr>
          <w:p w14:paraId="2EEC6E06" w14:textId="77777777" w:rsidR="00D20277" w:rsidRPr="00506B5D" w:rsidRDefault="00D20277" w:rsidP="00506B5D">
            <w:pPr>
              <w:spacing w:before="0" w:after="0" w:afterAutospacing="0"/>
              <w:ind w:leftChars="0" w:left="2" w:right="0" w:hanging="2"/>
              <w:jc w:val="center"/>
              <w:rPr>
                <w:rFonts w:ascii="Arial" w:eastAsia="Arial" w:hAnsi="Arial" w:cs="Arial"/>
                <w:b w:val="0"/>
                <w:bCs w:val="0"/>
                <w:color w:val="auto"/>
                <w:sz w:val="16"/>
                <w:szCs w:val="16"/>
              </w:rPr>
            </w:pPr>
            <w:r w:rsidRPr="00506B5D">
              <w:rPr>
                <w:rFonts w:ascii="Arial" w:eastAsia="Arial" w:hAnsi="Arial" w:cs="Arial"/>
                <w:b w:val="0"/>
                <w:bCs w:val="0"/>
                <w:color w:val="auto"/>
                <w:sz w:val="16"/>
                <w:szCs w:val="16"/>
              </w:rPr>
              <w:t>Locomotive tilts</w:t>
            </w:r>
          </w:p>
        </w:tc>
        <w:tc>
          <w:tcPr>
            <w:tcW w:w="1288" w:type="dxa"/>
            <w:tcBorders>
              <w:left w:val="nil"/>
              <w:right w:val="nil"/>
            </w:tcBorders>
            <w:hideMark/>
          </w:tcPr>
          <w:p w14:paraId="3F45B44C"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Operator</w:t>
            </w:r>
          </w:p>
        </w:tc>
        <w:tc>
          <w:tcPr>
            <w:tcW w:w="1288" w:type="dxa"/>
            <w:tcBorders>
              <w:left w:val="nil"/>
              <w:right w:val="nil"/>
            </w:tcBorders>
            <w:hideMark/>
          </w:tcPr>
          <w:p w14:paraId="70229276"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Uneven jack height</w:t>
            </w:r>
          </w:p>
        </w:tc>
        <w:tc>
          <w:tcPr>
            <w:tcW w:w="1288" w:type="dxa"/>
            <w:tcBorders>
              <w:left w:val="nil"/>
              <w:right w:val="nil"/>
            </w:tcBorders>
            <w:hideMark/>
          </w:tcPr>
          <w:p w14:paraId="7959A450"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During jack operation</w:t>
            </w:r>
          </w:p>
        </w:tc>
        <w:tc>
          <w:tcPr>
            <w:tcW w:w="1288" w:type="dxa"/>
            <w:tcBorders>
              <w:left w:val="nil"/>
              <w:right w:val="nil"/>
            </w:tcBorders>
            <w:hideMark/>
          </w:tcPr>
          <w:p w14:paraId="7F017D2E"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Worksite</w:t>
            </w:r>
          </w:p>
        </w:tc>
        <w:tc>
          <w:tcPr>
            <w:tcW w:w="1288" w:type="dxa"/>
            <w:tcBorders>
              <w:left w:val="nil"/>
              <w:right w:val="nil"/>
            </w:tcBorders>
            <w:hideMark/>
          </w:tcPr>
          <w:p w14:paraId="772C521B"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Monthly check</w:t>
            </w:r>
          </w:p>
        </w:tc>
        <w:tc>
          <w:tcPr>
            <w:tcW w:w="1288" w:type="dxa"/>
            <w:tcBorders>
              <w:left w:val="nil"/>
              <w:right w:val="nil"/>
            </w:tcBorders>
            <w:hideMark/>
          </w:tcPr>
          <w:p w14:paraId="7A56D482" w14:textId="77777777" w:rsidR="00D20277" w:rsidRPr="00506B5D" w:rsidRDefault="00D20277" w:rsidP="00506B5D">
            <w:pPr>
              <w:spacing w:before="0" w:after="0" w:afterAutospacing="0"/>
              <w:ind w:leftChars="0" w:left="2" w:right="0"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6"/>
                <w:szCs w:val="16"/>
              </w:rPr>
            </w:pPr>
            <w:r w:rsidRPr="00506B5D">
              <w:rPr>
                <w:rFonts w:ascii="Arial" w:eastAsia="Arial" w:hAnsi="Arial" w:cs="Arial"/>
                <w:color w:val="auto"/>
                <w:sz w:val="16"/>
                <w:szCs w:val="16"/>
              </w:rPr>
              <w:t>Install height sensors to standardize jack height</w:t>
            </w:r>
          </w:p>
        </w:tc>
      </w:tr>
    </w:tbl>
    <w:p w14:paraId="35369489" w14:textId="77777777" w:rsidR="00D20277" w:rsidRDefault="00D20277" w:rsidP="00D20277">
      <w:pPr>
        <w:pStyle w:val="Figure"/>
        <w:ind w:left="0" w:hanging="2"/>
        <w:jc w:val="both"/>
        <w:rPr>
          <w:lang w:eastAsia="en-US"/>
        </w:rPr>
        <w:sectPr w:rsidR="00D20277" w:rsidSect="00D20277">
          <w:type w:val="continuous"/>
          <w:pgSz w:w="11907" w:h="16840"/>
          <w:pgMar w:top="1701" w:right="1134" w:bottom="1701" w:left="1701" w:header="680" w:footer="680" w:gutter="0"/>
          <w:cols w:space="284"/>
          <w:titlePg/>
        </w:sectPr>
      </w:pPr>
    </w:p>
    <w:p w14:paraId="05FC505C" w14:textId="0D427049" w:rsidR="00D20277" w:rsidRDefault="00D20277" w:rsidP="00D20277">
      <w:pPr>
        <w:spacing w:after="0" w:line="240" w:lineRule="auto"/>
        <w:ind w:left="0" w:hanging="2"/>
        <w:jc w:val="both"/>
        <w:rPr>
          <w:rFonts w:ascii="Arial" w:eastAsia="Arial" w:hAnsi="Arial" w:cs="Arial"/>
          <w:sz w:val="20"/>
          <w:szCs w:val="20"/>
        </w:rPr>
      </w:pPr>
      <w:r w:rsidRPr="00D20277">
        <w:rPr>
          <w:rFonts w:ascii="Arial" w:eastAsia="Arial" w:hAnsi="Arial" w:cs="Arial"/>
          <w:sz w:val="20"/>
          <w:szCs w:val="20"/>
        </w:rPr>
        <w:t>The 5W+1H analysis confirmed that the primary causes of stopper failure were loose locking mechanisms, excessive motor runtime, and inconsistencies in jack height adjustment (see table 4). To prevent recurrence, locking nuts, automatic shutdown sensors, and jack height sensors were recommended as key solutions.</w:t>
      </w:r>
    </w:p>
    <w:p w14:paraId="48DA4F93" w14:textId="7A2B96F0" w:rsidR="00D20277" w:rsidRDefault="00D20277" w:rsidP="00D20277">
      <w:pPr>
        <w:spacing w:after="0" w:line="240" w:lineRule="auto"/>
        <w:ind w:left="0" w:hanging="2"/>
        <w:jc w:val="both"/>
        <w:rPr>
          <w:rFonts w:ascii="Arial" w:eastAsia="Arial" w:hAnsi="Arial" w:cs="Arial"/>
          <w:sz w:val="20"/>
          <w:szCs w:val="20"/>
        </w:rPr>
      </w:pPr>
    </w:p>
    <w:p w14:paraId="6F3E1E32" w14:textId="7DE51C10" w:rsidR="00D20277" w:rsidRDefault="005B5E41" w:rsidP="005B5E41">
      <w:pPr>
        <w:spacing w:after="0" w:line="240" w:lineRule="auto"/>
        <w:ind w:left="0" w:hanging="2"/>
        <w:jc w:val="both"/>
        <w:textDirection w:val="lrTb"/>
        <w:rPr>
          <w:rFonts w:eastAsia="Times New Roman" w:cs="Times New Roman"/>
          <w:b/>
          <w:bCs/>
          <w:position w:val="0"/>
          <w:sz w:val="28"/>
          <w:szCs w:val="28"/>
        </w:rPr>
      </w:pPr>
      <w:r w:rsidRPr="005B5E41">
        <w:rPr>
          <w:rFonts w:ascii="Arial" w:eastAsia="Arial" w:hAnsi="Arial" w:cs="Arial"/>
          <w:b/>
          <w:color w:val="1F4E79"/>
          <w:sz w:val="20"/>
          <w:szCs w:val="20"/>
        </w:rPr>
        <w:t>IoT System Performance Evaluation</w:t>
      </w:r>
    </w:p>
    <w:p w14:paraId="3D19626B" w14:textId="77777777" w:rsidR="00D20277" w:rsidRDefault="00D20277" w:rsidP="005B5E41">
      <w:pPr>
        <w:spacing w:after="0" w:line="240" w:lineRule="auto"/>
        <w:ind w:left="0" w:hanging="2"/>
        <w:jc w:val="both"/>
        <w:textDirection w:val="lrTb"/>
        <w:rPr>
          <w:rFonts w:eastAsiaTheme="minorHAnsi" w:cs="XB Kayhan"/>
          <w:color w:val="000000"/>
          <w:szCs w:val="23"/>
          <w:lang w:val="en-ID"/>
        </w:rPr>
      </w:pPr>
      <w:r w:rsidRPr="005B5E41">
        <w:rPr>
          <w:rFonts w:ascii="Arial" w:eastAsia="Arial" w:hAnsi="Arial" w:cs="Arial"/>
          <w:sz w:val="20"/>
          <w:szCs w:val="20"/>
        </w:rPr>
        <w:t xml:space="preserve">The evaluation of the IoT system performance aims to assess the accuracy, stability, and responsiveness of the sensors in monitoring the condition of the lifting jack in real time. The sensor node used in this system consists of an ESP32 microcontroller, an MPU6050 gyroscope, and an </w:t>
      </w:r>
      <w:r w:rsidRPr="005B5E41">
        <w:rPr>
          <w:rFonts w:ascii="Arial" w:eastAsia="Arial" w:hAnsi="Arial" w:cs="Arial"/>
          <w:sz w:val="20"/>
          <w:szCs w:val="20"/>
        </w:rPr>
        <w:t>HC-SR04 ultrasonic sensor. These components work together to detect changes in the tilt angle and height of the lifting jack and transmit the data to a web-based platform.</w:t>
      </w:r>
    </w:p>
    <w:p w14:paraId="11E17F43" w14:textId="1B3273EE" w:rsidR="00D20277" w:rsidRDefault="00D20277" w:rsidP="00D20277">
      <w:pPr>
        <w:pStyle w:val="BODY"/>
        <w:ind w:left="0" w:right="824" w:hanging="2"/>
        <w:jc w:val="center"/>
        <w:rPr>
          <w:lang w:val="en-ID"/>
        </w:rPr>
      </w:pPr>
      <w:r>
        <w:rPr>
          <w:noProof/>
          <w:lang w:val="en-ID"/>
        </w:rPr>
        <w:drawing>
          <wp:inline distT="0" distB="0" distL="0" distR="0" wp14:anchorId="49994714" wp14:editId="023E5216">
            <wp:extent cx="2919046" cy="159373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t="3114" r="1048" b="2487"/>
                    <a:stretch>
                      <a:fillRect/>
                    </a:stretch>
                  </pic:blipFill>
                  <pic:spPr bwMode="auto">
                    <a:xfrm>
                      <a:off x="0" y="0"/>
                      <a:ext cx="2930206" cy="1599825"/>
                    </a:xfrm>
                    <a:prstGeom prst="rect">
                      <a:avLst/>
                    </a:prstGeom>
                    <a:noFill/>
                    <a:ln>
                      <a:noFill/>
                    </a:ln>
                  </pic:spPr>
                </pic:pic>
              </a:graphicData>
            </a:graphic>
          </wp:inline>
        </w:drawing>
      </w:r>
    </w:p>
    <w:p w14:paraId="12DBDF65" w14:textId="3AC0A830" w:rsidR="00D20277" w:rsidRDefault="00D20277" w:rsidP="005B5E41">
      <w:pPr>
        <w:spacing w:after="0" w:line="240" w:lineRule="auto"/>
        <w:ind w:left="0" w:hanging="2"/>
        <w:jc w:val="center"/>
        <w:textDirection w:val="lrTb"/>
        <w:rPr>
          <w:b/>
          <w:bCs/>
        </w:rPr>
      </w:pPr>
      <w:r w:rsidRPr="005B5E41">
        <w:rPr>
          <w:rFonts w:ascii="Arial" w:eastAsia="Arial" w:hAnsi="Arial" w:cs="Arial"/>
          <w:sz w:val="20"/>
          <w:szCs w:val="20"/>
        </w:rPr>
        <w:lastRenderedPageBreak/>
        <w:t>Fig</w:t>
      </w:r>
      <w:r w:rsidR="005B5E41">
        <w:rPr>
          <w:rFonts w:ascii="Arial" w:eastAsia="Arial" w:hAnsi="Arial" w:cs="Arial"/>
          <w:sz w:val="20"/>
          <w:szCs w:val="20"/>
        </w:rPr>
        <w:t>ure</w:t>
      </w:r>
      <w:r w:rsidRPr="005B5E41">
        <w:rPr>
          <w:rFonts w:ascii="Arial" w:eastAsia="Arial" w:hAnsi="Arial" w:cs="Arial"/>
          <w:sz w:val="20"/>
          <w:szCs w:val="20"/>
        </w:rPr>
        <w:t xml:space="preserve"> 5. Overview Sensor Node IoT</w:t>
      </w:r>
    </w:p>
    <w:p w14:paraId="1815E60F" w14:textId="77777777" w:rsidR="00D20277" w:rsidRDefault="00D20277" w:rsidP="005B5E41">
      <w:pPr>
        <w:spacing w:after="0" w:line="240" w:lineRule="auto"/>
        <w:ind w:left="0" w:hanging="2"/>
        <w:jc w:val="both"/>
        <w:textDirection w:val="lrTb"/>
        <w:rPr>
          <w:lang w:val="en-ID"/>
        </w:rPr>
      </w:pPr>
      <w:r w:rsidRPr="005B5E41">
        <w:rPr>
          <w:rFonts w:ascii="Arial" w:eastAsia="Arial" w:hAnsi="Arial" w:cs="Arial"/>
          <w:sz w:val="20"/>
          <w:szCs w:val="20"/>
        </w:rPr>
        <w:t>The sensor node used in this system plays a crucial role in the monitoring process. Figure 5 illustrates the sensor node configuration, which consists of several main components: the ESP32 microcontroller, responsible for processing data and transmitting it to the IoT platform; the MPU6050 gyroscope, which measures the tilt of the lifting jack to detect its stability; and the HC-SR04 ultrasonic sensor, which measures the distance between the lifting jack and the surface to monitor lifting height. In addition, the system uses a 9V battery as the main power source, allowing the device to operate independently.</w:t>
      </w:r>
    </w:p>
    <w:p w14:paraId="1B27820D" w14:textId="18478D12" w:rsidR="00D20277" w:rsidRDefault="00D20277" w:rsidP="00D20277">
      <w:pPr>
        <w:pStyle w:val="BODY"/>
        <w:ind w:left="0" w:right="824" w:hanging="2"/>
        <w:jc w:val="center"/>
        <w:rPr>
          <w:lang w:val="en-ID"/>
        </w:rPr>
      </w:pPr>
      <w:r>
        <w:rPr>
          <w:noProof/>
          <w:lang w:val="en-ID"/>
        </w:rPr>
        <w:drawing>
          <wp:inline distT="0" distB="0" distL="0" distR="0" wp14:anchorId="1848ABC0" wp14:editId="608E0331">
            <wp:extent cx="2839720" cy="1740877"/>
            <wp:effectExtent l="0" t="0" r="17780" b="12065"/>
            <wp:docPr id="9" name="Chart 9">
              <a:extLst xmlns:a="http://schemas.openxmlformats.org/drawingml/2006/main">
                <a:ext uri="{FF2B5EF4-FFF2-40B4-BE49-F238E27FC236}">
                  <a16:creationId xmlns:a16="http://schemas.microsoft.com/office/drawing/2014/main" id="{16098D42-29A5-4238-92D0-4757179B1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B4F3D4" w14:textId="1FB658C6" w:rsidR="00D20277" w:rsidRDefault="00D20277" w:rsidP="005B5E41">
      <w:pPr>
        <w:spacing w:after="0" w:line="240" w:lineRule="auto"/>
        <w:ind w:left="0" w:hanging="2"/>
        <w:jc w:val="center"/>
        <w:textDirection w:val="lrTb"/>
        <w:rPr>
          <w:lang w:val="en-ID"/>
        </w:rPr>
      </w:pPr>
      <w:r w:rsidRPr="005B5E41">
        <w:rPr>
          <w:rFonts w:ascii="Arial" w:eastAsia="Arial" w:hAnsi="Arial" w:cs="Arial"/>
          <w:sz w:val="20"/>
          <w:szCs w:val="20"/>
        </w:rPr>
        <w:t>Fig</w:t>
      </w:r>
      <w:r w:rsidR="005B5E41" w:rsidRPr="005B5E41">
        <w:rPr>
          <w:rFonts w:ascii="Arial" w:eastAsia="Arial" w:hAnsi="Arial" w:cs="Arial"/>
          <w:sz w:val="20"/>
          <w:szCs w:val="20"/>
        </w:rPr>
        <w:t>ure</w:t>
      </w:r>
      <w:r w:rsidRPr="005B5E41">
        <w:rPr>
          <w:rFonts w:ascii="Arial" w:eastAsia="Arial" w:hAnsi="Arial" w:cs="Arial"/>
          <w:sz w:val="20"/>
          <w:szCs w:val="20"/>
        </w:rPr>
        <w:t xml:space="preserve"> 6. Distance Measurement Comparison Between the HC-SR04 Sensor and Measuring Tape</w:t>
      </w:r>
    </w:p>
    <w:p w14:paraId="19FAF452" w14:textId="77777777" w:rsidR="00D20277" w:rsidRDefault="00D20277" w:rsidP="005B5E41">
      <w:pPr>
        <w:spacing w:after="0" w:line="240" w:lineRule="auto"/>
        <w:ind w:left="0" w:hanging="2"/>
        <w:jc w:val="both"/>
        <w:textDirection w:val="lrTb"/>
        <w:rPr>
          <w:lang w:val="en-ID"/>
        </w:rPr>
      </w:pPr>
      <w:r w:rsidRPr="005B5E41">
        <w:rPr>
          <w:rFonts w:ascii="Arial" w:eastAsia="Arial" w:hAnsi="Arial" w:cs="Arial"/>
          <w:sz w:val="20"/>
          <w:szCs w:val="20"/>
        </w:rPr>
        <w:t>The graph in Figure 6 presents a comparison of distance measurements between the HC-SR04 sensor and manual measurements using a measuring tape across ten consecutive trials. The graph indicates that the results from both methods are very close, with nearly identical trend lines. This demonstrates that the HC-SR04 sensor possesses a high degree of accuracy in measuring vertical distance within the lifting jack system. The difference—illustrated by the gray line—remains close to zero at each measurement point, indicating that the deviation between the sensor readings and manual measurements is minimal and consistent. This proves that the HC-SR04 ultrasonic sensor is capable of providing data nearly equivalent to that obtained through conventional measurement methods, making it suitable for use in IoT-based monitoring systems. The consistency of these results also shows that the sensor performs stably across various distance ranges, from short to long, without showing significant deviations. Therefore, the use of the HC-SR04 sensor in this system enhances the efficiency and effectiveness of real-time lifting height monitoring without compromising data accuracy.</w:t>
      </w:r>
    </w:p>
    <w:p w14:paraId="4B7B9B45" w14:textId="05E5E6B3" w:rsidR="00D20277" w:rsidRDefault="00D20277" w:rsidP="00D20277">
      <w:pPr>
        <w:pStyle w:val="BODY"/>
        <w:ind w:left="0" w:right="824" w:hanging="2"/>
        <w:jc w:val="center"/>
        <w:rPr>
          <w:lang w:val="en-ID"/>
        </w:rPr>
      </w:pPr>
      <w:r>
        <w:rPr>
          <w:noProof/>
          <w:lang w:val="en-ID"/>
        </w:rPr>
        <w:drawing>
          <wp:inline distT="0" distB="0" distL="0" distR="0" wp14:anchorId="36F1A44A" wp14:editId="24A1718D">
            <wp:extent cx="2787161" cy="1819910"/>
            <wp:effectExtent l="0" t="0" r="13335" b="8890"/>
            <wp:docPr id="8" name="Chart 8">
              <a:extLst xmlns:a="http://schemas.openxmlformats.org/drawingml/2006/main">
                <a:ext uri="{FF2B5EF4-FFF2-40B4-BE49-F238E27FC236}">
                  <a16:creationId xmlns:a16="http://schemas.microsoft.com/office/drawing/2014/main" id="{1C016665-0ECF-4D81-82B0-87EF1C4884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0089B8" w14:textId="271BCAFC" w:rsidR="00D20277" w:rsidRDefault="00D20277" w:rsidP="005B5E41">
      <w:pPr>
        <w:spacing w:after="0" w:line="240" w:lineRule="auto"/>
        <w:ind w:left="0" w:hanging="2"/>
        <w:jc w:val="center"/>
        <w:textDirection w:val="lrTb"/>
        <w:rPr>
          <w:b/>
          <w:bCs/>
        </w:rPr>
      </w:pPr>
      <w:r w:rsidRPr="005B5E41">
        <w:rPr>
          <w:rFonts w:ascii="Arial" w:eastAsia="Arial" w:hAnsi="Arial" w:cs="Arial"/>
          <w:sz w:val="20"/>
          <w:szCs w:val="20"/>
        </w:rPr>
        <w:t>Fig</w:t>
      </w:r>
      <w:r w:rsidR="005B5E41">
        <w:rPr>
          <w:rFonts w:ascii="Arial" w:eastAsia="Arial" w:hAnsi="Arial" w:cs="Arial"/>
          <w:sz w:val="20"/>
          <w:szCs w:val="20"/>
        </w:rPr>
        <w:t>ure</w:t>
      </w:r>
      <w:r w:rsidRPr="005B5E41">
        <w:rPr>
          <w:rFonts w:ascii="Arial" w:eastAsia="Arial" w:hAnsi="Arial" w:cs="Arial"/>
          <w:sz w:val="20"/>
          <w:szCs w:val="20"/>
        </w:rPr>
        <w:t xml:space="preserve"> 7. Comparison of Tilt Angle Measurements Between MPU6050 Sensor and Inclinometer</w:t>
      </w:r>
    </w:p>
    <w:p w14:paraId="0FB04804" w14:textId="257EDFAB" w:rsidR="00D20277" w:rsidRPr="00DA13BA" w:rsidRDefault="00D20277" w:rsidP="00DA13BA">
      <w:pPr>
        <w:spacing w:after="0" w:line="240" w:lineRule="auto"/>
        <w:ind w:left="0" w:hanging="2"/>
        <w:jc w:val="both"/>
        <w:textDirection w:val="lrTb"/>
        <w:rPr>
          <w:rFonts w:ascii="Arial" w:eastAsia="Arial" w:hAnsi="Arial" w:cs="Arial"/>
          <w:sz w:val="20"/>
          <w:szCs w:val="20"/>
        </w:rPr>
      </w:pPr>
      <w:r w:rsidRPr="00DA13BA">
        <w:rPr>
          <w:rFonts w:ascii="Arial" w:eastAsia="Arial" w:hAnsi="Arial" w:cs="Arial"/>
          <w:sz w:val="20"/>
          <w:szCs w:val="20"/>
        </w:rPr>
        <w:t>The graph above (see fig</w:t>
      </w:r>
      <w:r w:rsidR="00DA13BA">
        <w:rPr>
          <w:rFonts w:ascii="Arial" w:eastAsia="Arial" w:hAnsi="Arial" w:cs="Arial"/>
          <w:sz w:val="20"/>
          <w:szCs w:val="20"/>
        </w:rPr>
        <w:t>ure</w:t>
      </w:r>
      <w:r w:rsidRPr="00DA13BA">
        <w:rPr>
          <w:rFonts w:ascii="Arial" w:eastAsia="Arial" w:hAnsi="Arial" w:cs="Arial"/>
          <w:sz w:val="20"/>
          <w:szCs w:val="20"/>
        </w:rPr>
        <w:t xml:space="preserve"> 7) presents a comparison of tilt angle measurements between the MPU6050 sensor and a manual measurement reference using an inclinometer. The results from ten trials show that both devices exhibit a nearly identical trend pattern, with angle values steadily increasing throughout the trials. The difference line, depicted by the gray curve, indicates that the deviation between MPU6050 and inclinometer readings remains very small and stable, reflecting minimal deviation. This signifies that the MPU6050 sensor demonstrates a high level of accuracy and precision in detecting changes in tilt angle. The sensor’s performance suggests that the gyroscope-accelerometer technology utilized by MPU6050 is reliable enough to replace conventional measuring instruments, particularly in IoT-based angle monitoring systems that require real-time data accuracy and stability. With its high accuracy and low deviation, integrating the MPU6050 into the lifting jack system can significantly contribute to accurately monitoring the equipment’s position and enhancing operational safety.</w:t>
      </w:r>
    </w:p>
    <w:p w14:paraId="78C771B4" w14:textId="77777777" w:rsidR="00D20277" w:rsidRDefault="00D20277" w:rsidP="00DA13BA">
      <w:pPr>
        <w:spacing w:after="0" w:line="240" w:lineRule="auto"/>
        <w:ind w:left="0" w:hanging="2"/>
        <w:jc w:val="both"/>
        <w:textDirection w:val="lrTb"/>
        <w:rPr>
          <w:lang w:val="en-ID"/>
        </w:rPr>
      </w:pPr>
      <w:r w:rsidRPr="00DA13BA">
        <w:rPr>
          <w:rFonts w:ascii="Arial" w:eastAsia="Arial" w:hAnsi="Arial" w:cs="Arial"/>
          <w:sz w:val="20"/>
          <w:szCs w:val="20"/>
        </w:rPr>
        <w:t xml:space="preserve">To statistically validate the accuracy of the HC-SR04 and MPU6050 sensors, a paired t-test was conducted comparing sensor measurements with manual reference values (using a measuring tape and inclinometer, respectively) across ten trials. The null hypothesis assumes no significant difference between the two measurement methods. For distance measurement (HC-SR04 vs. measuring tape), the t-test yielded a p-value of 0.421 (α = 0.05), indicating that there is no statistically significant difference between sensor and manual readings. Similarly, for tilt angle measurement (MPU6050 vs. inclinometer), the p-value was 0.389, also exceeding the 0.05 threshold. These results support the conclusion that both sensors provide measurements that are statistically equivalent to conventional tools, </w:t>
      </w:r>
      <w:r w:rsidRPr="00DA13BA">
        <w:rPr>
          <w:rFonts w:ascii="Arial" w:eastAsia="Arial" w:hAnsi="Arial" w:cs="Arial"/>
          <w:sz w:val="20"/>
          <w:szCs w:val="20"/>
        </w:rPr>
        <w:lastRenderedPageBreak/>
        <w:t>thereby confirming their reliability for use in predictive monitoring systems. The inclusion of this statistical test reinforces the accuracy claims presented earlier in the graphical comparisons (Figures 6 and 7), offering a more robust justification for the adoption of IoT-based measurements in critical maintenance tasks.</w:t>
      </w:r>
    </w:p>
    <w:p w14:paraId="166205B2" w14:textId="5833EB3D" w:rsidR="00D20277" w:rsidRDefault="00D20277" w:rsidP="00D20277">
      <w:pPr>
        <w:pStyle w:val="BODY"/>
        <w:ind w:left="0" w:right="824" w:hanging="2"/>
        <w:jc w:val="center"/>
        <w:rPr>
          <w:lang w:val="en-ID"/>
        </w:rPr>
      </w:pPr>
      <w:r>
        <w:rPr>
          <w:noProof/>
          <w:lang w:val="en-ID"/>
        </w:rPr>
        <w:drawing>
          <wp:inline distT="0" distB="0" distL="0" distR="0" wp14:anchorId="6F3885EB" wp14:editId="1B9225D2">
            <wp:extent cx="2831123" cy="1749425"/>
            <wp:effectExtent l="0" t="0" r="7620" b="3175"/>
            <wp:docPr id="7" name="Chart 7">
              <a:extLst xmlns:a="http://schemas.openxmlformats.org/drawingml/2006/main">
                <a:ext uri="{FF2B5EF4-FFF2-40B4-BE49-F238E27FC236}">
                  <a16:creationId xmlns:a16="http://schemas.microsoft.com/office/drawing/2014/main" id="{82B50C0A-9130-4EE4-9174-9C96742384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814884" w14:textId="2E79CB51" w:rsidR="00D20277" w:rsidRDefault="00D20277" w:rsidP="00E65D70">
      <w:pPr>
        <w:spacing w:after="0" w:line="240" w:lineRule="auto"/>
        <w:ind w:left="0" w:hanging="2"/>
        <w:jc w:val="center"/>
        <w:textDirection w:val="lrTb"/>
        <w:rPr>
          <w:b/>
          <w:bCs/>
        </w:rPr>
      </w:pPr>
      <w:r w:rsidRPr="00DA13BA">
        <w:rPr>
          <w:rFonts w:ascii="Arial" w:eastAsia="Arial" w:hAnsi="Arial" w:cs="Arial"/>
          <w:sz w:val="20"/>
          <w:szCs w:val="20"/>
        </w:rPr>
        <w:t>Fig</w:t>
      </w:r>
      <w:r w:rsidR="00DA13BA" w:rsidRPr="00DA13BA">
        <w:rPr>
          <w:rFonts w:ascii="Arial" w:eastAsia="Arial" w:hAnsi="Arial" w:cs="Arial"/>
          <w:sz w:val="20"/>
          <w:szCs w:val="20"/>
        </w:rPr>
        <w:t>ure</w:t>
      </w:r>
      <w:r w:rsidRPr="00DA13BA">
        <w:rPr>
          <w:rFonts w:ascii="Arial" w:eastAsia="Arial" w:hAnsi="Arial" w:cs="Arial"/>
          <w:sz w:val="20"/>
          <w:szCs w:val="20"/>
        </w:rPr>
        <w:t xml:space="preserve"> 8. Measurement of Sensor Data Transmission to the Database</w:t>
      </w:r>
    </w:p>
    <w:p w14:paraId="7FC7DB66" w14:textId="5C6A889F" w:rsidR="00D20277" w:rsidRDefault="00D20277" w:rsidP="00E65D70">
      <w:pPr>
        <w:pStyle w:val="BODY"/>
        <w:spacing w:line="240" w:lineRule="auto"/>
        <w:ind w:left="0" w:right="-1" w:hanging="2"/>
        <w:rPr>
          <w:lang w:val="en-ID"/>
        </w:rPr>
      </w:pPr>
      <w:r w:rsidRPr="00DA13BA">
        <w:rPr>
          <w:rFonts w:ascii="Arial" w:eastAsia="Arial" w:hAnsi="Arial" w:cs="Arial"/>
          <w:position w:val="-1"/>
          <w:sz w:val="20"/>
          <w:szCs w:val="20"/>
          <w:lang w:eastAsia="en-US"/>
        </w:rPr>
        <w:t>The graph above (see fig</w:t>
      </w:r>
      <w:r w:rsidR="00DA13BA">
        <w:rPr>
          <w:rFonts w:ascii="Arial" w:eastAsia="Arial" w:hAnsi="Arial" w:cs="Arial"/>
          <w:position w:val="-1"/>
          <w:sz w:val="20"/>
          <w:szCs w:val="20"/>
          <w:lang w:eastAsia="en-US"/>
        </w:rPr>
        <w:t>ure</w:t>
      </w:r>
      <w:r w:rsidRPr="00DA13BA">
        <w:rPr>
          <w:rFonts w:ascii="Arial" w:eastAsia="Arial" w:hAnsi="Arial" w:cs="Arial"/>
          <w:position w:val="-1"/>
          <w:sz w:val="20"/>
          <w:szCs w:val="20"/>
          <w:lang w:eastAsia="en-US"/>
        </w:rPr>
        <w:t xml:space="preserve"> 8) illustrates the number of sensor data transmissions to the database over a 10-day period, from May 6 to May 15, 2024. Four key indicators are presented in this graph: the number of actual data successfully transmitted (Number of data), the ideal number of data that should have been transmitted (Ideal), the number of lost data points (Loss data), and the percentage of data loss (% Loss data). Overall, the number of actual data received is slightly lower than the ideal number each day, indicating some data loss during the transmission process. However, both the absolute and percentage values of data loss remain low and relatively consistent on a daily basis, which reflects the stability of the IoT data communication system. The system's performance in transmitting sensor data to the database can be considered reliable, given the minimal data loss observed. The losses are likely caused by external factors such as network disturbances, brief power interruptions, or server latency. Therefore, the IoT system used in this study demonstrates high reliability and is suitable for continuous long-term monitoring applications.</w:t>
      </w:r>
    </w:p>
    <w:p w14:paraId="3138C407" w14:textId="5AAAEE7E" w:rsidR="00D20277" w:rsidRDefault="00D20277" w:rsidP="00E65D70">
      <w:pPr>
        <w:pStyle w:val="BODY"/>
        <w:spacing w:line="240" w:lineRule="auto"/>
        <w:ind w:left="0" w:right="-1" w:hanging="2"/>
        <w:jc w:val="center"/>
        <w:rPr>
          <w:lang w:val="en-ID"/>
        </w:rPr>
      </w:pPr>
      <w:r>
        <w:rPr>
          <w:noProof/>
          <w:lang w:val="en-ID"/>
        </w:rPr>
        <w:drawing>
          <wp:inline distT="0" distB="0" distL="0" distR="0" wp14:anchorId="66767CCF" wp14:editId="50B7CAAE">
            <wp:extent cx="2759207" cy="1788377"/>
            <wp:effectExtent l="0" t="0" r="317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50812"/>
                    <a:stretch>
                      <a:fillRect/>
                    </a:stretch>
                  </pic:blipFill>
                  <pic:spPr bwMode="auto">
                    <a:xfrm>
                      <a:off x="0" y="0"/>
                      <a:ext cx="2775489" cy="1798930"/>
                    </a:xfrm>
                    <a:prstGeom prst="rect">
                      <a:avLst/>
                    </a:prstGeom>
                    <a:noFill/>
                    <a:ln>
                      <a:noFill/>
                    </a:ln>
                  </pic:spPr>
                </pic:pic>
              </a:graphicData>
            </a:graphic>
          </wp:inline>
        </w:drawing>
      </w:r>
    </w:p>
    <w:p w14:paraId="69C510A4" w14:textId="2CF8C94D" w:rsidR="00D20277" w:rsidRDefault="00D20277" w:rsidP="00E65D70">
      <w:pPr>
        <w:spacing w:after="0" w:line="240" w:lineRule="auto"/>
        <w:ind w:left="0" w:hanging="2"/>
        <w:jc w:val="center"/>
        <w:textDirection w:val="lrTb"/>
        <w:rPr>
          <w:b/>
          <w:bCs/>
        </w:rPr>
      </w:pPr>
      <w:r w:rsidRPr="00DA13BA">
        <w:rPr>
          <w:rFonts w:ascii="Arial" w:eastAsia="Arial" w:hAnsi="Arial" w:cs="Arial"/>
          <w:sz w:val="20"/>
          <w:szCs w:val="20"/>
        </w:rPr>
        <w:t xml:space="preserve">Figure 9. </w:t>
      </w:r>
      <w:r w:rsidR="00662052" w:rsidRPr="00662052">
        <w:rPr>
          <w:rFonts w:ascii="Arial" w:eastAsia="Arial" w:hAnsi="Arial" w:cs="Arial"/>
          <w:sz w:val="20"/>
          <w:szCs w:val="20"/>
        </w:rPr>
        <w:t>User Web Interface for the Lifting Jack Monitoring System</w:t>
      </w:r>
    </w:p>
    <w:p w14:paraId="481C4416" w14:textId="77777777" w:rsidR="00D20277" w:rsidRDefault="00D20277" w:rsidP="00E65D70">
      <w:pPr>
        <w:pStyle w:val="BODY"/>
        <w:spacing w:line="240" w:lineRule="auto"/>
        <w:ind w:left="0" w:right="-1" w:hanging="2"/>
        <w:rPr>
          <w:lang w:val="en-ID"/>
        </w:rPr>
      </w:pPr>
      <w:r w:rsidRPr="00DA13BA">
        <w:rPr>
          <w:rFonts w:ascii="Arial" w:eastAsia="Arial" w:hAnsi="Arial" w:cs="Arial"/>
          <w:position w:val="-1"/>
          <w:sz w:val="20"/>
          <w:szCs w:val="20"/>
          <w:lang w:eastAsia="en-US"/>
        </w:rPr>
        <w:t>Figure 9 above displays the web interface of the Lifting Jack monitoring system, which is accessed via a browser on a PC or laptop. This interface shows two key parameters from the sensor readings in real-time: distance and inclination. The detected distance is 5.68 cm, measured by the HCSR-04 ultrasonic sensor. Meanwhile, the inclination values along three axes (X, Y, and Z) are recorded by the MPU6050 sensor, with results of X: -0.01 rad, Y: -0.03 rad, and Z: 0.30 rad, respectively. This information is crucial for accurately monitoring the condition and stability of the lifting jack, especially to ensure that the lifting process occurs within safe inclination limits. The interface is designed to be simple yet informative, facilitating quick user comprehension of the tool’s condition and enhancing the effectiveness of remote monitoring within the implemented IoT system.</w:t>
      </w:r>
    </w:p>
    <w:p w14:paraId="7F6CD808" w14:textId="6A0C17EE" w:rsidR="00D20277" w:rsidRDefault="00D20277" w:rsidP="00E65D70">
      <w:pPr>
        <w:pStyle w:val="BODY"/>
        <w:spacing w:line="240" w:lineRule="auto"/>
        <w:ind w:left="0" w:right="824" w:hanging="2"/>
        <w:jc w:val="center"/>
        <w:rPr>
          <w:lang w:val="en-ID"/>
        </w:rPr>
      </w:pPr>
      <w:r>
        <w:rPr>
          <w:noProof/>
          <w:lang w:val="en-ID"/>
        </w:rPr>
        <w:drawing>
          <wp:inline distT="0" distB="0" distL="0" distR="0" wp14:anchorId="6A9EF587" wp14:editId="034F716B">
            <wp:extent cx="2935975" cy="152107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3427" cy="1530111"/>
                    </a:xfrm>
                    <a:prstGeom prst="rect">
                      <a:avLst/>
                    </a:prstGeom>
                    <a:noFill/>
                    <a:ln>
                      <a:noFill/>
                    </a:ln>
                  </pic:spPr>
                </pic:pic>
              </a:graphicData>
            </a:graphic>
          </wp:inline>
        </w:drawing>
      </w:r>
    </w:p>
    <w:p w14:paraId="0DA89528" w14:textId="77777777" w:rsidR="00D20277" w:rsidRDefault="00D20277" w:rsidP="00E65D70">
      <w:pPr>
        <w:spacing w:after="0" w:line="240" w:lineRule="auto"/>
        <w:ind w:left="0" w:hanging="2"/>
        <w:jc w:val="center"/>
        <w:textDirection w:val="lrTb"/>
        <w:rPr>
          <w:b/>
          <w:bCs/>
        </w:rPr>
      </w:pPr>
      <w:r w:rsidRPr="00DA13BA">
        <w:rPr>
          <w:rFonts w:ascii="Arial" w:eastAsia="Arial" w:hAnsi="Arial" w:cs="Arial"/>
          <w:sz w:val="20"/>
          <w:szCs w:val="20"/>
        </w:rPr>
        <w:t>Figure 10. System Implementation in a Locomotive Maintenance Company</w:t>
      </w:r>
    </w:p>
    <w:p w14:paraId="00000038" w14:textId="40948898" w:rsidR="00FF0465" w:rsidRDefault="00D20277" w:rsidP="00E65D70">
      <w:pPr>
        <w:pStyle w:val="BODY"/>
        <w:spacing w:line="240" w:lineRule="auto"/>
        <w:ind w:left="0" w:right="-1" w:hanging="2"/>
        <w:textDirection w:val="btLr"/>
        <w:rPr>
          <w:rFonts w:ascii="Arial" w:eastAsia="Arial" w:hAnsi="Arial" w:cs="Arial"/>
          <w:color w:val="000000"/>
          <w:sz w:val="20"/>
          <w:szCs w:val="20"/>
        </w:rPr>
      </w:pPr>
      <w:r w:rsidRPr="00DA13BA">
        <w:rPr>
          <w:rFonts w:ascii="Arial" w:eastAsia="Arial" w:hAnsi="Arial" w:cs="Arial"/>
          <w:position w:val="-1"/>
          <w:sz w:val="20"/>
          <w:szCs w:val="20"/>
          <w:lang w:eastAsia="en-US"/>
        </w:rPr>
        <w:t xml:space="preserve">Figure 10 illustrates the real-world implementation of the sensor monitoring system at a locomotive maintenance company, carried out by a field technical team. The image shows two main activities during the installation and testing process: on the left side, the team is seen installing or calibrating the sensor on the structure of the lifting jack, which is used to elevate the locomotive body for maintenance or inspection purposes. On the right side of the image, the team </w:t>
      </w:r>
      <w:r w:rsidRPr="00DA13BA">
        <w:rPr>
          <w:rFonts w:ascii="Arial" w:eastAsia="Arial" w:hAnsi="Arial" w:cs="Arial"/>
          <w:position w:val="-1"/>
          <w:sz w:val="20"/>
          <w:szCs w:val="20"/>
          <w:lang w:eastAsia="en-US"/>
        </w:rPr>
        <w:lastRenderedPageBreak/>
        <w:t>appears to be testing sensor readings beneath the locomotive, likely validating distance or inclination measurements directly using a mobile device or mini computer. The presence of personal protective equipment (such as safety helmets and work uniforms) indicates that the activity is conducted following occupational safety procedures. This documentation demonstrates that the developed system is not limited to simulations or laboratory setups but has been successfully deployed in a real industrial environment. It forms part of the ongoing digitalization of locomotive maintenance processes through the application of IoT technology.</w:t>
      </w:r>
    </w:p>
    <w:p w14:paraId="00000039" w14:textId="00DF0EEA" w:rsidR="00FF0465" w:rsidRDefault="00DA13BA">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DA13BA">
        <w:rPr>
          <w:rFonts w:ascii="Arial" w:eastAsia="Arial" w:hAnsi="Arial" w:cs="Arial"/>
          <w:b/>
          <w:color w:val="1F4E79"/>
          <w:sz w:val="20"/>
          <w:szCs w:val="20"/>
        </w:rPr>
        <w:t>Implications for the Railway Industry</w:t>
      </w:r>
      <w:r w:rsidR="00500ED1">
        <w:rPr>
          <w:rFonts w:ascii="Arial" w:eastAsia="Arial" w:hAnsi="Arial" w:cs="Arial"/>
          <w:color w:val="000000"/>
          <w:sz w:val="20"/>
          <w:szCs w:val="20"/>
        </w:rPr>
        <w:t xml:space="preserve"> </w:t>
      </w:r>
    </w:p>
    <w:p w14:paraId="4EF7A7CE" w14:textId="61E6A24E" w:rsidR="00DA13BA" w:rsidRPr="00DA13BA" w:rsidRDefault="00DA13BA" w:rsidP="00DA13BA">
      <w:pPr>
        <w:pStyle w:val="ListParagraph"/>
        <w:numPr>
          <w:ilvl w:val="0"/>
          <w:numId w:val="7"/>
        </w:numPr>
        <w:pBdr>
          <w:top w:val="nil"/>
          <w:left w:val="nil"/>
          <w:bottom w:val="nil"/>
          <w:right w:val="nil"/>
          <w:between w:val="nil"/>
        </w:pBdr>
        <w:shd w:val="clear" w:color="auto" w:fill="FFFFFF"/>
        <w:spacing w:after="0" w:line="240" w:lineRule="auto"/>
        <w:ind w:leftChars="0" w:firstLineChars="0"/>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Cost Efficiency &amp; Enhanced Work Safety through Predictive Maintenance</w:t>
      </w:r>
    </w:p>
    <w:p w14:paraId="0DED5777" w14:textId="2A6575A0"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The implementation of IoT-based predictive maintenance in the railway industry offers two major benefits: cost efficiency and improved work safety. By enabling early detection of potential equipment failures, this system helps reduce downtime, extend equipment lifespan, and lower maintenance costs by up to 30–40% compared to time-based maintenance</w:t>
      </w:r>
      <w:r w:rsidR="00F65AB6">
        <w:rPr>
          <w:rFonts w:ascii="Arial" w:eastAsia="Arial" w:hAnsi="Arial" w:cs="Arial"/>
          <w:color w:val="000000"/>
          <w:sz w:val="20"/>
          <w:szCs w:val="20"/>
        </w:rPr>
        <w:t xml:space="preserve"> </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{"citationItems":[{"id":"ITEM-1","itemData":{"DOI":"10.1016/j.aej.2023.12.065","ISSN":"11100168","abstract":"Unplanned outage in industry due to machine failures can lead to significant production losses and increased maintenance costs. Predictive maintenance methods use the data collected from IoT-enabled devices installed in working machines to detect incipient faults and prevent major failures. In this study, a predictive maintenance system based on machine learning algorithms, specifically AdaBoost, is presented to classify different types of machines stops in real-time with application in knitting machines. The data collected from the machines include machine speeds and steps, which were pre-processed and fed into the machine learning model to classify six types of machines stops: gate stop, feeder stop, needle stop, completed roll stop, idle stop, and lycra stop. The model is trained and optimized using a combination of hyperparameter tuning and cross-validation techniques to achieve an accuracy of 92% on the test set. The results demonstrate the potential of the proposed system to accurately classify machine stops and enable timely maintenance actions; thereby, improving the overall efficiency and productivity of the textile industry.","author":[{"dropping-particle":"","family":"Elkateb","given":"Sherien","non-dropping-particle":"","parse-names":false,"suffix":""},{"dropping-particle":"","family":"Métwalli","given":"Ahmed","non-dropping-particle":"","parse-names":false,"suffix":""},{"dropping-particle":"","family":"Shendy","given":"Abdelrahman","non-dropping-particle":"","parse-names":false,"suffix":""},{"dropping-particle":"","family":"Abu-Elanien","given":"Ahmed E.B.","non-dropping-particle":"","parse-names":false,"suffix":""}],"container-title":"Alexandria Engineering Journal","id":"ITEM-1","issued":{"date-parts":[["2024"]]},"title":"Machine learning and IoT – Based predictive maintenance approach for industrial applications","type":"article-journal","volume":"88"},"uris":["http://www.mendeley.com/documents/?uuid=b7984332-2e97-3d52-aad6-52764b88e855"]}],"mendeley":{"formattedCitation":"[38]","plainTextFormattedCitation":"[38]","previouslyFormattedCitation":"[38]"},"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[38]</w:t>
      </w:r>
      <w:r w:rsidR="00F65AB6">
        <w:rPr>
          <w:rFonts w:ascii="Arial" w:eastAsia="Arial" w:hAnsi="Arial" w:cs="Arial"/>
          <w:color w:val="000000"/>
          <w:sz w:val="20"/>
          <w:szCs w:val="20"/>
        </w:rPr>
        <w:fldChar w:fldCharType="end"/>
      </w:r>
      <w:r w:rsidRPr="00DA13BA">
        <w:rPr>
          <w:rFonts w:ascii="Arial" w:eastAsia="Arial" w:hAnsi="Arial" w:cs="Arial"/>
          <w:color w:val="000000"/>
          <w:sz w:val="20"/>
          <w:szCs w:val="20"/>
        </w:rPr>
        <w:t>. In this study, the use of HC-SR04 and MPU6050 sensors allows real-time monitoring of distance and inclination on lifting jacks, providing early warnings of deviations that may indicate failure risks.</w:t>
      </w:r>
    </w:p>
    <w:p w14:paraId="65412A99" w14:textId="3468F9DD"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 xml:space="preserve">This approach directly reduces the likelihood of work-related accidents caused by lifting device failures </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{"citationItems":[{"id":"ITEM-1","itemData":{"DOI":"10.3233/ATDE230479","ISSN":"23527528","abstract":"Mobile lifting jack is one of the important equipment to CRH train overhaul, mostly in the manual mobile lifting jack. The JC-17B mobile lifting jack is often used as a lifting jack of CRH, which can implement lifting operations of 8 and 16 trains simultaneously. The mobile lifting jack mainly consists of the rack, transmission device, head supporting portion, walking device and other components. For efficiency, some structural modifications have been carried out, with electric pushing rods used for the expansion and contraction of the head supporting portion, and motor drive used for the walking device. At the same time, the original motor has been modified from the traditional top installation to the bottom installation to facilitate the maintenance of the lifting jack. Rack as an important component bears all loads, and its mechanical properties, especially the strength, play an important role in the normal operation of the entire equipment. This is the use of modern design method, using Pro/E, ANSYS and other modern engineering software platform, to do mechanical and modal analysis for rack on JC-17B mobile lifting jack, complete the rack design optimization, The analysis results show that the maximum stress is, which does not exceed the yield limit. Additionally, the thickness of the rack is reduced by 2mm, and the mass is reduced by 21.9%, thereby having saved materials and reduced production costs. Practice has proved that the mobile lifting jack developed based on the optimization method in this paper works well in actual operation, and for the future of all types of mobile lifting jack development, technological transformation and equipment renewal provides a reliable basis for the design.","author":[{"dropping-particle":"","family":"Zhang","given":"Shiqiang","non-dropping-particle":"","parse-names":false,"suffix":""},{"dropping-particle":"","family":"Chen","given":"Qian","non-dropping-particle":"","parse-names":false,"suffix":""},{"dropping-particle":"","family":"Lei","given":"Ming","non-dropping-particle":"","parse-names":false,"suffix":""}],"container-title":"Advances in Transdisciplinary Engineering","id":"ITEM-1","issued":{"date-parts":[["2023"]]},"title":"Finite Element Analysis on the Rack of the JC-17B Mobile Lifting Jack","type":"paper-conference","volume":"40"},"uris":["http://www.mendeley.com/documents/?uuid=082fdb1a-819a-363b-81fb-4ac505851fb2"]}],"mendeley":{"formattedCitation":"[17]","plainTextFormattedCitation":"[17]","previouslyFormattedCitation":"[17]"},"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[17]</w:t>
      </w:r>
      <w:r w:rsidR="00F65AB6">
        <w:rPr>
          <w:rFonts w:ascii="Arial" w:eastAsia="Arial" w:hAnsi="Arial" w:cs="Arial"/>
          <w:color w:val="000000"/>
          <w:sz w:val="20"/>
          <w:szCs w:val="20"/>
        </w:rPr>
        <w:fldChar w:fldCharType="end"/>
      </w:r>
      <w:r w:rsidRPr="00DA13BA">
        <w:rPr>
          <w:rFonts w:ascii="Arial" w:eastAsia="Arial" w:hAnsi="Arial" w:cs="Arial"/>
          <w:color w:val="000000"/>
          <w:sz w:val="20"/>
          <w:szCs w:val="20"/>
        </w:rPr>
        <w:t xml:space="preserve">. Moreover, it enhances logistical efficiency, optimizes technician scheduling, and supports historical data analysis for strategic, data-driven decision-making </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{"citationItems":[{"id":"ITEM-1","itemData":{"DOI":"10.1016/j.autcon.2022.104625","ISSN":"09265805 (ISSN)","abstract":"Effective environmental condition monitoring provides constant surveillance of the built environment and reveals deteriorations that could impact the daily operation of facilities, especially amid COVID situations. However, the current Industry Foundation Classes (IFC) data schema for Building Information Modelling (BIM) provided limited support to represent full semantics related to environmental sensing and monitoring. How to semantically enrich the IFC schema with enhanced data description capability for informed decision-making in smart facilities management (FM) amid COVID situations remains an open question. This paper develops a semi-automatic extension and integration of IFC data schema with Sensor Model Language (SensorML) specification in order to support automated built environment sensing and monitoring. Referring to SensorML, an extended IFC model view definition for a comprehensive description of required sensor metadata and sensing entities is presented. An Internet of Things (IoT) sensor network is then established to realise continuous data collection from a variety of wireless sensing devices. The spatial-temporal data captured by the IoT sensor network are extracted by a regular expression-based data distillation algorithm and integrated with the digital twin, in which spatial interpolation algorithms further analyse, compute, and visualise the state of the environment. The proposed method is demonstrated via an experimental study which supports real-time environmental monitoring and delivers more actionable insights to facility managers to sustain the daily operation of buildings. This study contributes new methods and models to semantically enrich the digital twin from the data perspective for environmental condition monitoring during the pandemic time which fosters the development of holistic building facility management. © 2022","author":[{"dropping-particle":"","family":"Wang","given":"T","non-dropping-particle":"","parse-names":false,"suffix":""},{"dropping-particle":"","family":"Gan","given":"V J L","non-dropping-particle":"","parse-names":false,"suffix":""},{"dropping-particle":"","family":"Hu","given":"D","non-dropping-particle":"","parse-names":false,"suffix":""},{"dropping-particle":"","family":"Liu","given":"H","non-dropping-particle":"","parse-names":false,"suffix":""}],"container-title":"Automation in Construction","id":"ITEM-1","issued":{"date-parts":[["2022"]]},"language":"English","note":"Export Date: 16 July 2024; Cited By: 26; Correspondence Address: V.J.L. Gan; Department of the Built Environment, National University of Singapore, 117566, Singapore; email: vincent.gan@nus.edu.sg; CODEN: AUCOE","publisher":"Elsevier B.V.","publisher-place":"Department of the Built Environment, National University of Singapore, 117566, Singapore","title":"Digital twin-enabled built environment sensing and monitoring through semantic enrichment of BIM with SensorML","type":"article-journal","volume":"144"},"uris":["http://www.mendeley.com/documents/?uuid=57d61b64-620b-425f-a37d-86cefca1c600"]}],"mendeley":{"formattedCitation":"[39]","plainTextFormattedCitation":"[39]","previouslyFormattedCitation":"[39]"},"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[39]</w:t>
      </w:r>
      <w:r w:rsidR="00F65AB6">
        <w:rPr>
          <w:rFonts w:ascii="Arial" w:eastAsia="Arial" w:hAnsi="Arial" w:cs="Arial"/>
          <w:color w:val="000000"/>
          <w:sz w:val="20"/>
          <w:szCs w:val="20"/>
        </w:rPr>
        <w:fldChar w:fldCharType="end"/>
      </w:r>
      <w:r w:rsidRPr="00DA13BA">
        <w:rPr>
          <w:rFonts w:ascii="Arial" w:eastAsia="Arial" w:hAnsi="Arial" w:cs="Arial"/>
          <w:color w:val="000000"/>
          <w:sz w:val="20"/>
          <w:szCs w:val="20"/>
        </w:rPr>
        <w:t>. Through alerts delivered via web interfaces and mobile applications, the system aligns with the safety-by-design principle</w:t>
      </w:r>
      <w:r w:rsidR="00F65AB6">
        <w:rPr>
          <w:rFonts w:ascii="Arial" w:eastAsia="Arial" w:hAnsi="Arial" w:cs="Arial"/>
          <w:color w:val="000000"/>
          <w:sz w:val="20"/>
          <w:szCs w:val="20"/>
        </w:rPr>
        <w:t xml:space="preserve"> </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{"citationItems":[{"id":"ITEM-1","itemData":{"DOI":"10.1002/9781119377351","abstract":"Risk Assessment: Theory, Methods, and Applications remains one of the few textbooks to address current risk analysis and risk assessment with an emphasis on the possibility of sudden, major accidents across various areas of practice—from machinery and manufacturing processes to nuclear power plants and transportation systems. Updated to align with ISO 31000 and other amended standards, this all-new 2nd Edition discusses the main ideas and techniques for assessing risk today. The book begins with an introduction of risk analysis, assessment, and management, and includes a new section on the history of risk analysis. It covers hazards and threats, how to measure and evaluate risk, and risk management. It also adds new sections on risk governance and risk-informed decision making; combining accident theories and criteria for evaluating data sources; and subjective probabilities. The risk assessment process is covered, as are how to establish context; planning and preparing; and identification, analysis, and evaluation of risk. Risk Assessment also offers new coverage of safe job analysis and semi-quantitative methods, and it discusses barrier management and HRA methods for offshore application. Finally, it looks at dynamic risk analysis, security and life-cycle use of risk. Serves as a practical and modern guide to the current applications of risk analysis and assessment, supports key standards, and supplements legislation related to risk analysis Updated and revised to align with ISO 31000 Risk Management and other new standards and includes new chapters on security, dynamic risk analysis, as well as life-cycle use of risk analysis Provides in-depth coverage on hazard identification, methodologically outlining the steps for use of checklists, conducting preliminary hazard analysis, and job safety analysis Presents new coverage on the history of risk analysis, criteria for evaluating data sources, risk-informed decision making, subjective probabilities, semi-quantitative methods, and barrier management Contains more applications and examples, new and revised problems throughout, and detailed appendices that outline key terms and acronyms Supplemented with a book companion website containing Solutions to problems, presentation material and an Instructor Manual Risk Assessment: Theory, Methods, and Applications, Second Edition is ideal for courses on risk analysis/risk assessment and systems engineering at the upper-undergraduate and graduate levels. It is a…","author":[{"dropping-particle":"","family":"Rausand","given":"Marvin","non-dropping-particle":"","parse-names":false,"suffix":""},{"dropping-particle":"","family":"Haugen","given":"Stein","non-dropping-particle":"","parse-names":false,"suffix":""}],"container-title":"Risk Assessment: Theory, Methods, and Applications","id":"ITEM-1","issued":{"date-parts":[["2020"]]},"title":"Risk assessment: Theory, methods, and applications","type":"book"},"uris":["http://www.mendeley.com/documents/?uuid=7085c4e6-412b-36cd-ba39-f44ca74d0d0d"]}],"mendeley":{"formattedCitation":"[40]","plainTextFormattedCitation":"[40]","previouslyFormattedCitation":"[40]"},"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[40]</w:t>
      </w:r>
      <w:r w:rsidR="00F65AB6">
        <w:rPr>
          <w:rFonts w:ascii="Arial" w:eastAsia="Arial" w:hAnsi="Arial" w:cs="Arial"/>
          <w:color w:val="000000"/>
          <w:sz w:val="20"/>
          <w:szCs w:val="20"/>
        </w:rPr>
        <w:fldChar w:fldCharType="end"/>
      </w:r>
      <w:r w:rsidRPr="00DA13BA">
        <w:rPr>
          <w:rFonts w:ascii="Arial" w:eastAsia="Arial" w:hAnsi="Arial" w:cs="Arial"/>
          <w:color w:val="000000"/>
          <w:sz w:val="20"/>
          <w:szCs w:val="20"/>
        </w:rPr>
        <w:t>, reducing mental workload, ensuring compliance with SOPs, and strengthening the safety culture in the workplace.</w:t>
      </w:r>
    </w:p>
    <w:p w14:paraId="100C1C88" w14:textId="66BCC959" w:rsidR="00DA13BA" w:rsidRPr="00DA13BA" w:rsidRDefault="00DA13BA" w:rsidP="00DA13BA">
      <w:pPr>
        <w:pStyle w:val="ListParagraph"/>
        <w:numPr>
          <w:ilvl w:val="0"/>
          <w:numId w:val="7"/>
        </w:numPr>
        <w:pBdr>
          <w:top w:val="nil"/>
          <w:left w:val="nil"/>
          <w:bottom w:val="nil"/>
          <w:right w:val="nil"/>
          <w:between w:val="nil"/>
        </w:pBdr>
        <w:shd w:val="clear" w:color="auto" w:fill="FFFFFF"/>
        <w:spacing w:after="0" w:line="240" w:lineRule="auto"/>
        <w:ind w:leftChars="0" w:firstLineChars="0"/>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Potential Application of IoT in Other Railway Maintenance Systems</w:t>
      </w:r>
    </w:p>
    <w:p w14:paraId="3BAF44EE" w14:textId="3AA46CF4"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The success of this predictive maintenance system demonstrates the broader potential of IoT implementation across other critical railway components, such as braking systems, suspension, bearings, and traction motor cooling systems. IoT excels in integrating sensor data collection, real-time transmission, and predictive analytics to identify wear or anomalies before they escalate</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{"citationItems":[{"id":"ITEM-1","itemData":{"DOI":"10.2112/JCR-SI110-061.1","ISSN":"07490208 (ISSN)","abstract":"A good marine environment is the basis for the development and utilization of marine resources. Marine environment monitoring is an important part of marine environment protection. Therefore, the research on the marine environment monitoring technologies is of great significance. In order to realize intelligent monitoring of the marine environment, combining with the sensor technology, 4G communication technology and Zigbee communication technology, this study designed a marine environment monitoring system based on the Internet of Things (IoT). The system is composed of three parts: the information management subsystem, the data collection subsystem and the monitoring terminal subsystem; the structural composition and main implementation technologies of each subsystem are elaborated and the functions of each module in the system are tested by experiments. The test results show that, the IoT-based marine environment monitoring system can realize the functions of collecting, receiving, sending, analyzing, processing, querying and releasing marine environment data. This study provides a technical support for China's marine environment monitoring, and has important theoretical reference value for the research of intelligent marine environment monitoring in China.  © Coastal Education and Research Foundation, Inc. 2020.","author":[{"dropping-particle":"","family":"Chi","given":"H","non-dropping-particle":"","parse-names":false,"suffix":""},{"dropping-particle":"","family":"Du","given":"Y","non-dropping-particle":"","parse-names":false,"suffix":""},{"dropping-particle":"","family":"Brett","given":"P M","non-dropping-particle":"","parse-names":false,"suffix":""}],"container-title":"Journal of Coastal Research","id":"ITEM-1","issue":"sp1","issued":{"date-parts":[["2020"]]},"language":"English","note":"Export Date: 16 July 2024; Cited By: 5; Correspondence Address: H. Chi; Lambton College, Jilin University, Changchun, 130012, China; email: philipchi@julc.cn; CODEN: JCRSE","page":"256-260","publisher":"Coastal Education Research Foundation Inc.","publisher-place":"Lambton College, Jilin University, Changchun, 130012, China","title":"Design of a Marine Environment Monitoring System Based on the Internet of Things","type":"article-journal","volume":"110"},"uris":["http://www.mendeley.com/documents/?uuid=de72a034-3257-455b-ad8e-18b1d160977f"]},{"id":"ITEM-2","itemData":{"DOI":"10.1038/s41598-022-19929-4","ISSN":"20452322 (ISSN)","abstract":"The widespread use of the Internet of Things (Iot) makes it possible to connect everything but having enough IP addresses is a fundamental requirement of this paradigm. All previous environmental monitoring systems in China are based on IPv4. In combination with the characteristics and requirements of China's atmospheric environment monitoring system, this paper develops a monitoring system based on IPv6 technology. Users can directly access the monitoring equipment through the IPv6 website to view data and configure operations. This paper first introduces the design and implementation of the software and hardware of the system, then introduces the simplification of IPv6 protocol, the transplantation of IPv6 protocol on ARM and the design and implementation of embedded Web server system. The experimental results show that the developed atmospheric environment monitoring system can realize continuous data acquisition based on IPv6 and provide data-driven support for environmental protection management and decision-making. © 2022, The Author(s).","author":[{"dropping-particle":"","family":"Li","given":"X","non-dropping-particle":"","parse-names":false,"suffix":""},{"dropping-particle":"","family":"Hao","given":"X","non-dropping-particle":"","parse-names":false,"suffix":""},{"dropping-particle":"","family":"Yin","given":"L","non-dropping-particle":"","parse-names":false,"suffix":""},{"dropping-particle":"","family":"Ma","given":"Y","non-dropping-particle":"","parse-names":false,"suffix":""},{"dropping-particle":"","family":"Sun","given":"M","non-dropping-particle":"","parse-names":false,"suffix":""},{"dropping-particle":"","family":"Yang","given":"R","non-dropping-particle":"","parse-names":false,"suffix":""}],"container-title":"Scientific Reports","id":"ITEM-2","issue":"1","issued":{"date-parts":[["2022"]]},"language":"English","note":"Export Date: 16 July 2024; Cited By: 0; Correspondence Address: R. Yang; State Key Laboratory of Environmental Criteria and Risk Assessment, Chinese Research Academy of Environmental Sciences, Beijing, No. 8, Da Yang Fang, An Wai, Chao Yang District, 100012, China; email: yangrj@craes.org.cn","publisher":"Nature Research","publisher-place":"State Key Laboratory of Remote Sensing Science, College of Global Change and Earth System Science, Beijing Normal University, Xinjiekouwei Street, Beijing, 100875, China","title":"Development and application of an environment monitoring system based on IPv6","type":"article-journal","volume":"12"},"uris":["http://www.mendeley.com/documents/?uuid=fbb6b65b-2880-4cb3-bb53-cad7387cacbb"]}],"mendeley":{"formattedCitation":"[41], [42]","plainTextFormattedCitation":"[41], [42]","previouslyFormattedCitation":"[41], [42]"},"properties":{"noteIndex":0},"schema":"https://github.com/citation-style-language/schema/raw/master/csl-citation.json"}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[41], [42]</w:t>
      </w:r>
      <w:r w:rsidR="00F65AB6">
        <w:rPr>
          <w:rFonts w:ascii="Arial" w:eastAsia="Arial" w:hAnsi="Arial" w:cs="Arial"/>
          <w:color w:val="000000"/>
          <w:sz w:val="20"/>
          <w:szCs w:val="20"/>
        </w:rPr>
        <w:fldChar w:fldCharType="end"/>
      </w:r>
      <w:r w:rsidR="00F65AB6">
        <w:rPr>
          <w:rFonts w:ascii="Arial" w:eastAsia="Arial" w:hAnsi="Arial" w:cs="Arial"/>
          <w:color w:val="000000"/>
          <w:sz w:val="20"/>
          <w:szCs w:val="20"/>
        </w:rPr>
        <w:t>.</w:t>
      </w:r>
    </w:p>
    <w:p w14:paraId="4DF428CA" w14:textId="3326683D"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 xml:space="preserve">Using the same system architecture—comprising sensor nodes, microcontrollers, wireless communication, and cloud storage—railway companies can replicate this framework for various maintenance tasks in depots or onboard </w:t>
      </w:r>
      <w:r w:rsidRPr="00DA13BA">
        <w:rPr>
          <w:rFonts w:ascii="Arial" w:eastAsia="Arial" w:hAnsi="Arial" w:cs="Arial"/>
          <w:color w:val="000000"/>
          <w:sz w:val="20"/>
          <w:szCs w:val="20"/>
        </w:rPr>
        <w:t xml:space="preserve">trains. For instance, vibration and temperature sensors can be used on wheel bearings to detect overheating or excessive friction, while accelerometers can identify structural imbalances or abnormal impact forces on train frames </w:t>
      </w:r>
      <w:r w:rsidR="00F65AB6">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{"citationItems":[{"id":"ITEM-1","itemData":{"DOI":"10.3390/pr9050805","ISSN":"22279717","abstract":"In China, safety policies interfere with the occurrence of work accidents in the form of guidance and restrictions. In this study, the impact of types of safety policies on work accident prevention is quantitatively analyzed. Based on a statistical analysis of China’s safety policies and work-related accidents from 2000 to 2020, the following four policy indexes that reflect the impact of safety policies are identified: The stringency level of the policy, the scope, its technical content, and its industrial target. A vector autoregressive model (VAR) is used, and a dynamic analysis of the model is conducted with an impulse response function. The model’s degree of fit is 92.9%, the number of deaths and the number of safety policies are linearly related, and the relative error between the fitted values and the real values is approximately 5%. The negative correlation between the death rate per 100 million yuan and the stringency level, scope, technical content, and industrial targets of safety policies is first weak, then strengthened, and then weakens again over time. This study finds that the importance of safety policy indicators is different, especially, the strict safety policy has a long-term negative impact on mortality. For developing countries such as China, where the safety policy system is not yet perfect, increasing the number and implementation of safety policies can significantly improve the situation of production safety.","author":[{"dropping-particle":"","family":"Wang","given":"Xiangbing","non-dropping-particle":"","parse-names":false,"suffix":""},{"dropping-particle":"","family":"Wei","given":"Chengmin","non-dropping-particle":"","parse-names":false,"suffix":""},{"dropping-particle":"","family":"He","given":"Yonghang","non-dropping-particle":"","parse-names":false,"suffix":""},{"dropping-particle":"","family":"Zhang","given":"Hui","non-dropping-particle":"","parse-names":false,"suffix":""},{"dropping-particle":"","family":"Wang","given":"Qifei","non-dropping-particle":"","parse-names":false,"suffix":""}],"container-title":"Processes","id":"ITEM-1","issue":"5","issued":{"date-parts":[["2021"]]},"title":"Research on the correlation between work accidents and safety policies in China","type":"article-journal","volume":"9"},"uris":["http://www.mendeley.com/documents/?uuid=caab0d45-17e4-3d59-950f-dfb28fb2a6c3"]}],"mendeley":{"formattedCitation":"[43]","plainTextFormattedCitation":"[43]","previouslyFormattedCitation":"[43]"},"properties":{"noteIndex":0},"schema":"https://github.com/citation-style-language/schema/raw/master/csl-citation.json"}</w:instrText>
      </w:r>
      <w:r w:rsidR="00F65AB6">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[43]</w:t>
      </w:r>
      <w:r w:rsidR="00F65AB6">
        <w:rPr>
          <w:rFonts w:ascii="Arial" w:eastAsia="Arial" w:hAnsi="Arial" w:cs="Arial"/>
          <w:color w:val="000000"/>
          <w:sz w:val="20"/>
          <w:szCs w:val="20"/>
        </w:rPr>
        <w:fldChar w:fldCharType="end"/>
      </w:r>
      <w:r w:rsidR="00F65AB6">
        <w:rPr>
          <w:rFonts w:ascii="Arial" w:eastAsia="Arial" w:hAnsi="Arial" w:cs="Arial"/>
          <w:color w:val="000000"/>
          <w:sz w:val="20"/>
          <w:szCs w:val="20"/>
        </w:rPr>
        <w:t>.</w:t>
      </w:r>
    </w:p>
    <w:p w14:paraId="2ACDAE6B" w14:textId="2EA4EF0C"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 xml:space="preserve">This leads to the development of an interconnected maintenance system, where the condition of all major components is monitored centrally via digital platforms. Maintenance can thus shift toward a condition-based approach rather than relying solely on mileage or fixed intervals, enhancing flexibility and operational efficiency </w:t>
      </w:r>
      <w:r w:rsidR="0033189C">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{"citationItems":[{"id":"ITEM-1","itemData":{"DOI":"10.1108/CMS-01-2024-0077","ISSN":"1750614X (ISSN)","abstract":"Purpose: This study aims to investigate how a firm’s sustainable competitive advantage is influenced by the combination of entrepreneurial ecological orientation, digital transformation and dynamic capabilities. Design/methodology/approach: Based on the qualitative comparative analysis method, this study systematically explores the significant key conditions and configuration effects that affect the growth of sustainable competitive advantage. This study uncovers the causal relationship and complex mechanisms underlying the sustainable and unsustainable competitive advantages for new ventures, by examining the grouping effects of the above three factors – entrepreneurial ecological orientation, digital transformation and dynamic capabilities on those advantages. Findings: A single factor fails to constitute a necessary condition for sustainable competitive advantage. Three types of configurations are beneficial to sustainable competitive advantage, namely, flexible and responsive type, dynamically adjusted type and type of opportunity resource integration, whereas four types of configurations lead to the unsustainable competitive advantage of new ventures, namely, type of organizational rigidity, informal entrepreneurial type, information-blocking type and technology-deficient type. Originality/value: According to this study, adopting an entrepreneurial ecological orientation is a novel strategic move. This study offers an extensive review of three aspects of entrepreneurial ecological orientation, dynamic capacities and digital transformation and their mutually synergistic cascading effects on the sustainable competitive advantage of new ventures. This study investigates how three dimensions interact to achieve sustainable competitive advantage for firms, ultimately contributing to the study of sustainable competitive advantage strategies from an entrepreneurial ecosystem perspective. © 2024, Emerald Publishing Limited.","author":[{"dropping-particle":"","family":"Du","given":"X","non-dropping-particle":"","parse-names":false,"suffix":""},{"dropping-particle":"","family":"Wang","given":"N","non-dropping-particle":"","parse-names":false,"suffix":""},{"dropping-particle":"","family":"Lu","given":"S","non-dropping-particle":"","parse-names":false,"suffix":""},{"dropping-particle":"","family":"Zhang","given":"A","non-dropping-particle":"","parse-names":false,"suffix":""},{"dropping-particle":"","family":"Tsai","given":"S.-B.","non-dropping-particle":"","parse-names":false,"suffix":""}],"container-title":"Chinese Management Studies","id":"ITEM-1","issued":{"date-parts":[["2024"]]},"language":"English","note":"Export Date: 11 February 2025; Cited By: 3; Correspondence Address: S. Lu; Department of Business School, Northeast Normal University, Changchun, China; email: lushan@nenu.edu.cn","publisher":"Emerald Publishing","publisher-place":"Department of International Business School, Hainan University, Haikou, China","title":"Sustainable competitive advantage under digital transformation: an eco-strategy perspective","type":"article-journal"},"uris":["http://www.mendeley.com/documents/?uuid=4a356ec8-5230-4c70-b9cb-5f33cdecbafe"]}],"mendeley":{"formattedCitation":"[44]","plainTextFormattedCitation":"[44]","previouslyFormattedCitation":"[44]"},"properties":{"noteIndex":0},"schema":"https://github.com/citation-style-language/schema/raw/master/csl-citation.json"}</w:instrText>
      </w:r>
      <w:r w:rsidR="0033189C">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[44]</w:t>
      </w:r>
      <w:r w:rsidR="0033189C">
        <w:rPr>
          <w:rFonts w:ascii="Arial" w:eastAsia="Arial" w:hAnsi="Arial" w:cs="Arial"/>
          <w:color w:val="000000"/>
          <w:sz w:val="20"/>
          <w:szCs w:val="20"/>
        </w:rPr>
        <w:fldChar w:fldCharType="end"/>
      </w:r>
      <w:r w:rsidRPr="00DA13BA">
        <w:rPr>
          <w:rFonts w:ascii="Arial" w:eastAsia="Arial" w:hAnsi="Arial" w:cs="Arial"/>
          <w:color w:val="000000"/>
          <w:sz w:val="20"/>
          <w:szCs w:val="20"/>
        </w:rPr>
        <w:t>.</w:t>
      </w:r>
    </w:p>
    <w:p w14:paraId="2FA8FAF7" w14:textId="77777777" w:rsidR="00DA13BA" w:rsidRPr="00DA13BA" w:rsidRDefault="00DA13BA" w:rsidP="00DA13BA">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DA13BA">
        <w:rPr>
          <w:rFonts w:ascii="Arial" w:eastAsia="Arial" w:hAnsi="Arial" w:cs="Arial"/>
          <w:color w:val="000000"/>
          <w:sz w:val="20"/>
          <w:szCs w:val="20"/>
        </w:rPr>
        <w:t>Furthermore, broad IoT adoption supports the realization of a smart railway system, where all assets—static and dynamic—are digitally connected for automated monitoring and control. For example, traction motor cooling systems equipped with temperature and airflow sensors can self-regulate cooling intensity and issue warnings in case of overheating, preventing system failures.</w:t>
      </w:r>
    </w:p>
    <w:p w14:paraId="00000064" w14:textId="34E16C9F" w:rsidR="00FF0465" w:rsidRDefault="00DA13BA" w:rsidP="00DA13BA">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DA13BA">
        <w:rPr>
          <w:rFonts w:ascii="Arial" w:eastAsia="Arial" w:hAnsi="Arial" w:cs="Arial"/>
          <w:color w:val="000000"/>
          <w:sz w:val="20"/>
          <w:szCs w:val="20"/>
        </w:rPr>
        <w:t>In this way, IoT evolves from a mere technical tool into a foundational element for the digital transformation and automation of railway maintenance. Companies that have successfully applied IoT to lifting jacks can leverage this advantage to expand its use, improving infrastructure integrity, reducing system failure risks, and fostering safer, more efficient, and modern railway operations.</w:t>
      </w:r>
    </w:p>
    <w:p w14:paraId="4710CFFA" w14:textId="6B0776D8" w:rsidR="000713C2" w:rsidRDefault="000713C2" w:rsidP="00DA13BA">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508CD00" w14:textId="77777777" w:rsidR="000713C2" w:rsidRDefault="000713C2" w:rsidP="000713C2">
      <w:pPr>
        <w:pBdr>
          <w:top w:val="nil"/>
          <w:left w:val="nil"/>
          <w:bottom w:val="nil"/>
          <w:right w:val="nil"/>
          <w:between w:val="nil"/>
        </w:pBdr>
        <w:shd w:val="clear" w:color="auto" w:fill="FFFFFF"/>
        <w:spacing w:after="0" w:line="240" w:lineRule="auto"/>
        <w:ind w:left="0" w:hanging="2"/>
        <w:jc w:val="both"/>
        <w:textDirection w:val="lrTb"/>
        <w:rPr>
          <w:rFonts w:eastAsia="Times New Roman" w:cs="Times New Roman"/>
          <w:b/>
          <w:bCs/>
          <w:position w:val="0"/>
          <w:sz w:val="28"/>
          <w:szCs w:val="28"/>
        </w:rPr>
      </w:pPr>
      <w:r w:rsidRPr="000713C2">
        <w:rPr>
          <w:rFonts w:ascii="Arial" w:eastAsia="Arial" w:hAnsi="Arial" w:cs="Arial"/>
          <w:b/>
          <w:color w:val="1F4E79"/>
          <w:sz w:val="20"/>
          <w:szCs w:val="20"/>
        </w:rPr>
        <w:t>Future Research Directions</w:t>
      </w:r>
    </w:p>
    <w:p w14:paraId="4DAD60A0" w14:textId="4557AE8E" w:rsidR="000713C2" w:rsidRPr="000713C2" w:rsidRDefault="000713C2" w:rsidP="000713C2">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0713C2">
        <w:rPr>
          <w:rFonts w:ascii="Arial" w:eastAsia="Arial" w:hAnsi="Arial" w:cs="Arial"/>
          <w:color w:val="000000"/>
          <w:sz w:val="20"/>
          <w:szCs w:val="20"/>
        </w:rPr>
        <w:t>While the predictive maintenance framework based on HAZOP-FMEA and IoT developed in this study has demonstrated high effectiveness in monitoring lifting jack systems, several promising avenues remain open for future research. One of the most strategic directions is the integration of Artificial Intelligence (AI) and Machine Learning (ML) into the predictive analytics system. The current anomaly detection approach, which relies on threshold-based parameters, works well for known failure patterns but is limited in identifying novel or complex anomalies. By utilizing ML algorithms such as decision trees, support vector machines, or deep learning, the system could be trained on historical data to detect early signs of failure with greater adaptability and precision. As suggested by</w:t>
      </w:r>
      <w:r w:rsidR="0033189C">
        <w:rPr>
          <w:rFonts w:ascii="Arial" w:eastAsia="Arial" w:hAnsi="Arial" w:cs="Arial"/>
          <w:color w:val="000000"/>
          <w:sz w:val="20"/>
          <w:szCs w:val="20"/>
        </w:rPr>
        <w:t xml:space="preserve"> </w:t>
      </w:r>
      <w:r w:rsidR="0033189C">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{"citationItems":[{"id":"ITEM-1","itemData":{"DOI":"10.32604/IASC.2022.022833","ISSN":"10798587 (ISSN)","abstract":"Environment monitoring is an important area apart from environmental safety and pollution control. Such monitoring performed by the physical models of the atmosphere is unstable and inaccurate. Machine Learning (ML) techniques on the other hand are more robust in capturing the dynamics in the environment. In this paper, a novel approach is proposed to build a cost-effective standardized environment monitoring system (IoT-EMS) in volunteer computing environment. In volunteer computing, the volunteers (people) share their resources for distributed computing to perform a task (environment monitoring). The system is based on the Internet of Things and is controlled and accessed remotely through the Arduino platform (volunteer resource). In this system, the volunteers record the environment information from the surrounding through different sensors. Then the sensor readings are uploaded directly to a web server database, from where they can be viewed anytime and anywhere through a website. Analytics on the gathered time-series data is achieved through ML data modeling using R Language and RStudio IDE. Experimental results show that the system is able to accurately predict the trends in temperature, humidity, carbon monoxide level, and carbon dioxide. The prediction accuracy of different ML techniques such as MLP, k-NN, multiple regression, and SVM are also compared in different scenarios. © 2022, Tech Science Press. All rights reserved.","author":[{"dropping-particle":"","family":"Bhoi","given":"S K","non-dropping-particle":"","parse-names":false,"suffix":""},{"dropping-particle":"","family":"Panda","given":"S K","non-dropping-particle":"","parse-names":false,"suffix":""},{"dropping-particle":"","family":"Jena","given":"K K","non-dropping-particle":"","parse-names":false,"suffix":""},{"dropping-particle":"","family":"Sahoo","given":"K S","non-dropping-particle":"","parse-names":false,"suffix":""},{"dropping-particle":"","family":"Jhanjhi","given":"N Z","non-dropping-particle":"","parse-names":false,"suffix":""},{"dropping-particle":"","family":"Masud","given":"M","non-dropping-particle":"","parse-names":false,"suffix":""},{"dropping-particle":"","family":"Aljahdali","given":"S","non-dropping-particle":"","parse-names":false,"suffix":""}],"container-title":"Intelligent Automation and Soft Computing","id":"ITEM-1","issue":"3","issued":{"date-parts":[["2022"]]},"language":"English","note":"Export Date: 16 July 2024; Cited By: 21; Correspondence Address: N.Z. Jhanjhi; Department of Computer Science and Engineering, Taylor’s University, Subang Jaya, 47500, Malaysia; email: noorzaman.jhanjhi@taylors.edu.my","page":"1493-1507","publisher":"Tech Science Press","publisher-place":"Department of Computer Science and Engineering, Parala Maharaja Engineering College (Govt.), Berhampur, 761003, India","title":"IoT-EMS: An Internet of Things Based Environment Monitoring System in Volunteer Computing Environment","type":"article-journal","volume":"32"},"uris":["http://www.mendeley.com/documents/?uuid=22be6102-d9c9-4182-b458-ca6bbfeddc95"]}],"mendeley":{"formattedCitation":"[45]","plainTextFormattedCitation":"[45]","previouslyFormattedCitation":"[45]"},"properties":{"noteIndex":0},"schema":"https://github.com/citation-style-language/schema/raw/master/csl-citation.json"}</w:instrText>
      </w:r>
      <w:r w:rsidR="0033189C">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[45]</w:t>
      </w:r>
      <w:r w:rsidR="0033189C">
        <w:rPr>
          <w:rFonts w:ascii="Arial" w:eastAsia="Arial" w:hAnsi="Arial" w:cs="Arial"/>
          <w:color w:val="000000"/>
          <w:sz w:val="20"/>
          <w:szCs w:val="20"/>
        </w:rPr>
        <w:fldChar w:fldCharType="end"/>
      </w:r>
      <w:r w:rsidRPr="000713C2">
        <w:rPr>
          <w:rFonts w:ascii="Arial" w:eastAsia="Arial" w:hAnsi="Arial" w:cs="Arial"/>
          <w:color w:val="000000"/>
          <w:sz w:val="20"/>
          <w:szCs w:val="20"/>
        </w:rPr>
        <w:t>, ML-driven fault detection systems in rolling stock offer significant improvements in accuracy and responsiveness.</w:t>
      </w:r>
    </w:p>
    <w:p w14:paraId="0D186E91" w14:textId="7D3EF06E" w:rsidR="000713C2" w:rsidRPr="000713C2" w:rsidRDefault="000713C2" w:rsidP="000713C2">
      <w:pPr>
        <w:pBdr>
          <w:top w:val="nil"/>
          <w:left w:val="nil"/>
          <w:bottom w:val="nil"/>
          <w:right w:val="nil"/>
          <w:between w:val="nil"/>
        </w:pBdr>
        <w:shd w:val="clear" w:color="auto" w:fill="FFFFFF"/>
        <w:spacing w:after="0" w:line="240" w:lineRule="auto"/>
        <w:ind w:left="0" w:hanging="2"/>
        <w:jc w:val="both"/>
        <w:textDirection w:val="lrTb"/>
        <w:rPr>
          <w:rFonts w:ascii="Arial" w:eastAsia="Arial" w:hAnsi="Arial" w:cs="Arial"/>
          <w:color w:val="000000"/>
          <w:sz w:val="20"/>
          <w:szCs w:val="20"/>
        </w:rPr>
      </w:pPr>
      <w:r w:rsidRPr="000713C2">
        <w:rPr>
          <w:rFonts w:ascii="Arial" w:eastAsia="Arial" w:hAnsi="Arial" w:cs="Arial"/>
          <w:color w:val="000000"/>
          <w:sz w:val="20"/>
          <w:szCs w:val="20"/>
        </w:rPr>
        <w:t xml:space="preserve">Further research can also explore the application of this framework to other critical railway components, such as braking systems, axle bearings, and traction motors. A multi-sensor approach—integrating vibration, temperature, </w:t>
      </w:r>
      <w:r w:rsidRPr="000713C2">
        <w:rPr>
          <w:rFonts w:ascii="Arial" w:eastAsia="Arial" w:hAnsi="Arial" w:cs="Arial"/>
          <w:color w:val="000000"/>
          <w:sz w:val="20"/>
          <w:szCs w:val="20"/>
        </w:rPr>
        <w:lastRenderedPageBreak/>
        <w:t>pressure, and current sensors—could provide more comprehensive insights into the condition of these subsystems. This also opens the opportunity to develop a Digital Twin, a dynamic digital representation of physical assets that enables real-time simulation, diagnostics, and optimization. According to</w:t>
      </w:r>
      <w:r w:rsidR="0033189C">
        <w:rPr>
          <w:rFonts w:ascii="Arial" w:eastAsia="Arial" w:hAnsi="Arial" w:cs="Arial"/>
          <w:color w:val="000000"/>
          <w:sz w:val="20"/>
          <w:szCs w:val="20"/>
        </w:rPr>
        <w:t xml:space="preserve"> </w:t>
      </w:r>
      <w:r w:rsidR="0033189C">
        <w:rPr>
          <w:rFonts w:ascii="Arial" w:eastAsia="Arial" w:hAnsi="Arial" w:cs="Arial"/>
          <w:color w:val="000000"/>
          <w:sz w:val="20"/>
          <w:szCs w:val="20"/>
        </w:rPr>
        <w:fldChar w:fldCharType="begin" w:fldLock="1"/>
      </w:r>
      <w:r w:rsidR="006212F9">
        <w:rPr>
          <w:rFonts w:ascii="Arial" w:eastAsia="Arial" w:hAnsi="Arial" w:cs="Arial"/>
          <w:color w:val="000000"/>
          <w:sz w:val="20"/>
          <w:szCs w:val="20"/>
        </w:rPr>
        <w:instrText>ADDIN CSL_CITATION {"citationItems":[{"id":"ITEM-1","itemData":{"DOI":"10.1016/j.autcon.2022.104625","ISSN":"09265805 (ISSN)","abstract":"Effective environmental condition monitoring provides constant surveillance of the built environment and reveals deteriorations that could impact the daily operation of facilities, especially amid COVID situations. However, the current Industry Foundation Classes (IFC) data schema for Building Information Modelling (BIM) provided limited support to represent full semantics related to environmental sensing and monitoring. How to semantically enrich the IFC schema with enhanced data description capability for informed decision-making in smart facilities management (FM) amid COVID situations remains an open question. This paper develops a semi-automatic extension and integration of IFC data schema with Sensor Model Language (SensorML) specification in order to support automated built environment sensing and monitoring. Referring to SensorML, an extended IFC model view definition for a comprehensive description of required sensor metadata and sensing entities is presented. An Internet of Things (IoT) sensor network is then established to realise continuous data collection from a variety of wireless sensing devices. The spatial-temporal data captured by the IoT sensor network are extracted by a regular expression-based data distillation algorithm and integrated with the digital twin, in which spatial interpolation algorithms further analyse, compute, and visualise the state of the environment. The proposed method is demonstrated via an experimental study which supports real-time environmental monitoring and delivers more actionable insights to facility managers to sustain the daily operation of buildings. This study contributes new methods and models to semantically enrich the digital twin from the data perspective for environmental condition monitoring during the pandemic time which fosters the development of holistic building facility management. © 2022","author":[{"dropping-particle":"","family":"Wang","given":"T","non-dropping-particle":"","parse-names":false,"suffix":""},{"dropping-particle":"","family":"Gan","given":"V J L","non-dropping-particle":"","parse-names":false,"suffix":""},{"dropping-particle":"","family":"Hu","given":"D","non-dropping-particle":"","parse-names":false,"suffix":""},{"dropping-particle":"","family":"Liu","given":"H","non-dropping-particle":"","parse-names":false,"suffix":""}],"container-title":"Automation in Construction","id":"ITEM-1","issued":{"date-parts":[["2022"]]},"language":"English","note":"Export Date: 16 July 2024; Cited By: 26; Correspondence Address: V.J.L. Gan; Department of the Built Environment, National University of Singapore, 117566, Singapore; email: vincent.gan@nus.edu.sg; CODEN: AUCOE","publisher":"Elsevier B.V.","publisher-place":"Department of the Built Environment, National University of Singapore, 117566, Singapore","title":"Digital twin-enabled built environment sensing and monitoring through semantic enrichment of BIM with SensorML","type":"article-journal","volume":"144"},"uris":["http://www.mendeley.com/documents/?uuid=57d61b64-620b-425f-a37d-86cefca1c600"]}],"mendeley":{"formattedCitation":"[39]","plainTextFormattedCitation":"[39]","previouslyFormattedCitation":"[39]"},"properties":{"noteIndex":0},"schema":"https://github.com/citation-style-language/schema/raw/master/csl-citation.json"}</w:instrText>
      </w:r>
      <w:r w:rsidR="0033189C">
        <w:rPr>
          <w:rFonts w:ascii="Arial" w:eastAsia="Arial" w:hAnsi="Arial" w:cs="Arial"/>
          <w:color w:val="000000"/>
          <w:sz w:val="20"/>
          <w:szCs w:val="20"/>
        </w:rPr>
        <w:fldChar w:fldCharType="separate"/>
      </w:r>
      <w:r w:rsidR="006212F9" w:rsidRPr="006212F9">
        <w:rPr>
          <w:rFonts w:ascii="Arial" w:eastAsia="Arial" w:hAnsi="Arial" w:cs="Arial"/>
          <w:noProof/>
          <w:color w:val="000000"/>
          <w:sz w:val="20"/>
          <w:szCs w:val="20"/>
        </w:rPr>
        <w:t>[39]</w:t>
      </w:r>
      <w:r w:rsidR="0033189C">
        <w:rPr>
          <w:rFonts w:ascii="Arial" w:eastAsia="Arial" w:hAnsi="Arial" w:cs="Arial"/>
          <w:color w:val="000000"/>
          <w:sz w:val="20"/>
          <w:szCs w:val="20"/>
        </w:rPr>
        <w:fldChar w:fldCharType="end"/>
      </w:r>
      <w:r w:rsidRPr="000713C2">
        <w:rPr>
          <w:rFonts w:ascii="Arial" w:eastAsia="Arial" w:hAnsi="Arial" w:cs="Arial"/>
          <w:color w:val="000000"/>
          <w:sz w:val="20"/>
          <w:szCs w:val="20"/>
        </w:rPr>
        <w:t>, Digital Twins play a pivotal role in Industry 4.0 by facilitating more informed and context-aware maintenance decisions in intelligent transportation systems.</w:t>
      </w:r>
    </w:p>
    <w:p w14:paraId="1867322F" w14:textId="7D56771B" w:rsidR="000713C2" w:rsidRDefault="000713C2" w:rsidP="000713C2">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0713C2">
        <w:rPr>
          <w:rFonts w:ascii="Arial" w:eastAsia="Arial" w:hAnsi="Arial" w:cs="Arial"/>
          <w:color w:val="000000"/>
          <w:sz w:val="20"/>
          <w:szCs w:val="20"/>
        </w:rPr>
        <w:t>Another important direction involves the integration of IoT-based monitoring systems with enterprise-level management tools, including Enterprise Resource Planning (ERP) and Computerized Maintenance Management Systems (CMMS). Such integration would ensure that sensor-generated data not only serves technical diagnostics but also supports operational workflows, such as spare part inventory management, technician scheduling, and safety auditing, leading to a fully digitized and streamlined maintenance ecosystem. In addition, longitudinal studies are needed to evaluate the real-world performance of the IoT system, particularly its hardware durability in harsh environments and data transmission stability under varying network conditions. This includes assessing long-term energy efficiency and ensuring the system's compatibility with daily operational requirements in railway maintenance contexts.</w:t>
      </w:r>
    </w:p>
    <w:p w14:paraId="77DE4B35" w14:textId="77777777" w:rsidR="00DA13BA" w:rsidRDefault="00DA13BA" w:rsidP="00DA13BA">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00000065" w14:textId="77777777" w:rsidR="00FF0465" w:rsidRDefault="00500ED1">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00000066" w14:textId="63EEE1C6" w:rsidR="00FF0465" w:rsidRDefault="004F48D5">
      <w:pPr>
        <w:spacing w:after="0" w:line="240" w:lineRule="auto"/>
        <w:ind w:left="0" w:hanging="2"/>
        <w:jc w:val="both"/>
        <w:rPr>
          <w:rFonts w:ascii="Arial" w:eastAsia="Arial" w:hAnsi="Arial" w:cs="Arial"/>
          <w:sz w:val="20"/>
          <w:szCs w:val="20"/>
        </w:rPr>
      </w:pPr>
      <w:r w:rsidRPr="004F48D5">
        <w:rPr>
          <w:rFonts w:ascii="Arial" w:eastAsia="Arial" w:hAnsi="Arial" w:cs="Arial"/>
          <w:sz w:val="20"/>
          <w:szCs w:val="20"/>
        </w:rPr>
        <w:t>This study developed an IoT-based predictive maintenance framework by integrating HAZOP and FMEA methods to enhance the safety and reliability of locomotive lifting jack systems. The risk analysis identified critical failure points, particularly in the stopper and drive motor, with RPN values reaching 512. The proposed IoT system, using HC-SR04 and MPU6050 sensors, successfully detected anomalies in real time with high accuracy and minimal data loss. Real-world implementation confirmed the system's effectiveness in reducing potential failures and enabling early warnings. This integration demonstrates a significant advancement over conventional maintenance approaches and offers a replicable solution for improving safety and operational efficiency in railway maintenance.</w:t>
      </w:r>
      <w:r w:rsidR="000713C2" w:rsidRPr="000713C2">
        <w:rPr>
          <w:rFonts w:ascii="Arial" w:eastAsia="Arial" w:hAnsi="Arial" w:cs="Arial"/>
          <w:sz w:val="20"/>
          <w:szCs w:val="20"/>
        </w:rPr>
        <w:t xml:space="preserve"> </w:t>
      </w:r>
    </w:p>
    <w:p w14:paraId="00000067" w14:textId="77777777" w:rsidR="00FF0465" w:rsidRDefault="00FF0465">
      <w:pPr>
        <w:spacing w:after="0" w:line="240" w:lineRule="auto"/>
        <w:ind w:left="0" w:hanging="2"/>
        <w:jc w:val="both"/>
        <w:rPr>
          <w:rFonts w:ascii="Arial" w:eastAsia="Arial" w:hAnsi="Arial" w:cs="Arial"/>
          <w:sz w:val="20"/>
          <w:szCs w:val="20"/>
        </w:rPr>
      </w:pPr>
    </w:p>
    <w:p w14:paraId="00000068" w14:textId="77777777" w:rsidR="00FF0465" w:rsidRDefault="00500ED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00000069" w14:textId="5ED26CF4" w:rsidR="00FF0465" w:rsidRDefault="000713C2">
      <w:pPr>
        <w:spacing w:after="0" w:line="240" w:lineRule="auto"/>
        <w:ind w:left="0" w:hanging="2"/>
        <w:jc w:val="both"/>
        <w:rPr>
          <w:rFonts w:ascii="Arial" w:eastAsia="Arial" w:hAnsi="Arial" w:cs="Arial"/>
          <w:sz w:val="20"/>
          <w:szCs w:val="20"/>
        </w:rPr>
      </w:pPr>
      <w:r w:rsidRPr="000713C2">
        <w:rPr>
          <w:rFonts w:ascii="Arial" w:eastAsia="Arial" w:hAnsi="Arial" w:cs="Arial"/>
          <w:sz w:val="20"/>
          <w:szCs w:val="20"/>
        </w:rPr>
        <w:t xml:space="preserve">This research was self-funded. However, the authors utilized the Industrial Laboratory at the Industrial Engineering Program, Faculty of Engineering, Universitas Bhayangkara Jakarta </w:t>
      </w:r>
      <w:r w:rsidRPr="000713C2">
        <w:rPr>
          <w:rFonts w:ascii="Arial" w:eastAsia="Arial" w:hAnsi="Arial" w:cs="Arial"/>
          <w:sz w:val="20"/>
          <w:szCs w:val="20"/>
        </w:rPr>
        <w:t>Raya, and collaborated with an Indonesian locomotive maintenance company. In addition, we would like to express our gratitude to our fellow research team members, whose insights and expertise greatly contributed to this study.</w:t>
      </w:r>
    </w:p>
    <w:p w14:paraId="0000006A" w14:textId="77777777" w:rsidR="00FF0465" w:rsidRDefault="00FF0465">
      <w:pPr>
        <w:spacing w:after="0" w:line="240" w:lineRule="auto"/>
        <w:ind w:left="0" w:hanging="2"/>
        <w:jc w:val="both"/>
        <w:rPr>
          <w:rFonts w:ascii="Arial" w:eastAsia="Arial" w:hAnsi="Arial" w:cs="Arial"/>
          <w:sz w:val="20"/>
          <w:szCs w:val="20"/>
        </w:rPr>
      </w:pPr>
    </w:p>
    <w:p w14:paraId="0000006B" w14:textId="77777777" w:rsidR="00FF0465" w:rsidRDefault="00500ED1">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79F5CA99" w14:textId="6104CF71" w:rsidR="006212F9" w:rsidRPr="006212F9" w:rsidRDefault="00B361AA"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006212F9" w:rsidRPr="006212F9">
        <w:rPr>
          <w:rFonts w:ascii="Arial" w:hAnsi="Arial" w:cs="Arial"/>
          <w:noProof/>
          <w:sz w:val="20"/>
          <w:szCs w:val="24"/>
        </w:rPr>
        <w:t>[1]</w:t>
      </w:r>
      <w:r w:rsidR="006212F9" w:rsidRPr="006212F9">
        <w:rPr>
          <w:rFonts w:ascii="Arial" w:hAnsi="Arial" w:cs="Arial"/>
          <w:noProof/>
          <w:sz w:val="20"/>
          <w:szCs w:val="24"/>
        </w:rPr>
        <w:tab/>
        <w:t xml:space="preserve">Ferdy Kusumawardana, Arfan Bakhtiar, and Singgih Saptadi, “Locomotive maintenance facility layout design using systematic layout planning method: Case study of Semarang Poncol locomotive depot,” </w:t>
      </w:r>
      <w:r w:rsidR="006212F9" w:rsidRPr="006212F9">
        <w:rPr>
          <w:rFonts w:ascii="Arial" w:hAnsi="Arial" w:cs="Arial"/>
          <w:i/>
          <w:iCs/>
          <w:noProof/>
          <w:sz w:val="20"/>
          <w:szCs w:val="24"/>
        </w:rPr>
        <w:t>World J. Adv. Res. Rev.</w:t>
      </w:r>
      <w:r w:rsidR="006212F9" w:rsidRPr="006212F9">
        <w:rPr>
          <w:rFonts w:ascii="Arial" w:hAnsi="Arial" w:cs="Arial"/>
          <w:noProof/>
          <w:sz w:val="20"/>
          <w:szCs w:val="24"/>
        </w:rPr>
        <w:t>, vol. 19, no. 3, 2023.</w:t>
      </w:r>
    </w:p>
    <w:p w14:paraId="656A3FF9"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w:t>
      </w:r>
      <w:r w:rsidRPr="006212F9">
        <w:rPr>
          <w:rFonts w:ascii="Arial" w:hAnsi="Arial" w:cs="Arial"/>
          <w:noProof/>
          <w:sz w:val="20"/>
          <w:szCs w:val="24"/>
        </w:rPr>
        <w:tab/>
        <w:t xml:space="preserve">S. Frisch, P. Hungerländer, A. Jellen, B. Primas, S. Steininger, and D. Weinberger, “Solving a real-world Locomotive Scheduling Problem with Maintenance Constraints,” </w:t>
      </w:r>
      <w:r w:rsidRPr="006212F9">
        <w:rPr>
          <w:rFonts w:ascii="Arial" w:hAnsi="Arial" w:cs="Arial"/>
          <w:i/>
          <w:iCs/>
          <w:noProof/>
          <w:sz w:val="20"/>
          <w:szCs w:val="24"/>
        </w:rPr>
        <w:t>Transp. Res. Part B Methodol.</w:t>
      </w:r>
      <w:r w:rsidRPr="006212F9">
        <w:rPr>
          <w:rFonts w:ascii="Arial" w:hAnsi="Arial" w:cs="Arial"/>
          <w:noProof/>
          <w:sz w:val="20"/>
          <w:szCs w:val="24"/>
        </w:rPr>
        <w:t>, vol. 150, 2021.</w:t>
      </w:r>
    </w:p>
    <w:p w14:paraId="38251EFB"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w:t>
      </w:r>
      <w:r w:rsidRPr="006212F9">
        <w:rPr>
          <w:rFonts w:ascii="Arial" w:hAnsi="Arial" w:cs="Arial"/>
          <w:noProof/>
          <w:sz w:val="20"/>
          <w:szCs w:val="24"/>
        </w:rPr>
        <w:tab/>
        <w:t xml:space="preserve">D. Baranovskyi, M. Bulakh, A. Michajłyszyn, S. Myamlin, and L. Muradian, “Determination of the Risk of Failures of Locomotive Diesel Engines in Maintenance,” </w:t>
      </w:r>
      <w:r w:rsidRPr="006212F9">
        <w:rPr>
          <w:rFonts w:ascii="Arial" w:hAnsi="Arial" w:cs="Arial"/>
          <w:i/>
          <w:iCs/>
          <w:noProof/>
          <w:sz w:val="20"/>
          <w:szCs w:val="24"/>
        </w:rPr>
        <w:t>Energies</w:t>
      </w:r>
      <w:r w:rsidRPr="006212F9">
        <w:rPr>
          <w:rFonts w:ascii="Arial" w:hAnsi="Arial" w:cs="Arial"/>
          <w:noProof/>
          <w:sz w:val="20"/>
          <w:szCs w:val="24"/>
        </w:rPr>
        <w:t>, vol. 16, no. 13, 2023.</w:t>
      </w:r>
    </w:p>
    <w:p w14:paraId="03224FC4"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w:t>
      </w:r>
      <w:r w:rsidRPr="006212F9">
        <w:rPr>
          <w:rFonts w:ascii="Arial" w:hAnsi="Arial" w:cs="Arial"/>
          <w:noProof/>
          <w:sz w:val="20"/>
          <w:szCs w:val="24"/>
        </w:rPr>
        <w:tab/>
        <w:t xml:space="preserve">N. Van Thuyen, “Calculation, Design and Manufacturing Super Short Height Hydraulic Jack, Double Acting, Lifting Capacity of 30 Tons for Lifting Bridge Beam to Replace Bearings,” </w:t>
      </w:r>
      <w:r w:rsidRPr="006212F9">
        <w:rPr>
          <w:rFonts w:ascii="Arial" w:hAnsi="Arial" w:cs="Arial"/>
          <w:i/>
          <w:iCs/>
          <w:noProof/>
          <w:sz w:val="20"/>
          <w:szCs w:val="24"/>
        </w:rPr>
        <w:t>SSRG Int. J. Mech. Eng.</w:t>
      </w:r>
      <w:r w:rsidRPr="006212F9">
        <w:rPr>
          <w:rFonts w:ascii="Arial" w:hAnsi="Arial" w:cs="Arial"/>
          <w:noProof/>
          <w:sz w:val="20"/>
          <w:szCs w:val="24"/>
        </w:rPr>
        <w:t>, vol. 10, no. 6, 2023.</w:t>
      </w:r>
    </w:p>
    <w:p w14:paraId="565AB7BE"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[5]</w:t>
      </w:r>
      <w:r w:rsidRPr="006212F9">
        <w:rPr>
          <w:rFonts w:ascii="Arial" w:hAnsi="Arial" w:cs="Arial"/>
          <w:noProof/>
          <w:sz w:val="20"/>
          <w:szCs w:val="24"/>
        </w:rPr>
        <w:tab/>
        <w:t xml:space="preserve">D. R. More, A. A. Patil, A. A. Thakare, N. R. Vartak, and M. S. Ansari, “Design and Fabrication of Motorized Hydraulic Jack System,” </w:t>
      </w:r>
      <w:r w:rsidRPr="006212F9">
        <w:rPr>
          <w:rFonts w:ascii="Arial" w:hAnsi="Arial" w:cs="Arial"/>
          <w:i/>
          <w:iCs/>
          <w:noProof/>
          <w:sz w:val="20"/>
          <w:szCs w:val="24"/>
        </w:rPr>
        <w:t>Int. J. Res. Appl. Sci. Eng. Technol.</w:t>
      </w:r>
      <w:r w:rsidRPr="006212F9">
        <w:rPr>
          <w:rFonts w:ascii="Arial" w:hAnsi="Arial" w:cs="Arial"/>
          <w:noProof/>
          <w:sz w:val="20"/>
          <w:szCs w:val="24"/>
        </w:rPr>
        <w:t>, vol. 10, no. 4, 2022.</w:t>
      </w:r>
    </w:p>
    <w:p w14:paraId="7147CDF0"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[6]</w:t>
      </w:r>
      <w:r w:rsidRPr="006212F9">
        <w:rPr>
          <w:rFonts w:ascii="Arial" w:hAnsi="Arial" w:cs="Arial"/>
          <w:noProof/>
          <w:sz w:val="20"/>
          <w:szCs w:val="24"/>
        </w:rPr>
        <w:tab/>
        <w:t xml:space="preserve">X. He, Z. Wang, C. Gao, and D. Zhou, “Consensus Control for Multiagent Systems under Asymmetric Actuator Saturations with Applications to Mobile Train Lifting Jack Systems,” </w:t>
      </w:r>
      <w:r w:rsidRPr="006212F9">
        <w:rPr>
          <w:rFonts w:ascii="Arial" w:hAnsi="Arial" w:cs="Arial"/>
          <w:i/>
          <w:iCs/>
          <w:noProof/>
          <w:sz w:val="20"/>
          <w:szCs w:val="24"/>
        </w:rPr>
        <w:t>IEEE Trans. Ind. Informatics</w:t>
      </w:r>
      <w:r w:rsidRPr="006212F9">
        <w:rPr>
          <w:rFonts w:ascii="Arial" w:hAnsi="Arial" w:cs="Arial"/>
          <w:noProof/>
          <w:sz w:val="20"/>
          <w:szCs w:val="24"/>
        </w:rPr>
        <w:t>, vol. 19, no. 10, 2023.</w:t>
      </w:r>
    </w:p>
    <w:p w14:paraId="6AB45FD4"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[7]</w:t>
      </w:r>
      <w:r w:rsidRPr="006212F9">
        <w:rPr>
          <w:rFonts w:ascii="Arial" w:hAnsi="Arial" w:cs="Arial"/>
          <w:noProof/>
          <w:sz w:val="20"/>
          <w:szCs w:val="24"/>
        </w:rPr>
        <w:tab/>
        <w:t xml:space="preserve">J. Y. Choi and S. H. Byeon, “Hazop methodology based on the health, safety, and environment engineering,” </w:t>
      </w:r>
      <w:r w:rsidRPr="006212F9">
        <w:rPr>
          <w:rFonts w:ascii="Arial" w:hAnsi="Arial" w:cs="Arial"/>
          <w:i/>
          <w:iCs/>
          <w:noProof/>
          <w:sz w:val="20"/>
          <w:szCs w:val="24"/>
        </w:rPr>
        <w:t>Int. J. Environ. Res. Public Health</w:t>
      </w:r>
      <w:r w:rsidRPr="006212F9">
        <w:rPr>
          <w:rFonts w:ascii="Arial" w:hAnsi="Arial" w:cs="Arial"/>
          <w:noProof/>
          <w:sz w:val="20"/>
          <w:szCs w:val="24"/>
        </w:rPr>
        <w:t>, vol. 17, no. 9, 2020.</w:t>
      </w:r>
    </w:p>
    <w:p w14:paraId="24CD3ABC"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[8]</w:t>
      </w:r>
      <w:r w:rsidRPr="006212F9">
        <w:rPr>
          <w:rFonts w:ascii="Arial" w:hAnsi="Arial" w:cs="Arial"/>
          <w:noProof/>
          <w:sz w:val="20"/>
          <w:szCs w:val="24"/>
        </w:rPr>
        <w:tab/>
        <w:t xml:space="preserve">A. de J. Penelas and J. C. M. Pires, “Hazop analysis in terms of safety operations processes for oil production units: A case study,” </w:t>
      </w:r>
      <w:r w:rsidRPr="006212F9">
        <w:rPr>
          <w:rFonts w:ascii="Arial" w:hAnsi="Arial" w:cs="Arial"/>
          <w:i/>
          <w:iCs/>
          <w:noProof/>
          <w:sz w:val="20"/>
          <w:szCs w:val="24"/>
        </w:rPr>
        <w:t>Appl. Sci.</w:t>
      </w:r>
      <w:r w:rsidRPr="006212F9">
        <w:rPr>
          <w:rFonts w:ascii="Arial" w:hAnsi="Arial" w:cs="Arial"/>
          <w:noProof/>
          <w:sz w:val="20"/>
          <w:szCs w:val="24"/>
        </w:rPr>
        <w:t>, vol. 11, no. 21, 2021.</w:t>
      </w:r>
    </w:p>
    <w:p w14:paraId="7052F54B"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[9]</w:t>
      </w:r>
      <w:r w:rsidRPr="006212F9">
        <w:rPr>
          <w:rFonts w:ascii="Arial" w:hAnsi="Arial" w:cs="Arial"/>
          <w:noProof/>
          <w:sz w:val="20"/>
          <w:szCs w:val="24"/>
        </w:rPr>
        <w:tab/>
        <w:t xml:space="preserve">M. F. Chia and P. K. Naraharisetti, “HAZOP using Stateflow software: Methodology and case study,” </w:t>
      </w:r>
      <w:r w:rsidRPr="006212F9">
        <w:rPr>
          <w:rFonts w:ascii="Arial" w:hAnsi="Arial" w:cs="Arial"/>
          <w:i/>
          <w:iCs/>
          <w:noProof/>
          <w:sz w:val="20"/>
          <w:szCs w:val="24"/>
        </w:rPr>
        <w:t>Process Saf. Environ. Prot.</w:t>
      </w:r>
      <w:r w:rsidRPr="006212F9">
        <w:rPr>
          <w:rFonts w:ascii="Arial" w:hAnsi="Arial" w:cs="Arial"/>
          <w:noProof/>
          <w:sz w:val="20"/>
          <w:szCs w:val="24"/>
        </w:rPr>
        <w:t>, vol. 179, 2023.</w:t>
      </w:r>
    </w:p>
    <w:p w14:paraId="39992486"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[10]</w:t>
      </w:r>
      <w:r w:rsidRPr="006212F9">
        <w:rPr>
          <w:rFonts w:ascii="Arial" w:hAnsi="Arial" w:cs="Arial"/>
          <w:noProof/>
          <w:sz w:val="20"/>
          <w:szCs w:val="24"/>
        </w:rPr>
        <w:tab/>
        <w:t xml:space="preserve">D. Lee, D. Lee, and J. Na, “Automatic Failure Modes and Effects Analysis of an Electronic Fuel Injection Model,” </w:t>
      </w:r>
      <w:r w:rsidRPr="006212F9">
        <w:rPr>
          <w:rFonts w:ascii="Arial" w:hAnsi="Arial" w:cs="Arial"/>
          <w:i/>
          <w:iCs/>
          <w:noProof/>
          <w:sz w:val="20"/>
          <w:szCs w:val="24"/>
        </w:rPr>
        <w:t>Appl. Sci.</w:t>
      </w:r>
      <w:r w:rsidRPr="006212F9">
        <w:rPr>
          <w:rFonts w:ascii="Arial" w:hAnsi="Arial" w:cs="Arial"/>
          <w:noProof/>
          <w:sz w:val="20"/>
          <w:szCs w:val="24"/>
        </w:rPr>
        <w:t xml:space="preserve">, vol. 12, no. </w:t>
      </w:r>
      <w:r w:rsidRPr="006212F9">
        <w:rPr>
          <w:rFonts w:ascii="Arial" w:hAnsi="Arial" w:cs="Arial"/>
          <w:noProof/>
          <w:sz w:val="20"/>
          <w:szCs w:val="24"/>
        </w:rPr>
        <w:lastRenderedPageBreak/>
        <w:t>12, 2022.</w:t>
      </w:r>
    </w:p>
    <w:p w14:paraId="431B0045"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[11]</w:t>
      </w:r>
      <w:r w:rsidRPr="006212F9">
        <w:rPr>
          <w:rFonts w:ascii="Arial" w:hAnsi="Arial" w:cs="Arial"/>
          <w:noProof/>
          <w:sz w:val="20"/>
          <w:szCs w:val="24"/>
        </w:rPr>
        <w:tab/>
        <w:t xml:space="preserve">N. KÖK and M. S. YILDIZ, “New Generation FMEA Method in Automotive Industry: An Application,” </w:t>
      </w:r>
      <w:r w:rsidRPr="006212F9">
        <w:rPr>
          <w:rFonts w:ascii="Arial" w:hAnsi="Arial" w:cs="Arial"/>
          <w:i/>
          <w:iCs/>
          <w:noProof/>
          <w:sz w:val="20"/>
          <w:szCs w:val="24"/>
        </w:rPr>
        <w:t>J. Turkish Oper. Manag.</w:t>
      </w:r>
      <w:r w:rsidRPr="006212F9">
        <w:rPr>
          <w:rFonts w:ascii="Arial" w:hAnsi="Arial" w:cs="Arial"/>
          <w:noProof/>
          <w:sz w:val="20"/>
          <w:szCs w:val="24"/>
        </w:rPr>
        <w:t>, vol. 7, no. 1, 2023.</w:t>
      </w:r>
    </w:p>
    <w:p w14:paraId="7DE63DDD"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[12]</w:t>
      </w:r>
      <w:r w:rsidRPr="006212F9">
        <w:rPr>
          <w:rFonts w:ascii="Arial" w:hAnsi="Arial" w:cs="Arial"/>
          <w:noProof/>
          <w:sz w:val="20"/>
          <w:szCs w:val="24"/>
        </w:rPr>
        <w:tab/>
        <w:t xml:space="preserve">H. Dyah Susanti, “Risk prevention of plywood product defects using Failure Mode Effect Analysis (FMEA) in the Indonesian plywood processing industry,” </w:t>
      </w:r>
      <w:r w:rsidRPr="006212F9">
        <w:rPr>
          <w:rFonts w:ascii="Arial" w:hAnsi="Arial" w:cs="Arial"/>
          <w:i/>
          <w:iCs/>
          <w:noProof/>
          <w:sz w:val="20"/>
          <w:szCs w:val="24"/>
        </w:rPr>
        <w:t>Wood Mater. Sci. Eng.</w:t>
      </w:r>
      <w:r w:rsidRPr="006212F9">
        <w:rPr>
          <w:rFonts w:ascii="Arial" w:hAnsi="Arial" w:cs="Arial"/>
          <w:noProof/>
          <w:sz w:val="20"/>
          <w:szCs w:val="24"/>
        </w:rPr>
        <w:t>, vol. 18, no. 6, 2023.</w:t>
      </w:r>
    </w:p>
    <w:p w14:paraId="04E04F95"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[13]</w:t>
      </w:r>
      <w:r w:rsidRPr="006212F9">
        <w:rPr>
          <w:rFonts w:ascii="Arial" w:hAnsi="Arial" w:cs="Arial"/>
          <w:noProof/>
          <w:sz w:val="20"/>
          <w:szCs w:val="24"/>
        </w:rPr>
        <w:tab/>
        <w:t xml:space="preserve">C. Xia and Y. Sun, “Research on vehicle lifting jack structure failure trend on basis of static strength analysis,” in </w:t>
      </w:r>
      <w:r w:rsidRPr="006212F9">
        <w:rPr>
          <w:rFonts w:ascii="Arial" w:hAnsi="Arial" w:cs="Arial"/>
          <w:i/>
          <w:iCs/>
          <w:noProof/>
          <w:sz w:val="20"/>
          <w:szCs w:val="24"/>
        </w:rPr>
        <w:t>Applied Mechanics and Materials</w:t>
      </w:r>
      <w:r w:rsidRPr="006212F9">
        <w:rPr>
          <w:rFonts w:ascii="Arial" w:hAnsi="Arial" w:cs="Arial"/>
          <w:noProof/>
          <w:sz w:val="20"/>
          <w:szCs w:val="24"/>
        </w:rPr>
        <w:t>, 2013, vol. 275–277.</w:t>
      </w:r>
    </w:p>
    <w:p w14:paraId="2C59CA31"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[14]</w:t>
      </w:r>
      <w:r w:rsidRPr="006212F9">
        <w:rPr>
          <w:rFonts w:ascii="Arial" w:hAnsi="Arial" w:cs="Arial"/>
          <w:noProof/>
          <w:sz w:val="20"/>
          <w:szCs w:val="24"/>
        </w:rPr>
        <w:tab/>
        <w:t xml:space="preserve">Z. J. Lin, B. Y. Zhang, Y. B. Zhang, D. J. Fu, S. L. Feng, and L. Q. Sun, “Stability study on a lifting jack-up platform by moses software,” in </w:t>
      </w:r>
      <w:r w:rsidRPr="006212F9">
        <w:rPr>
          <w:rFonts w:ascii="Arial" w:hAnsi="Arial" w:cs="Arial"/>
          <w:i/>
          <w:iCs/>
          <w:noProof/>
          <w:sz w:val="20"/>
          <w:szCs w:val="24"/>
        </w:rPr>
        <w:t>Proceedings of the International Offshore and Polar Engineering Conference</w:t>
      </w:r>
      <w:r w:rsidRPr="006212F9">
        <w:rPr>
          <w:rFonts w:ascii="Arial" w:hAnsi="Arial" w:cs="Arial"/>
          <w:noProof/>
          <w:sz w:val="20"/>
          <w:szCs w:val="24"/>
        </w:rPr>
        <w:t>, 2019, vol. 1.</w:t>
      </w:r>
    </w:p>
    <w:p w14:paraId="0BAE8316"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[15]</w:t>
      </w:r>
      <w:r w:rsidRPr="006212F9">
        <w:rPr>
          <w:rFonts w:ascii="Arial" w:hAnsi="Arial" w:cs="Arial"/>
          <w:noProof/>
          <w:sz w:val="20"/>
          <w:szCs w:val="24"/>
        </w:rPr>
        <w:tab/>
        <w:t xml:space="preserve">M. T. Lazarescu and P. Poolad, “Asynchronous Resilient Wireless Sensor Network for Train Integrity Monitoring,” </w:t>
      </w:r>
      <w:r w:rsidRPr="006212F9">
        <w:rPr>
          <w:rFonts w:ascii="Arial" w:hAnsi="Arial" w:cs="Arial"/>
          <w:i/>
          <w:iCs/>
          <w:noProof/>
          <w:sz w:val="20"/>
          <w:szCs w:val="24"/>
        </w:rPr>
        <w:t>IEEE Internet Things J.</w:t>
      </w:r>
      <w:r w:rsidRPr="006212F9">
        <w:rPr>
          <w:rFonts w:ascii="Arial" w:hAnsi="Arial" w:cs="Arial"/>
          <w:noProof/>
          <w:sz w:val="20"/>
          <w:szCs w:val="24"/>
        </w:rPr>
        <w:t>, vol. 8, no. 5, 2021.</w:t>
      </w:r>
    </w:p>
    <w:p w14:paraId="40E788D5"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[16]</w:t>
      </w:r>
      <w:r w:rsidRPr="006212F9">
        <w:rPr>
          <w:rFonts w:ascii="Arial" w:hAnsi="Arial" w:cs="Arial"/>
          <w:noProof/>
          <w:sz w:val="20"/>
          <w:szCs w:val="24"/>
        </w:rPr>
        <w:tab/>
        <w:t xml:space="preserve">S. Hwang, J. Kim, H. Kim, H. Kim, and Y. Kim, “Suggestion of maintenance criteria for electric railroad facilities based on fuzzy TOPSIS,” </w:t>
      </w:r>
      <w:r w:rsidRPr="006212F9">
        <w:rPr>
          <w:rFonts w:ascii="Arial" w:hAnsi="Arial" w:cs="Arial"/>
          <w:i/>
          <w:iCs/>
          <w:noProof/>
          <w:sz w:val="20"/>
          <w:szCs w:val="24"/>
        </w:rPr>
        <w:t>Comput. Mater. Contin.</w:t>
      </w:r>
      <w:r w:rsidRPr="006212F9">
        <w:rPr>
          <w:rFonts w:ascii="Arial" w:hAnsi="Arial" w:cs="Arial"/>
          <w:noProof/>
          <w:sz w:val="20"/>
          <w:szCs w:val="24"/>
        </w:rPr>
        <w:t>, vol. 70, no. 3, 2022.</w:t>
      </w:r>
    </w:p>
    <w:p w14:paraId="0D7922CE"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[17]</w:t>
      </w:r>
      <w:r w:rsidRPr="006212F9">
        <w:rPr>
          <w:rFonts w:ascii="Arial" w:hAnsi="Arial" w:cs="Arial"/>
          <w:noProof/>
          <w:sz w:val="20"/>
          <w:szCs w:val="24"/>
        </w:rPr>
        <w:tab/>
        <w:t xml:space="preserve">S. Zhang, Q. Chen, and M. Lei, “Finite Element Analysis on the Rack of the JC-17B Mobile Lifting Jack,” in </w:t>
      </w:r>
      <w:r w:rsidRPr="006212F9">
        <w:rPr>
          <w:rFonts w:ascii="Arial" w:hAnsi="Arial" w:cs="Arial"/>
          <w:i/>
          <w:iCs/>
          <w:noProof/>
          <w:sz w:val="20"/>
          <w:szCs w:val="24"/>
        </w:rPr>
        <w:t>Advances in Transdisciplinary Engineering</w:t>
      </w:r>
      <w:r w:rsidRPr="006212F9">
        <w:rPr>
          <w:rFonts w:ascii="Arial" w:hAnsi="Arial" w:cs="Arial"/>
          <w:noProof/>
          <w:sz w:val="20"/>
          <w:szCs w:val="24"/>
        </w:rPr>
        <w:t>, 2023, vol. 40.</w:t>
      </w:r>
    </w:p>
    <w:p w14:paraId="7B3900FD"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[18]</w:t>
      </w:r>
      <w:r w:rsidRPr="006212F9">
        <w:rPr>
          <w:rFonts w:ascii="Arial" w:hAnsi="Arial" w:cs="Arial"/>
          <w:noProof/>
          <w:sz w:val="20"/>
          <w:szCs w:val="24"/>
        </w:rPr>
        <w:tab/>
        <w:t xml:space="preserve">W. Riyanta, “HIRADC Analysis for Rolling Stock Body Lifting Ngrombo Railway Maintenance Center,” </w:t>
      </w:r>
      <w:r w:rsidRPr="006212F9">
        <w:rPr>
          <w:rFonts w:ascii="Arial" w:hAnsi="Arial" w:cs="Arial"/>
          <w:i/>
          <w:iCs/>
          <w:noProof/>
          <w:sz w:val="20"/>
          <w:szCs w:val="24"/>
        </w:rPr>
        <w:t>Civ. Eng. Collab.</w:t>
      </w:r>
      <w:r w:rsidRPr="006212F9">
        <w:rPr>
          <w:rFonts w:ascii="Arial" w:hAnsi="Arial" w:cs="Arial"/>
          <w:noProof/>
          <w:sz w:val="20"/>
          <w:szCs w:val="24"/>
        </w:rPr>
        <w:t>, 2023.</w:t>
      </w:r>
    </w:p>
    <w:p w14:paraId="54E7E70A"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[19]</w:t>
      </w:r>
      <w:r w:rsidRPr="006212F9">
        <w:rPr>
          <w:rFonts w:ascii="Arial" w:hAnsi="Arial" w:cs="Arial"/>
          <w:noProof/>
          <w:sz w:val="20"/>
          <w:szCs w:val="24"/>
        </w:rPr>
        <w:tab/>
        <w:t xml:space="preserve">Y. Song and Y. Li, “DYNAMIC SIMULATION OF RAILWAY LOCOMOTIVE AND DETECTION OF ELECTROMECHANICAL EQUIPMENT BASED ON VIRTUAL REALITY TECHNOLOGY,” </w:t>
      </w:r>
      <w:r w:rsidRPr="006212F9">
        <w:rPr>
          <w:rFonts w:ascii="Arial" w:hAnsi="Arial" w:cs="Arial"/>
          <w:i/>
          <w:iCs/>
          <w:noProof/>
          <w:sz w:val="20"/>
          <w:szCs w:val="24"/>
        </w:rPr>
        <w:t>Int. J. Mechatronics Appl. Mech.</w:t>
      </w:r>
      <w:r w:rsidRPr="006212F9">
        <w:rPr>
          <w:rFonts w:ascii="Arial" w:hAnsi="Arial" w:cs="Arial"/>
          <w:noProof/>
          <w:sz w:val="20"/>
          <w:szCs w:val="24"/>
        </w:rPr>
        <w:t>, vol. 14, 2023.</w:t>
      </w:r>
    </w:p>
    <w:p w14:paraId="5F9751A8"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[20]</w:t>
      </w:r>
      <w:r w:rsidRPr="006212F9">
        <w:rPr>
          <w:rFonts w:ascii="Arial" w:hAnsi="Arial" w:cs="Arial"/>
          <w:noProof/>
          <w:sz w:val="20"/>
          <w:szCs w:val="24"/>
        </w:rPr>
        <w:tab/>
        <w:t>S. Transportation and S. City, “Mechanical Analysis on the Frame of JC- 17B Mobile Lifting Jack,” vol. 0, pp. 1–6, 2024.</w:t>
      </w:r>
    </w:p>
    <w:p w14:paraId="4B2490DE"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[21]</w:t>
      </w:r>
      <w:r w:rsidRPr="006212F9">
        <w:rPr>
          <w:rFonts w:ascii="Arial" w:hAnsi="Arial" w:cs="Arial"/>
          <w:noProof/>
          <w:sz w:val="20"/>
          <w:szCs w:val="24"/>
        </w:rPr>
        <w:tab/>
        <w:t xml:space="preserve">Z. Lv, B. Hu, and H. Lv, “Infrastructure Monitoring and Operation for Smart Cities Based on IoT System,” </w:t>
      </w:r>
      <w:r w:rsidRPr="006212F9">
        <w:rPr>
          <w:rFonts w:ascii="Arial" w:hAnsi="Arial" w:cs="Arial"/>
          <w:i/>
          <w:iCs/>
          <w:noProof/>
          <w:sz w:val="20"/>
          <w:szCs w:val="24"/>
        </w:rPr>
        <w:t>IEEE Trans. Ind. Informatics</w:t>
      </w:r>
      <w:r w:rsidRPr="006212F9">
        <w:rPr>
          <w:rFonts w:ascii="Arial" w:hAnsi="Arial" w:cs="Arial"/>
          <w:noProof/>
          <w:sz w:val="20"/>
          <w:szCs w:val="24"/>
        </w:rPr>
        <w:t>, vol. 16, no. 3, pp. 1957–1962, 2020.</w:t>
      </w:r>
    </w:p>
    <w:p w14:paraId="54D671A2"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[22]</w:t>
      </w:r>
      <w:r w:rsidRPr="006212F9">
        <w:rPr>
          <w:rFonts w:ascii="Arial" w:hAnsi="Arial" w:cs="Arial"/>
          <w:noProof/>
          <w:sz w:val="20"/>
          <w:szCs w:val="24"/>
        </w:rPr>
        <w:tab/>
        <w:t xml:space="preserve">S. Abolhassani Khajeh, M. Saberikamarposhti, and A. M. Rahmani, “Real-Time Scheduling in IoT Applications: A Systematic Review,” </w:t>
      </w:r>
      <w:r w:rsidRPr="006212F9">
        <w:rPr>
          <w:rFonts w:ascii="Arial" w:hAnsi="Arial" w:cs="Arial"/>
          <w:i/>
          <w:iCs/>
          <w:noProof/>
          <w:sz w:val="20"/>
          <w:szCs w:val="24"/>
        </w:rPr>
        <w:t>Sensors</w:t>
      </w:r>
      <w:r w:rsidRPr="006212F9">
        <w:rPr>
          <w:rFonts w:ascii="Arial" w:hAnsi="Arial" w:cs="Arial"/>
          <w:noProof/>
          <w:sz w:val="20"/>
          <w:szCs w:val="24"/>
        </w:rPr>
        <w:t>, vol. 23, no. 1. 2023.</w:t>
      </w:r>
    </w:p>
    <w:p w14:paraId="41D23DA7"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[23]</w:t>
      </w:r>
      <w:r w:rsidRPr="006212F9">
        <w:rPr>
          <w:rFonts w:ascii="Arial" w:hAnsi="Arial" w:cs="Arial"/>
          <w:noProof/>
          <w:sz w:val="20"/>
          <w:szCs w:val="24"/>
        </w:rPr>
        <w:tab/>
        <w:t xml:space="preserve">K. Akila and D. J. Evanjaline, “Strengthening IoT-WSN architecture for environmental monitoring,” </w:t>
      </w:r>
      <w:r w:rsidRPr="006212F9">
        <w:rPr>
          <w:rFonts w:ascii="Arial" w:hAnsi="Arial" w:cs="Arial"/>
          <w:i/>
          <w:iCs/>
          <w:noProof/>
          <w:sz w:val="20"/>
          <w:szCs w:val="24"/>
        </w:rPr>
        <w:t>Int. J. Innov. Technol. Explor. Eng.</w:t>
      </w:r>
      <w:r w:rsidRPr="006212F9">
        <w:rPr>
          <w:rFonts w:ascii="Arial" w:hAnsi="Arial" w:cs="Arial"/>
          <w:noProof/>
          <w:sz w:val="20"/>
          <w:szCs w:val="24"/>
        </w:rPr>
        <w:t>, vol. 8, no. 11, pp. 3339–3347, 2019.</w:t>
      </w:r>
    </w:p>
    <w:p w14:paraId="3993F56D"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[24]</w:t>
      </w:r>
      <w:r w:rsidRPr="006212F9">
        <w:rPr>
          <w:rFonts w:ascii="Arial" w:hAnsi="Arial" w:cs="Arial"/>
          <w:noProof/>
          <w:sz w:val="20"/>
          <w:szCs w:val="24"/>
        </w:rPr>
        <w:tab/>
        <w:t xml:space="preserve">Y. Dwie Nurcahyanie and A. Cahyono, “Identification and Evaluation of Logistics Operational Risk Using the Fmea Method at PT. XZY,” </w:t>
      </w:r>
      <w:r w:rsidRPr="006212F9">
        <w:rPr>
          <w:rFonts w:ascii="Arial" w:hAnsi="Arial" w:cs="Arial"/>
          <w:i/>
          <w:iCs/>
          <w:noProof/>
          <w:sz w:val="20"/>
          <w:szCs w:val="24"/>
        </w:rPr>
        <w:t>Aptisi Trans. Technopreneursh.</w:t>
      </w:r>
      <w:r w:rsidRPr="006212F9">
        <w:rPr>
          <w:rFonts w:ascii="Arial" w:hAnsi="Arial" w:cs="Arial"/>
          <w:noProof/>
          <w:sz w:val="20"/>
          <w:szCs w:val="24"/>
        </w:rPr>
        <w:t>, vol. 5, no. 1Sp, 2023.</w:t>
      </w:r>
    </w:p>
    <w:p w14:paraId="7C3B348E"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[25]</w:t>
      </w:r>
      <w:r w:rsidRPr="006212F9">
        <w:rPr>
          <w:rFonts w:ascii="Arial" w:hAnsi="Arial" w:cs="Arial"/>
          <w:noProof/>
          <w:sz w:val="20"/>
          <w:szCs w:val="24"/>
        </w:rPr>
        <w:tab/>
        <w:t xml:space="preserve">H. Zheng and Y. Tang, “Deng entropy weighted risk priority number model for failure mode and effects analysis,” </w:t>
      </w:r>
      <w:r w:rsidRPr="006212F9">
        <w:rPr>
          <w:rFonts w:ascii="Arial" w:hAnsi="Arial" w:cs="Arial"/>
          <w:i/>
          <w:iCs/>
          <w:noProof/>
          <w:sz w:val="20"/>
          <w:szCs w:val="24"/>
        </w:rPr>
        <w:t>Entropy</w:t>
      </w:r>
      <w:r w:rsidRPr="006212F9">
        <w:rPr>
          <w:rFonts w:ascii="Arial" w:hAnsi="Arial" w:cs="Arial"/>
          <w:noProof/>
          <w:sz w:val="20"/>
          <w:szCs w:val="24"/>
        </w:rPr>
        <w:t>, vol. 22, no. 3, 2020.</w:t>
      </w:r>
    </w:p>
    <w:p w14:paraId="065C2340"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[26]</w:t>
      </w:r>
      <w:r w:rsidRPr="006212F9">
        <w:rPr>
          <w:rFonts w:ascii="Arial" w:hAnsi="Arial" w:cs="Arial"/>
          <w:noProof/>
          <w:sz w:val="20"/>
          <w:szCs w:val="24"/>
        </w:rPr>
        <w:tab/>
        <w:t xml:space="preserve">M. Achouch </w:t>
      </w:r>
      <w:r w:rsidRPr="006212F9">
        <w:rPr>
          <w:rFonts w:ascii="Arial" w:hAnsi="Arial" w:cs="Arial"/>
          <w:i/>
          <w:iCs/>
          <w:noProof/>
          <w:sz w:val="20"/>
          <w:szCs w:val="24"/>
        </w:rPr>
        <w:t>et al.</w:t>
      </w:r>
      <w:r w:rsidRPr="006212F9">
        <w:rPr>
          <w:rFonts w:ascii="Arial" w:hAnsi="Arial" w:cs="Arial"/>
          <w:noProof/>
          <w:sz w:val="20"/>
          <w:szCs w:val="24"/>
        </w:rPr>
        <w:t xml:space="preserve">, “On Predictive Maintenance in Industry 4.0: Overview, Models, and Challenges,” </w:t>
      </w:r>
      <w:r w:rsidRPr="006212F9">
        <w:rPr>
          <w:rFonts w:ascii="Arial" w:hAnsi="Arial" w:cs="Arial"/>
          <w:i/>
          <w:iCs/>
          <w:noProof/>
          <w:sz w:val="20"/>
          <w:szCs w:val="24"/>
        </w:rPr>
        <w:t>Applied Sciences (Switzerland)</w:t>
      </w:r>
      <w:r w:rsidRPr="006212F9">
        <w:rPr>
          <w:rFonts w:ascii="Arial" w:hAnsi="Arial" w:cs="Arial"/>
          <w:noProof/>
          <w:sz w:val="20"/>
          <w:szCs w:val="24"/>
        </w:rPr>
        <w:t>, vol. 12, no. 16. 2022.</w:t>
      </w:r>
    </w:p>
    <w:p w14:paraId="17C104E0"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[27]</w:t>
      </w:r>
      <w:r w:rsidRPr="006212F9">
        <w:rPr>
          <w:rFonts w:ascii="Arial" w:hAnsi="Arial" w:cs="Arial"/>
          <w:noProof/>
          <w:sz w:val="20"/>
          <w:szCs w:val="24"/>
        </w:rPr>
        <w:tab/>
        <w:t xml:space="preserve">P. Nunes, J. Santos, and E. Rocha, “Challenges in predictive maintenance – A review,” </w:t>
      </w:r>
      <w:r w:rsidRPr="006212F9">
        <w:rPr>
          <w:rFonts w:ascii="Arial" w:hAnsi="Arial" w:cs="Arial"/>
          <w:i/>
          <w:iCs/>
          <w:noProof/>
          <w:sz w:val="20"/>
          <w:szCs w:val="24"/>
        </w:rPr>
        <w:t>CIRP Journal of Manufacturing Science and Technology</w:t>
      </w:r>
      <w:r w:rsidRPr="006212F9">
        <w:rPr>
          <w:rFonts w:ascii="Arial" w:hAnsi="Arial" w:cs="Arial"/>
          <w:noProof/>
          <w:sz w:val="20"/>
          <w:szCs w:val="24"/>
        </w:rPr>
        <w:t>, vol. 40. 2023.</w:t>
      </w:r>
    </w:p>
    <w:p w14:paraId="62E4C8CF"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[28]</w:t>
      </w:r>
      <w:r w:rsidRPr="006212F9">
        <w:rPr>
          <w:rFonts w:ascii="Arial" w:hAnsi="Arial" w:cs="Arial"/>
          <w:noProof/>
          <w:sz w:val="20"/>
          <w:szCs w:val="24"/>
        </w:rPr>
        <w:tab/>
        <w:t xml:space="preserve">I. N. Mihigo, M. Zennaro, A. Uwitonze, J. Rwigema, and M. Rovai, “On-Device IoT-Based Predictive Maintenance Analytics Model: Comparing TinyLSTM and TinyModel from Edge Impulse,” </w:t>
      </w:r>
      <w:r w:rsidRPr="006212F9">
        <w:rPr>
          <w:rFonts w:ascii="Arial" w:hAnsi="Arial" w:cs="Arial"/>
          <w:i/>
          <w:iCs/>
          <w:noProof/>
          <w:sz w:val="20"/>
          <w:szCs w:val="24"/>
        </w:rPr>
        <w:t>Sensors</w:t>
      </w:r>
      <w:r w:rsidRPr="006212F9">
        <w:rPr>
          <w:rFonts w:ascii="Arial" w:hAnsi="Arial" w:cs="Arial"/>
          <w:noProof/>
          <w:sz w:val="20"/>
          <w:szCs w:val="24"/>
        </w:rPr>
        <w:t>, vol. 22, no. 14, 2022.</w:t>
      </w:r>
    </w:p>
    <w:p w14:paraId="7DF89951"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[29]</w:t>
      </w:r>
      <w:r w:rsidRPr="006212F9">
        <w:rPr>
          <w:rFonts w:ascii="Arial" w:hAnsi="Arial" w:cs="Arial"/>
          <w:noProof/>
          <w:sz w:val="20"/>
          <w:szCs w:val="24"/>
        </w:rPr>
        <w:tab/>
        <w:t xml:space="preserve">A. Aboshosha, A. Haggag, N. George, and H. A. Hamad, “IoT-based data-driven predictive maintenance relying on fuzzy system and artificial neural networks,” </w:t>
      </w:r>
      <w:r w:rsidRPr="006212F9">
        <w:rPr>
          <w:rFonts w:ascii="Arial" w:hAnsi="Arial" w:cs="Arial"/>
          <w:i/>
          <w:iCs/>
          <w:noProof/>
          <w:sz w:val="20"/>
          <w:szCs w:val="24"/>
        </w:rPr>
        <w:t>Sci. Rep.</w:t>
      </w:r>
      <w:r w:rsidRPr="006212F9">
        <w:rPr>
          <w:rFonts w:ascii="Arial" w:hAnsi="Arial" w:cs="Arial"/>
          <w:noProof/>
          <w:sz w:val="20"/>
          <w:szCs w:val="24"/>
        </w:rPr>
        <w:t>, vol. 13, no. 1, 2023.</w:t>
      </w:r>
    </w:p>
    <w:p w14:paraId="451EBCC0"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[30]</w:t>
      </w:r>
      <w:r w:rsidRPr="006212F9">
        <w:rPr>
          <w:rFonts w:ascii="Arial" w:hAnsi="Arial" w:cs="Arial"/>
          <w:noProof/>
          <w:sz w:val="20"/>
          <w:szCs w:val="24"/>
        </w:rPr>
        <w:tab/>
        <w:t xml:space="preserve">S. Nangia, S. Makkar, and R. Hassan, “IoT based Predictive Maintenance in Manufacturing Sector,” </w:t>
      </w:r>
      <w:r w:rsidRPr="006212F9">
        <w:rPr>
          <w:rFonts w:ascii="Arial" w:hAnsi="Arial" w:cs="Arial"/>
          <w:i/>
          <w:iCs/>
          <w:noProof/>
          <w:sz w:val="20"/>
          <w:szCs w:val="24"/>
        </w:rPr>
        <w:t>SSRN Electron. J.</w:t>
      </w:r>
      <w:r w:rsidRPr="006212F9">
        <w:rPr>
          <w:rFonts w:ascii="Arial" w:hAnsi="Arial" w:cs="Arial"/>
          <w:noProof/>
          <w:sz w:val="20"/>
          <w:szCs w:val="24"/>
        </w:rPr>
        <w:t>, 2020.</w:t>
      </w:r>
    </w:p>
    <w:p w14:paraId="473BE332"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[31]</w:t>
      </w:r>
      <w:r w:rsidRPr="006212F9">
        <w:rPr>
          <w:rFonts w:ascii="Arial" w:hAnsi="Arial" w:cs="Arial"/>
          <w:noProof/>
          <w:sz w:val="20"/>
          <w:szCs w:val="24"/>
        </w:rPr>
        <w:tab/>
        <w:t xml:space="preserve">A. Anggrawan, S. Hadi, and C. Satria, “IoT-Based Garbage Container System Using NodeMCU ESP32 Microcontroller,” </w:t>
      </w:r>
      <w:r w:rsidRPr="006212F9">
        <w:rPr>
          <w:rFonts w:ascii="Arial" w:hAnsi="Arial" w:cs="Arial"/>
          <w:i/>
          <w:iCs/>
          <w:noProof/>
          <w:sz w:val="20"/>
          <w:szCs w:val="24"/>
        </w:rPr>
        <w:t>J. Adv. Inf. Technol.</w:t>
      </w:r>
      <w:r w:rsidRPr="006212F9">
        <w:rPr>
          <w:rFonts w:ascii="Arial" w:hAnsi="Arial" w:cs="Arial"/>
          <w:noProof/>
          <w:sz w:val="20"/>
          <w:szCs w:val="24"/>
        </w:rPr>
        <w:t>, vol. 13, no. 6, 2022.</w:t>
      </w:r>
    </w:p>
    <w:p w14:paraId="5F87E003"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[32]</w:t>
      </w:r>
      <w:r w:rsidRPr="006212F9">
        <w:rPr>
          <w:rFonts w:ascii="Arial" w:hAnsi="Arial" w:cs="Arial"/>
          <w:noProof/>
          <w:sz w:val="20"/>
          <w:szCs w:val="24"/>
        </w:rPr>
        <w:tab/>
        <w:t xml:space="preserve">D. Rosandi, J. Junaidi, D. K. Apriyanto, and A. Surtono, “Design of Water Quality Monitoring System for Koi Fish Farming Using NodeMCU ESP32 and Blynk Application Based on Internet of Things,” </w:t>
      </w:r>
      <w:r w:rsidRPr="006212F9">
        <w:rPr>
          <w:rFonts w:ascii="Arial" w:hAnsi="Arial" w:cs="Arial"/>
          <w:i/>
          <w:iCs/>
          <w:noProof/>
          <w:sz w:val="20"/>
          <w:szCs w:val="24"/>
        </w:rPr>
        <w:t>J. List. Instrumentasi, dan Elektron. Terap.</w:t>
      </w:r>
      <w:r w:rsidRPr="006212F9">
        <w:rPr>
          <w:rFonts w:ascii="Arial" w:hAnsi="Arial" w:cs="Arial"/>
          <w:noProof/>
          <w:sz w:val="20"/>
          <w:szCs w:val="24"/>
        </w:rPr>
        <w:t>, vol. 4, no. 1, 2023.</w:t>
      </w:r>
    </w:p>
    <w:p w14:paraId="7AA9ADAD"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[33]</w:t>
      </w:r>
      <w:r w:rsidRPr="006212F9">
        <w:rPr>
          <w:rFonts w:ascii="Arial" w:hAnsi="Arial" w:cs="Arial"/>
          <w:noProof/>
          <w:sz w:val="20"/>
          <w:szCs w:val="24"/>
        </w:rPr>
        <w:tab/>
        <w:t xml:space="preserve">B. Luque-Milera </w:t>
      </w:r>
      <w:r w:rsidRPr="006212F9">
        <w:rPr>
          <w:rFonts w:ascii="Arial" w:hAnsi="Arial" w:cs="Arial"/>
          <w:i/>
          <w:iCs/>
          <w:noProof/>
          <w:sz w:val="20"/>
          <w:szCs w:val="24"/>
        </w:rPr>
        <w:t>et al.</w:t>
      </w:r>
      <w:r w:rsidRPr="006212F9">
        <w:rPr>
          <w:rFonts w:ascii="Arial" w:hAnsi="Arial" w:cs="Arial"/>
          <w:noProof/>
          <w:sz w:val="20"/>
          <w:szCs w:val="24"/>
        </w:rPr>
        <w:t xml:space="preserve">, “Electronic Prototype of Autonomous Learning for the Crossing of Pedestrians with Visual Disabilities in Lima,” </w:t>
      </w:r>
      <w:r w:rsidRPr="006212F9">
        <w:rPr>
          <w:rFonts w:ascii="Arial" w:hAnsi="Arial" w:cs="Arial"/>
          <w:i/>
          <w:iCs/>
          <w:noProof/>
          <w:sz w:val="20"/>
          <w:szCs w:val="24"/>
        </w:rPr>
        <w:t>Int. J. online Biomed. Eng.</w:t>
      </w:r>
      <w:r w:rsidRPr="006212F9">
        <w:rPr>
          <w:rFonts w:ascii="Arial" w:hAnsi="Arial" w:cs="Arial"/>
          <w:noProof/>
          <w:sz w:val="20"/>
          <w:szCs w:val="24"/>
        </w:rPr>
        <w:t>, vol. 19, no. 17, 2023.</w:t>
      </w:r>
    </w:p>
    <w:p w14:paraId="5A78B6D7"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[34]</w:t>
      </w:r>
      <w:r w:rsidRPr="006212F9">
        <w:rPr>
          <w:rFonts w:ascii="Arial" w:hAnsi="Arial" w:cs="Arial"/>
          <w:noProof/>
          <w:sz w:val="20"/>
          <w:szCs w:val="24"/>
        </w:rPr>
        <w:tab/>
        <w:t xml:space="preserve">E. Prayetno, T. Nadapdap, A. S. Susanti, and D. Miranda, “PLTD Engine Tank Oil Volume Monitoring System using HC-SR04 Ultrasonic Sensor Based on Internet of Things (IoT),” </w:t>
      </w:r>
      <w:r w:rsidRPr="006212F9">
        <w:rPr>
          <w:rFonts w:ascii="Arial" w:hAnsi="Arial" w:cs="Arial"/>
          <w:i/>
          <w:iCs/>
          <w:noProof/>
          <w:sz w:val="20"/>
          <w:szCs w:val="24"/>
        </w:rPr>
        <w:t xml:space="preserve">Int. J. Electr. Energy Power </w:t>
      </w:r>
      <w:r w:rsidRPr="006212F9">
        <w:rPr>
          <w:rFonts w:ascii="Arial" w:hAnsi="Arial" w:cs="Arial"/>
          <w:i/>
          <w:iCs/>
          <w:noProof/>
          <w:sz w:val="20"/>
          <w:szCs w:val="24"/>
        </w:rPr>
        <w:lastRenderedPageBreak/>
        <w:t>Syst. Eng.</w:t>
      </w:r>
      <w:r w:rsidRPr="006212F9">
        <w:rPr>
          <w:rFonts w:ascii="Arial" w:hAnsi="Arial" w:cs="Arial"/>
          <w:noProof/>
          <w:sz w:val="20"/>
          <w:szCs w:val="24"/>
        </w:rPr>
        <w:t>, vol. 4, no. 1, 2021.</w:t>
      </w:r>
    </w:p>
    <w:p w14:paraId="640B2CA5"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[35]</w:t>
      </w:r>
      <w:r w:rsidRPr="006212F9">
        <w:rPr>
          <w:rFonts w:ascii="Arial" w:hAnsi="Arial" w:cs="Arial"/>
          <w:noProof/>
          <w:sz w:val="20"/>
          <w:szCs w:val="24"/>
        </w:rPr>
        <w:tab/>
        <w:t xml:space="preserve">A. Imran, M. Yantahin, A. M. Mappalotteng, and M. Arham, “DEVELOPMENT OF MONITORING TOWER USING GYROSCOPE SENSOR BASED ON ESP32 MICROCONTROLLER,” </w:t>
      </w:r>
      <w:r w:rsidRPr="006212F9">
        <w:rPr>
          <w:rFonts w:ascii="Arial" w:hAnsi="Arial" w:cs="Arial"/>
          <w:i/>
          <w:iCs/>
          <w:noProof/>
          <w:sz w:val="20"/>
          <w:szCs w:val="24"/>
        </w:rPr>
        <w:t>J. Appl. Eng. Technol. Sci.</w:t>
      </w:r>
      <w:r w:rsidRPr="006212F9">
        <w:rPr>
          <w:rFonts w:ascii="Arial" w:hAnsi="Arial" w:cs="Arial"/>
          <w:noProof/>
          <w:sz w:val="20"/>
          <w:szCs w:val="24"/>
        </w:rPr>
        <w:t>, vol. 4, no. 1, 2022.</w:t>
      </w:r>
    </w:p>
    <w:p w14:paraId="1BBCAE47"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[36]</w:t>
      </w:r>
      <w:r w:rsidRPr="006212F9">
        <w:rPr>
          <w:rFonts w:ascii="Arial" w:hAnsi="Arial" w:cs="Arial"/>
          <w:noProof/>
          <w:sz w:val="20"/>
          <w:szCs w:val="24"/>
        </w:rPr>
        <w:tab/>
        <w:t xml:space="preserve">H. Heriyadi, H. R. Fajrin, and W. Kartika, “Prayer Guide Gyroscope Bracelet for The Deaf Using MPU6050 Sensor,” </w:t>
      </w:r>
      <w:r w:rsidRPr="006212F9">
        <w:rPr>
          <w:rFonts w:ascii="Arial" w:hAnsi="Arial" w:cs="Arial"/>
          <w:i/>
          <w:iCs/>
          <w:noProof/>
          <w:sz w:val="20"/>
          <w:szCs w:val="24"/>
        </w:rPr>
        <w:t>Indones. J. Electron. Electromed. Eng. Med. Informatics</w:t>
      </w:r>
      <w:r w:rsidRPr="006212F9">
        <w:rPr>
          <w:rFonts w:ascii="Arial" w:hAnsi="Arial" w:cs="Arial"/>
          <w:noProof/>
          <w:sz w:val="20"/>
          <w:szCs w:val="24"/>
        </w:rPr>
        <w:t>, vol. 4, no. 1, 2022.</w:t>
      </w:r>
    </w:p>
    <w:p w14:paraId="3076A8B2"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[37]</w:t>
      </w:r>
      <w:r w:rsidRPr="006212F9">
        <w:rPr>
          <w:rFonts w:ascii="Arial" w:hAnsi="Arial" w:cs="Arial"/>
          <w:noProof/>
          <w:sz w:val="20"/>
          <w:szCs w:val="24"/>
        </w:rPr>
        <w:tab/>
        <w:t xml:space="preserve">J. Liu and Y. Jianyin, “Application Prospect of Artificial Intelligence in Computer Network Technology,” </w:t>
      </w:r>
      <w:r w:rsidRPr="006212F9">
        <w:rPr>
          <w:rFonts w:ascii="Arial" w:hAnsi="Arial" w:cs="Arial"/>
          <w:i/>
          <w:iCs/>
          <w:noProof/>
          <w:sz w:val="20"/>
          <w:szCs w:val="24"/>
        </w:rPr>
        <w:t>Acad. J. Sci. Technol.</w:t>
      </w:r>
      <w:r w:rsidRPr="006212F9">
        <w:rPr>
          <w:rFonts w:ascii="Arial" w:hAnsi="Arial" w:cs="Arial"/>
          <w:noProof/>
          <w:sz w:val="20"/>
          <w:szCs w:val="24"/>
        </w:rPr>
        <w:t>, vol. 6, no. 1, 2023.</w:t>
      </w:r>
    </w:p>
    <w:p w14:paraId="53327267"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[38]</w:t>
      </w:r>
      <w:r w:rsidRPr="006212F9">
        <w:rPr>
          <w:rFonts w:ascii="Arial" w:hAnsi="Arial" w:cs="Arial"/>
          <w:noProof/>
          <w:sz w:val="20"/>
          <w:szCs w:val="24"/>
        </w:rPr>
        <w:tab/>
        <w:t xml:space="preserve">S. Elkateb, A. Métwalli, A. Shendy, and A. E. B. Abu-Elanien, “Machine learning and IoT – Based predictive maintenance approach for industrial applications,” </w:t>
      </w:r>
      <w:r w:rsidRPr="006212F9">
        <w:rPr>
          <w:rFonts w:ascii="Arial" w:hAnsi="Arial" w:cs="Arial"/>
          <w:i/>
          <w:iCs/>
          <w:noProof/>
          <w:sz w:val="20"/>
          <w:szCs w:val="24"/>
        </w:rPr>
        <w:t>Alexandria Eng. J.</w:t>
      </w:r>
      <w:r w:rsidRPr="006212F9">
        <w:rPr>
          <w:rFonts w:ascii="Arial" w:hAnsi="Arial" w:cs="Arial"/>
          <w:noProof/>
          <w:sz w:val="20"/>
          <w:szCs w:val="24"/>
        </w:rPr>
        <w:t>, vol. 88, 2024.</w:t>
      </w:r>
    </w:p>
    <w:p w14:paraId="515BCD08"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[39]</w:t>
      </w:r>
      <w:r w:rsidRPr="006212F9">
        <w:rPr>
          <w:rFonts w:ascii="Arial" w:hAnsi="Arial" w:cs="Arial"/>
          <w:noProof/>
          <w:sz w:val="20"/>
          <w:szCs w:val="24"/>
        </w:rPr>
        <w:tab/>
        <w:t xml:space="preserve">T. Wang, V. J. L. Gan, D. Hu, and H. Liu, “Digital twin-enabled built environment sensing and monitoring through semantic enrichment of BIM with SensorML,” </w:t>
      </w:r>
      <w:r w:rsidRPr="006212F9">
        <w:rPr>
          <w:rFonts w:ascii="Arial" w:hAnsi="Arial" w:cs="Arial"/>
          <w:i/>
          <w:iCs/>
          <w:noProof/>
          <w:sz w:val="20"/>
          <w:szCs w:val="24"/>
        </w:rPr>
        <w:t xml:space="preserve">Autom. </w:t>
      </w:r>
      <w:r w:rsidRPr="006212F9">
        <w:rPr>
          <w:rFonts w:ascii="Arial" w:hAnsi="Arial" w:cs="Arial"/>
          <w:i/>
          <w:iCs/>
          <w:noProof/>
          <w:sz w:val="20"/>
          <w:szCs w:val="24"/>
        </w:rPr>
        <w:t>Constr.</w:t>
      </w:r>
      <w:r w:rsidRPr="006212F9">
        <w:rPr>
          <w:rFonts w:ascii="Arial" w:hAnsi="Arial" w:cs="Arial"/>
          <w:noProof/>
          <w:sz w:val="20"/>
          <w:szCs w:val="24"/>
        </w:rPr>
        <w:t>, vol. 144, 2022.</w:t>
      </w:r>
    </w:p>
    <w:p w14:paraId="49D59029"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[40]</w:t>
      </w:r>
      <w:r w:rsidRPr="006212F9">
        <w:rPr>
          <w:rFonts w:ascii="Arial" w:hAnsi="Arial" w:cs="Arial"/>
          <w:noProof/>
          <w:sz w:val="20"/>
          <w:szCs w:val="24"/>
        </w:rPr>
        <w:tab/>
        <w:t xml:space="preserve">M. Rausand and S. Haugen, </w:t>
      </w:r>
      <w:r w:rsidRPr="006212F9">
        <w:rPr>
          <w:rFonts w:ascii="Arial" w:hAnsi="Arial" w:cs="Arial"/>
          <w:i/>
          <w:iCs/>
          <w:noProof/>
          <w:sz w:val="20"/>
          <w:szCs w:val="24"/>
        </w:rPr>
        <w:t>Risk assessment: Theory, methods, and applications</w:t>
      </w:r>
      <w:r w:rsidRPr="006212F9">
        <w:rPr>
          <w:rFonts w:ascii="Arial" w:hAnsi="Arial" w:cs="Arial"/>
          <w:noProof/>
          <w:sz w:val="20"/>
          <w:szCs w:val="24"/>
        </w:rPr>
        <w:t>. 2020.</w:t>
      </w:r>
    </w:p>
    <w:p w14:paraId="21085016"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[41]</w:t>
      </w:r>
      <w:r w:rsidRPr="006212F9">
        <w:rPr>
          <w:rFonts w:ascii="Arial" w:hAnsi="Arial" w:cs="Arial"/>
          <w:noProof/>
          <w:sz w:val="20"/>
          <w:szCs w:val="24"/>
        </w:rPr>
        <w:tab/>
        <w:t xml:space="preserve">H. Chi, Y. Du, and P. M. Brett, “Design of a Marine Environment Monitoring System Based on the Internet of Things,” </w:t>
      </w:r>
      <w:r w:rsidRPr="006212F9">
        <w:rPr>
          <w:rFonts w:ascii="Arial" w:hAnsi="Arial" w:cs="Arial"/>
          <w:i/>
          <w:iCs/>
          <w:noProof/>
          <w:sz w:val="20"/>
          <w:szCs w:val="24"/>
        </w:rPr>
        <w:t>J. Coast. Res.</w:t>
      </w:r>
      <w:r w:rsidRPr="006212F9">
        <w:rPr>
          <w:rFonts w:ascii="Arial" w:hAnsi="Arial" w:cs="Arial"/>
          <w:noProof/>
          <w:sz w:val="20"/>
          <w:szCs w:val="24"/>
        </w:rPr>
        <w:t>, vol. 110, no. sp1, pp. 256–260, 2020.</w:t>
      </w:r>
    </w:p>
    <w:p w14:paraId="56F511A4"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[42]</w:t>
      </w:r>
      <w:r w:rsidRPr="006212F9">
        <w:rPr>
          <w:rFonts w:ascii="Arial" w:hAnsi="Arial" w:cs="Arial"/>
          <w:noProof/>
          <w:sz w:val="20"/>
          <w:szCs w:val="24"/>
        </w:rPr>
        <w:tab/>
        <w:t xml:space="preserve">X. Li, X. Hao, L. Yin, Y. Ma, M. Sun, and R. Yang, “Development and application of an environment monitoring system based on IPv6,” </w:t>
      </w:r>
      <w:r w:rsidRPr="006212F9">
        <w:rPr>
          <w:rFonts w:ascii="Arial" w:hAnsi="Arial" w:cs="Arial"/>
          <w:i/>
          <w:iCs/>
          <w:noProof/>
          <w:sz w:val="20"/>
          <w:szCs w:val="24"/>
        </w:rPr>
        <w:t>Sci. Rep.</w:t>
      </w:r>
      <w:r w:rsidRPr="006212F9">
        <w:rPr>
          <w:rFonts w:ascii="Arial" w:hAnsi="Arial" w:cs="Arial"/>
          <w:noProof/>
          <w:sz w:val="20"/>
          <w:szCs w:val="24"/>
        </w:rPr>
        <w:t>, vol. 12, no. 1, 2022.</w:t>
      </w:r>
    </w:p>
    <w:p w14:paraId="12B29C85"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[43]</w:t>
      </w:r>
      <w:r w:rsidRPr="006212F9">
        <w:rPr>
          <w:rFonts w:ascii="Arial" w:hAnsi="Arial" w:cs="Arial"/>
          <w:noProof/>
          <w:sz w:val="20"/>
          <w:szCs w:val="24"/>
        </w:rPr>
        <w:tab/>
        <w:t xml:space="preserve">X. Wang, C. Wei, Y. He, H. Zhang, and Q. Wang, “Research on the correlation between work accidents and safety policies in China,” </w:t>
      </w:r>
      <w:r w:rsidRPr="006212F9">
        <w:rPr>
          <w:rFonts w:ascii="Arial" w:hAnsi="Arial" w:cs="Arial"/>
          <w:i/>
          <w:iCs/>
          <w:noProof/>
          <w:sz w:val="20"/>
          <w:szCs w:val="24"/>
        </w:rPr>
        <w:t>Processes</w:t>
      </w:r>
      <w:r w:rsidRPr="006212F9">
        <w:rPr>
          <w:rFonts w:ascii="Arial" w:hAnsi="Arial" w:cs="Arial"/>
          <w:noProof/>
          <w:sz w:val="20"/>
          <w:szCs w:val="24"/>
        </w:rPr>
        <w:t>, vol. 9, no. 5, 2021.</w:t>
      </w:r>
    </w:p>
    <w:p w14:paraId="692B48EB"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szCs w:val="24"/>
        </w:rPr>
      </w:pPr>
      <w:r w:rsidRPr="006212F9">
        <w:rPr>
          <w:rFonts w:ascii="Arial" w:hAnsi="Arial" w:cs="Arial"/>
          <w:noProof/>
          <w:sz w:val="20"/>
          <w:szCs w:val="24"/>
        </w:rPr>
        <w:t>[44]</w:t>
      </w:r>
      <w:r w:rsidRPr="006212F9">
        <w:rPr>
          <w:rFonts w:ascii="Arial" w:hAnsi="Arial" w:cs="Arial"/>
          <w:noProof/>
          <w:sz w:val="20"/>
          <w:szCs w:val="24"/>
        </w:rPr>
        <w:tab/>
        <w:t xml:space="preserve">X. Du, N. Wang, S. Lu, A. Zhang, and S.-B. Tsai, “Sustainable competitive advantage under digital transformation: an eco-strategy perspective,” </w:t>
      </w:r>
      <w:r w:rsidRPr="006212F9">
        <w:rPr>
          <w:rFonts w:ascii="Arial" w:hAnsi="Arial" w:cs="Arial"/>
          <w:i/>
          <w:iCs/>
          <w:noProof/>
          <w:sz w:val="20"/>
          <w:szCs w:val="24"/>
        </w:rPr>
        <w:t>Chinese Manag. Stud.</w:t>
      </w:r>
      <w:r w:rsidRPr="006212F9">
        <w:rPr>
          <w:rFonts w:ascii="Arial" w:hAnsi="Arial" w:cs="Arial"/>
          <w:noProof/>
          <w:sz w:val="20"/>
          <w:szCs w:val="24"/>
        </w:rPr>
        <w:t>, 2024.</w:t>
      </w:r>
    </w:p>
    <w:p w14:paraId="3C995ED3" w14:textId="77777777" w:rsidR="006212F9" w:rsidRPr="006212F9" w:rsidRDefault="006212F9" w:rsidP="006212F9">
      <w:pPr>
        <w:widowControl w:val="0"/>
        <w:autoSpaceDE w:val="0"/>
        <w:autoSpaceDN w:val="0"/>
        <w:adjustRightInd w:val="0"/>
        <w:spacing w:after="0" w:line="240" w:lineRule="auto"/>
        <w:ind w:leftChars="1" w:left="426" w:hangingChars="212" w:hanging="424"/>
        <w:jc w:val="both"/>
        <w:rPr>
          <w:rFonts w:ascii="Arial" w:hAnsi="Arial" w:cs="Arial"/>
          <w:noProof/>
          <w:sz w:val="20"/>
        </w:rPr>
      </w:pPr>
      <w:r w:rsidRPr="006212F9">
        <w:rPr>
          <w:rFonts w:ascii="Arial" w:hAnsi="Arial" w:cs="Arial"/>
          <w:noProof/>
          <w:sz w:val="20"/>
          <w:szCs w:val="24"/>
        </w:rPr>
        <w:t>[45]</w:t>
      </w:r>
      <w:r w:rsidRPr="006212F9">
        <w:rPr>
          <w:rFonts w:ascii="Arial" w:hAnsi="Arial" w:cs="Arial"/>
          <w:noProof/>
          <w:sz w:val="20"/>
          <w:szCs w:val="24"/>
        </w:rPr>
        <w:tab/>
        <w:t xml:space="preserve">S. K. Bhoi </w:t>
      </w:r>
      <w:r w:rsidRPr="006212F9">
        <w:rPr>
          <w:rFonts w:ascii="Arial" w:hAnsi="Arial" w:cs="Arial"/>
          <w:i/>
          <w:iCs/>
          <w:noProof/>
          <w:sz w:val="20"/>
          <w:szCs w:val="24"/>
        </w:rPr>
        <w:t>et al.</w:t>
      </w:r>
      <w:r w:rsidRPr="006212F9">
        <w:rPr>
          <w:rFonts w:ascii="Arial" w:hAnsi="Arial" w:cs="Arial"/>
          <w:noProof/>
          <w:sz w:val="20"/>
          <w:szCs w:val="24"/>
        </w:rPr>
        <w:t xml:space="preserve">, “IoT-EMS: An Internet of Things Based Environment Monitoring System in Volunteer Computing Environment,” </w:t>
      </w:r>
      <w:r w:rsidRPr="006212F9">
        <w:rPr>
          <w:rFonts w:ascii="Arial" w:hAnsi="Arial" w:cs="Arial"/>
          <w:i/>
          <w:iCs/>
          <w:noProof/>
          <w:sz w:val="20"/>
          <w:szCs w:val="24"/>
        </w:rPr>
        <w:t>Intell. Autom. Soft Comput.</w:t>
      </w:r>
      <w:r w:rsidRPr="006212F9">
        <w:rPr>
          <w:rFonts w:ascii="Arial" w:hAnsi="Arial" w:cs="Arial"/>
          <w:noProof/>
          <w:sz w:val="20"/>
          <w:szCs w:val="24"/>
        </w:rPr>
        <w:t>, vol. 32, no. 3, pp. 1493–1507, 2022.</w:t>
      </w:r>
    </w:p>
    <w:p w14:paraId="00000080" w14:textId="1F4269DD" w:rsidR="00FF0465" w:rsidRDefault="00B361AA" w:rsidP="006212F9">
      <w:pPr>
        <w:pBdr>
          <w:top w:val="nil"/>
          <w:left w:val="nil"/>
          <w:bottom w:val="nil"/>
          <w:right w:val="nil"/>
          <w:between w:val="nil"/>
        </w:pBdr>
        <w:shd w:val="clear" w:color="auto" w:fill="FFFFFF"/>
        <w:spacing w:after="0" w:line="240" w:lineRule="auto"/>
        <w:ind w:leftChars="1" w:left="426" w:hangingChars="212" w:hanging="424"/>
        <w:jc w:val="both"/>
        <w:rPr>
          <w:rFonts w:ascii="Arial" w:eastAsia="Arial" w:hAnsi="Arial" w:cs="Arial"/>
          <w:color w:val="000000"/>
          <w:sz w:val="20"/>
          <w:szCs w:val="20"/>
        </w:rPr>
        <w:sectPr w:rsidR="00FF0465">
          <w:type w:val="continuous"/>
          <w:pgSz w:w="11907" w:h="16840"/>
          <w:pgMar w:top="1701" w:right="1134" w:bottom="1701" w:left="1701" w:header="680" w:footer="680" w:gutter="0"/>
          <w:cols w:num="2" w:space="720" w:equalWidth="0">
            <w:col w:w="4394" w:space="284"/>
            <w:col w:w="4394" w:space="0"/>
          </w:cols>
          <w:titlePg/>
        </w:sectPr>
      </w:pPr>
      <w:r>
        <w:rPr>
          <w:rFonts w:ascii="Arial" w:eastAsia="Arial" w:hAnsi="Arial" w:cs="Arial"/>
          <w:color w:val="000000"/>
          <w:sz w:val="20"/>
          <w:szCs w:val="20"/>
        </w:rPr>
        <w:fldChar w:fldCharType="end"/>
      </w:r>
    </w:p>
    <w:p w14:paraId="00000081" w14:textId="77777777" w:rsidR="00FF0465" w:rsidRDefault="00FF0465" w:rsidP="006212F9">
      <w:pPr>
        <w:pBdr>
          <w:top w:val="nil"/>
          <w:left w:val="nil"/>
          <w:bottom w:val="nil"/>
          <w:right w:val="nil"/>
          <w:between w:val="nil"/>
        </w:pBdr>
        <w:shd w:val="clear" w:color="auto" w:fill="FFFFFF"/>
        <w:spacing w:after="0" w:line="240" w:lineRule="auto"/>
        <w:ind w:leftChars="1" w:left="426" w:hangingChars="212" w:hanging="424"/>
        <w:jc w:val="both"/>
        <w:rPr>
          <w:rFonts w:ascii="Arial" w:eastAsia="Arial" w:hAnsi="Arial" w:cs="Arial"/>
          <w:color w:val="000000"/>
          <w:sz w:val="20"/>
          <w:szCs w:val="20"/>
        </w:rPr>
      </w:pPr>
    </w:p>
    <w:sectPr w:rsidR="00FF0465">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5BF50" w14:textId="77777777" w:rsidR="007B76E4" w:rsidRDefault="007B76E4">
      <w:pPr>
        <w:spacing w:after="0" w:line="240" w:lineRule="auto"/>
        <w:ind w:left="0" w:hanging="2"/>
      </w:pPr>
      <w:r>
        <w:separator/>
      </w:r>
    </w:p>
  </w:endnote>
  <w:endnote w:type="continuationSeparator" w:id="0">
    <w:p w14:paraId="32E57597" w14:textId="77777777" w:rsidR="007B76E4" w:rsidRDefault="007B76E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XB Kayhan">
    <w:altName w:val="Arial"/>
    <w:charset w:val="00"/>
    <w:family w:val="auto"/>
    <w:pitch w:val="variable"/>
    <w:sig w:usb0="00002007" w:usb1="80000000" w:usb2="00000008" w:usb3="00000000" w:csb0="00000051" w:csb1="00000000"/>
  </w:font>
  <w:font w:name="Cambria">
    <w:panose1 w:val="02040503050406030204"/>
    <w:charset w:val="00"/>
    <w:family w:val="roman"/>
    <w:pitch w:val="variable"/>
    <w:sig w:usb0="E00006FF" w:usb1="420024FF" w:usb2="02000000" w:usb3="00000000" w:csb0="0000019F" w:csb1="00000000"/>
  </w:font>
  <w:font w:name="B Nazani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6" w14:textId="77777777" w:rsidR="00FF0465" w:rsidRDefault="00FF0465">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FF0465" w14:paraId="33C28D8F" w14:textId="77777777">
      <w:tc>
        <w:tcPr>
          <w:tcW w:w="1242" w:type="dxa"/>
        </w:tcPr>
        <w:p w14:paraId="00000097" w14:textId="3C4C11F9" w:rsidR="00FF0465" w:rsidRDefault="00500ED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7AD5">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00000098" w14:textId="77777777" w:rsidR="00FF0465" w:rsidRDefault="00500ED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00000099" w14:textId="77777777" w:rsidR="00FF0465" w:rsidRDefault="00FF0465">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2" w14:textId="77777777" w:rsidR="00FF0465" w:rsidRDefault="00FF0465">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FF0465" w14:paraId="4E98A1E8" w14:textId="77777777">
      <w:tc>
        <w:tcPr>
          <w:tcW w:w="8453" w:type="dxa"/>
        </w:tcPr>
        <w:p w14:paraId="00000093" w14:textId="77777777" w:rsidR="00FF0465" w:rsidRDefault="00500ED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00000094" w14:textId="215288EC" w:rsidR="00FF0465" w:rsidRDefault="00500ED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7AD5">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00000095" w14:textId="77777777" w:rsidR="00FF0465" w:rsidRDefault="00FF0465">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E" w14:textId="77777777" w:rsidR="00FF0465" w:rsidRDefault="00FF0465">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FF0465" w14:paraId="129EE4C1" w14:textId="77777777">
      <w:tc>
        <w:tcPr>
          <w:tcW w:w="8453" w:type="dxa"/>
        </w:tcPr>
        <w:p w14:paraId="0000008F" w14:textId="77777777" w:rsidR="00FF0465" w:rsidRDefault="00500ED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00000090" w14:textId="10C04CB9" w:rsidR="00FF0465" w:rsidRDefault="00500ED1">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77AD5">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00000091" w14:textId="77777777" w:rsidR="00FF0465" w:rsidRDefault="00FF0465">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5499B" w14:textId="77777777" w:rsidR="007B76E4" w:rsidRDefault="007B76E4">
      <w:pPr>
        <w:spacing w:after="0" w:line="240" w:lineRule="auto"/>
        <w:ind w:left="0" w:hanging="2"/>
      </w:pPr>
      <w:r>
        <w:separator/>
      </w:r>
    </w:p>
  </w:footnote>
  <w:footnote w:type="continuationSeparator" w:id="0">
    <w:p w14:paraId="1443E1A5" w14:textId="77777777" w:rsidR="007B76E4" w:rsidRDefault="007B76E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2" w14:textId="77777777" w:rsidR="00FF0465" w:rsidRDefault="00FF046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FF0465" w14:paraId="47E04CBD" w14:textId="77777777">
      <w:tc>
        <w:tcPr>
          <w:tcW w:w="9288" w:type="dxa"/>
        </w:tcPr>
        <w:p w14:paraId="00000083" w14:textId="77777777" w:rsidR="00FF0465" w:rsidRDefault="00500ED1">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00000084" w14:textId="77777777" w:rsidR="00FF0465" w:rsidRDefault="00FF0465">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B" w14:textId="77777777" w:rsidR="00FF0465" w:rsidRDefault="00FF0465">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FF0465" w14:paraId="7243B2B1" w14:textId="77777777">
      <w:tc>
        <w:tcPr>
          <w:tcW w:w="9288" w:type="dxa"/>
        </w:tcPr>
        <w:p w14:paraId="0000008C" w14:textId="77777777" w:rsidR="00FF0465" w:rsidRDefault="00500ED1">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0000008D" w14:textId="77777777" w:rsidR="00FF0465" w:rsidRDefault="00FF046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5" w14:textId="77777777" w:rsidR="00FF0465" w:rsidRDefault="00FF046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FF0465" w14:paraId="52C31B22" w14:textId="77777777">
      <w:tc>
        <w:tcPr>
          <w:tcW w:w="1701" w:type="dxa"/>
        </w:tcPr>
        <w:p w14:paraId="00000086" w14:textId="77777777" w:rsidR="00FF0465" w:rsidRDefault="00500ED1">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00000087" w14:textId="77777777" w:rsidR="00FF0465" w:rsidRDefault="00500ED1">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0000088" w14:textId="77777777" w:rsidR="00FF0465" w:rsidRDefault="00500ED1">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00000089" w14:textId="77777777" w:rsidR="00FF0465" w:rsidRDefault="00FF0465">
    <w:pPr>
      <w:pBdr>
        <w:top w:val="nil"/>
        <w:left w:val="nil"/>
        <w:bottom w:val="nil"/>
        <w:right w:val="nil"/>
        <w:between w:val="nil"/>
      </w:pBdr>
      <w:spacing w:after="0" w:line="240" w:lineRule="auto"/>
      <w:ind w:left="0" w:hanging="2"/>
      <w:rPr>
        <w:color w:val="000000"/>
      </w:rPr>
    </w:pPr>
  </w:p>
  <w:p w14:paraId="0000008A" w14:textId="77777777" w:rsidR="00FF0465" w:rsidRDefault="00FF0465">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6EF8"/>
    <w:multiLevelType w:val="hybridMultilevel"/>
    <w:tmpl w:val="CAA6DAAC"/>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15:restartNumberingAfterBreak="0">
    <w:nsid w:val="1D0B64D6"/>
    <w:multiLevelType w:val="hybridMultilevel"/>
    <w:tmpl w:val="8A266344"/>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15:restartNumberingAfterBreak="0">
    <w:nsid w:val="30142C10"/>
    <w:multiLevelType w:val="multilevel"/>
    <w:tmpl w:val="15F0D6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1AA0FBD"/>
    <w:multiLevelType w:val="multilevel"/>
    <w:tmpl w:val="0A72FE2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7DC4363"/>
    <w:multiLevelType w:val="hybridMultilevel"/>
    <w:tmpl w:val="BE2E94DE"/>
    <w:lvl w:ilvl="0" w:tplc="3809000F">
      <w:start w:val="1"/>
      <w:numFmt w:val="decimal"/>
      <w:lvlText w:val="%1."/>
      <w:lvlJc w:val="left"/>
      <w:pPr>
        <w:ind w:left="720" w:right="1378" w:hanging="360"/>
      </w:pPr>
    </w:lvl>
    <w:lvl w:ilvl="1" w:tplc="38090019">
      <w:start w:val="1"/>
      <w:numFmt w:val="lowerLetter"/>
      <w:lvlText w:val="%2."/>
      <w:lvlJc w:val="left"/>
      <w:pPr>
        <w:ind w:left="1440" w:right="2098" w:hanging="360"/>
      </w:pPr>
    </w:lvl>
    <w:lvl w:ilvl="2" w:tplc="3809001B">
      <w:start w:val="1"/>
      <w:numFmt w:val="lowerRoman"/>
      <w:lvlText w:val="%3."/>
      <w:lvlJc w:val="right"/>
      <w:pPr>
        <w:ind w:left="2160" w:right="2818" w:hanging="180"/>
      </w:pPr>
    </w:lvl>
    <w:lvl w:ilvl="3" w:tplc="3809000F">
      <w:start w:val="1"/>
      <w:numFmt w:val="decimal"/>
      <w:lvlText w:val="%4."/>
      <w:lvlJc w:val="left"/>
      <w:pPr>
        <w:ind w:left="2880" w:right="3538" w:hanging="360"/>
      </w:pPr>
    </w:lvl>
    <w:lvl w:ilvl="4" w:tplc="38090019">
      <w:start w:val="1"/>
      <w:numFmt w:val="lowerLetter"/>
      <w:lvlText w:val="%5."/>
      <w:lvlJc w:val="left"/>
      <w:pPr>
        <w:ind w:left="3600" w:right="4258" w:hanging="360"/>
      </w:pPr>
    </w:lvl>
    <w:lvl w:ilvl="5" w:tplc="3809001B">
      <w:start w:val="1"/>
      <w:numFmt w:val="lowerRoman"/>
      <w:lvlText w:val="%6."/>
      <w:lvlJc w:val="right"/>
      <w:pPr>
        <w:ind w:left="4320" w:right="4978" w:hanging="180"/>
      </w:pPr>
    </w:lvl>
    <w:lvl w:ilvl="6" w:tplc="3809000F">
      <w:start w:val="1"/>
      <w:numFmt w:val="decimal"/>
      <w:lvlText w:val="%7."/>
      <w:lvlJc w:val="left"/>
      <w:pPr>
        <w:ind w:left="5040" w:right="5698" w:hanging="360"/>
      </w:pPr>
    </w:lvl>
    <w:lvl w:ilvl="7" w:tplc="38090019">
      <w:start w:val="1"/>
      <w:numFmt w:val="lowerLetter"/>
      <w:lvlText w:val="%8."/>
      <w:lvlJc w:val="left"/>
      <w:pPr>
        <w:ind w:left="5760" w:right="6418" w:hanging="360"/>
      </w:pPr>
    </w:lvl>
    <w:lvl w:ilvl="8" w:tplc="3809001B">
      <w:start w:val="1"/>
      <w:numFmt w:val="lowerRoman"/>
      <w:lvlText w:val="%9."/>
      <w:lvlJc w:val="right"/>
      <w:pPr>
        <w:ind w:left="6480" w:right="7138" w:hanging="180"/>
      </w:pPr>
    </w:lvl>
  </w:abstractNum>
  <w:abstractNum w:abstractNumId="5" w15:restartNumberingAfterBreak="0">
    <w:nsid w:val="67EC1E47"/>
    <w:multiLevelType w:val="hybridMultilevel"/>
    <w:tmpl w:val="7342447C"/>
    <w:lvl w:ilvl="0" w:tplc="3E20C6DE">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abstractNumId w:val="2"/>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465"/>
    <w:rsid w:val="000713C2"/>
    <w:rsid w:val="0012075E"/>
    <w:rsid w:val="001925B2"/>
    <w:rsid w:val="00263B53"/>
    <w:rsid w:val="0033189C"/>
    <w:rsid w:val="004642B8"/>
    <w:rsid w:val="004F48D5"/>
    <w:rsid w:val="00500ED1"/>
    <w:rsid w:val="00506B5D"/>
    <w:rsid w:val="005B1814"/>
    <w:rsid w:val="005B5E41"/>
    <w:rsid w:val="006212F9"/>
    <w:rsid w:val="00662052"/>
    <w:rsid w:val="007A591E"/>
    <w:rsid w:val="007B76E4"/>
    <w:rsid w:val="009D0C45"/>
    <w:rsid w:val="00B361AA"/>
    <w:rsid w:val="00B62D0D"/>
    <w:rsid w:val="00B77AD5"/>
    <w:rsid w:val="00CB7E94"/>
    <w:rsid w:val="00D20277"/>
    <w:rsid w:val="00D3360F"/>
    <w:rsid w:val="00DA13BA"/>
    <w:rsid w:val="00E65D70"/>
    <w:rsid w:val="00F65AB6"/>
    <w:rsid w:val="00FF04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AD35D"/>
  <w15:docId w15:val="{22CCCB2D-2BE8-4FA1-BD7C-AAB1DD6E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customStyle="1" w:styleId="BODYChar">
    <w:name w:val="BODY Char"/>
    <w:basedOn w:val="DefaultParagraphFont"/>
    <w:link w:val="BODY"/>
    <w:locked/>
    <w:rsid w:val="00B77AD5"/>
    <w:rPr>
      <w:rFonts w:ascii="Garamond" w:hAnsi="Garamond" w:cs="XB Kayhan"/>
      <w:szCs w:val="23"/>
    </w:rPr>
  </w:style>
  <w:style w:type="paragraph" w:customStyle="1" w:styleId="BODY">
    <w:name w:val="BODY"/>
    <w:basedOn w:val="Normal"/>
    <w:link w:val="BODYChar"/>
    <w:qFormat/>
    <w:rsid w:val="00B77AD5"/>
    <w:pPr>
      <w:suppressAutoHyphens w:val="0"/>
      <w:spacing w:after="120"/>
      <w:ind w:leftChars="0" w:left="658" w:right="567" w:firstLineChars="0" w:firstLine="0"/>
      <w:jc w:val="both"/>
      <w:textDirection w:val="lrTb"/>
      <w:textAlignment w:val="auto"/>
      <w:outlineLvl w:val="9"/>
    </w:pPr>
    <w:rPr>
      <w:rFonts w:ascii="Garamond" w:hAnsi="Garamond" w:cs="XB Kayhan"/>
      <w:position w:val="0"/>
      <w:szCs w:val="23"/>
      <w:lang w:eastAsia="en-ID"/>
    </w:rPr>
  </w:style>
  <w:style w:type="table" w:customStyle="1" w:styleId="PlainTable21">
    <w:name w:val="Plain Table 21"/>
    <w:basedOn w:val="TableNormal"/>
    <w:uiPriority w:val="42"/>
    <w:rsid w:val="00263B53"/>
    <w:pPr>
      <w:spacing w:before="480" w:after="100" w:afterAutospacing="1" w:line="240" w:lineRule="auto"/>
      <w:ind w:left="720" w:right="720" w:firstLine="432"/>
      <w:jc w:val="both"/>
    </w:pPr>
    <w:rPr>
      <w:rFonts w:ascii="Times New Roman" w:eastAsiaTheme="minorHAnsi" w:hAnsi="Times New Roman" w:cs="B Nazanin"/>
      <w:color w:val="000000"/>
      <w:szCs w:val="24"/>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igureChar">
    <w:name w:val="Figure Char"/>
    <w:basedOn w:val="DefaultParagraphFont"/>
    <w:link w:val="Figure"/>
    <w:locked/>
    <w:rsid w:val="001925B2"/>
    <w:rPr>
      <w:rFonts w:ascii="Garamond" w:eastAsiaTheme="majorEastAsia" w:hAnsi="Garamond" w:cstheme="majorBidi"/>
      <w:b/>
      <w:color w:val="000000" w:themeColor="text1"/>
      <w:sz w:val="20"/>
      <w:szCs w:val="16"/>
      <w:lang w:bidi="fa-IR"/>
    </w:rPr>
  </w:style>
  <w:style w:type="paragraph" w:customStyle="1" w:styleId="Figure">
    <w:name w:val="Figure"/>
    <w:basedOn w:val="Heading4"/>
    <w:link w:val="FigureChar"/>
    <w:qFormat/>
    <w:rsid w:val="001925B2"/>
    <w:pPr>
      <w:suppressAutoHyphens w:val="0"/>
      <w:spacing w:before="0" w:after="120"/>
      <w:ind w:leftChars="0" w:left="862" w:right="567" w:firstLineChars="0" w:hanging="862"/>
      <w:jc w:val="center"/>
      <w:textDirection w:val="lrTb"/>
      <w:textAlignment w:val="auto"/>
    </w:pPr>
    <w:rPr>
      <w:rFonts w:ascii="Garamond" w:eastAsiaTheme="majorEastAsia" w:hAnsi="Garamond" w:cstheme="majorBidi"/>
      <w:color w:val="000000" w:themeColor="text1"/>
      <w:position w:val="0"/>
      <w:sz w:val="20"/>
      <w:szCs w:val="16"/>
      <w:lang w:eastAsia="en-ID"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58870">
      <w:bodyDiv w:val="1"/>
      <w:marLeft w:val="0"/>
      <w:marRight w:val="0"/>
      <w:marTop w:val="0"/>
      <w:marBottom w:val="0"/>
      <w:divBdr>
        <w:top w:val="none" w:sz="0" w:space="0" w:color="auto"/>
        <w:left w:val="none" w:sz="0" w:space="0" w:color="auto"/>
        <w:bottom w:val="none" w:sz="0" w:space="0" w:color="auto"/>
        <w:right w:val="none" w:sz="0" w:space="0" w:color="auto"/>
      </w:divBdr>
    </w:div>
    <w:div w:id="543834283">
      <w:bodyDiv w:val="1"/>
      <w:marLeft w:val="0"/>
      <w:marRight w:val="0"/>
      <w:marTop w:val="0"/>
      <w:marBottom w:val="0"/>
      <w:divBdr>
        <w:top w:val="none" w:sz="0" w:space="0" w:color="auto"/>
        <w:left w:val="none" w:sz="0" w:space="0" w:color="auto"/>
        <w:bottom w:val="none" w:sz="0" w:space="0" w:color="auto"/>
        <w:right w:val="none" w:sz="0" w:space="0" w:color="auto"/>
      </w:divBdr>
    </w:div>
    <w:div w:id="597326596">
      <w:bodyDiv w:val="1"/>
      <w:marLeft w:val="0"/>
      <w:marRight w:val="0"/>
      <w:marTop w:val="0"/>
      <w:marBottom w:val="0"/>
      <w:divBdr>
        <w:top w:val="none" w:sz="0" w:space="0" w:color="auto"/>
        <w:left w:val="none" w:sz="0" w:space="0" w:color="auto"/>
        <w:bottom w:val="none" w:sz="0" w:space="0" w:color="auto"/>
        <w:right w:val="none" w:sz="0" w:space="0" w:color="auto"/>
      </w:divBdr>
    </w:div>
    <w:div w:id="629172932">
      <w:bodyDiv w:val="1"/>
      <w:marLeft w:val="0"/>
      <w:marRight w:val="0"/>
      <w:marTop w:val="0"/>
      <w:marBottom w:val="0"/>
      <w:divBdr>
        <w:top w:val="none" w:sz="0" w:space="0" w:color="auto"/>
        <w:left w:val="none" w:sz="0" w:space="0" w:color="auto"/>
        <w:bottom w:val="none" w:sz="0" w:space="0" w:color="auto"/>
        <w:right w:val="none" w:sz="0" w:space="0" w:color="auto"/>
      </w:divBdr>
    </w:div>
    <w:div w:id="702940381">
      <w:bodyDiv w:val="1"/>
      <w:marLeft w:val="0"/>
      <w:marRight w:val="0"/>
      <w:marTop w:val="0"/>
      <w:marBottom w:val="0"/>
      <w:divBdr>
        <w:top w:val="none" w:sz="0" w:space="0" w:color="auto"/>
        <w:left w:val="none" w:sz="0" w:space="0" w:color="auto"/>
        <w:bottom w:val="none" w:sz="0" w:space="0" w:color="auto"/>
        <w:right w:val="none" w:sz="0" w:space="0" w:color="auto"/>
      </w:divBdr>
    </w:div>
    <w:div w:id="974992067">
      <w:bodyDiv w:val="1"/>
      <w:marLeft w:val="0"/>
      <w:marRight w:val="0"/>
      <w:marTop w:val="0"/>
      <w:marBottom w:val="0"/>
      <w:divBdr>
        <w:top w:val="none" w:sz="0" w:space="0" w:color="auto"/>
        <w:left w:val="none" w:sz="0" w:space="0" w:color="auto"/>
        <w:bottom w:val="none" w:sz="0" w:space="0" w:color="auto"/>
        <w:right w:val="none" w:sz="0" w:space="0" w:color="auto"/>
      </w:divBdr>
    </w:div>
    <w:div w:id="1210066496">
      <w:bodyDiv w:val="1"/>
      <w:marLeft w:val="0"/>
      <w:marRight w:val="0"/>
      <w:marTop w:val="0"/>
      <w:marBottom w:val="0"/>
      <w:divBdr>
        <w:top w:val="none" w:sz="0" w:space="0" w:color="auto"/>
        <w:left w:val="none" w:sz="0" w:space="0" w:color="auto"/>
        <w:bottom w:val="none" w:sz="0" w:space="0" w:color="auto"/>
        <w:right w:val="none" w:sz="0" w:space="0" w:color="auto"/>
      </w:divBdr>
    </w:div>
    <w:div w:id="1216890431">
      <w:bodyDiv w:val="1"/>
      <w:marLeft w:val="0"/>
      <w:marRight w:val="0"/>
      <w:marTop w:val="0"/>
      <w:marBottom w:val="0"/>
      <w:divBdr>
        <w:top w:val="none" w:sz="0" w:space="0" w:color="auto"/>
        <w:left w:val="none" w:sz="0" w:space="0" w:color="auto"/>
        <w:bottom w:val="none" w:sz="0" w:space="0" w:color="auto"/>
        <w:right w:val="none" w:sz="0" w:space="0" w:color="auto"/>
      </w:divBdr>
    </w:div>
    <w:div w:id="1399740388">
      <w:bodyDiv w:val="1"/>
      <w:marLeft w:val="0"/>
      <w:marRight w:val="0"/>
      <w:marTop w:val="0"/>
      <w:marBottom w:val="0"/>
      <w:divBdr>
        <w:top w:val="none" w:sz="0" w:space="0" w:color="auto"/>
        <w:left w:val="none" w:sz="0" w:space="0" w:color="auto"/>
        <w:bottom w:val="none" w:sz="0" w:space="0" w:color="auto"/>
        <w:right w:val="none" w:sz="0" w:space="0" w:color="auto"/>
      </w:divBdr>
    </w:div>
    <w:div w:id="1484741332">
      <w:bodyDiv w:val="1"/>
      <w:marLeft w:val="0"/>
      <w:marRight w:val="0"/>
      <w:marTop w:val="0"/>
      <w:marBottom w:val="0"/>
      <w:divBdr>
        <w:top w:val="none" w:sz="0" w:space="0" w:color="auto"/>
        <w:left w:val="none" w:sz="0" w:space="0" w:color="auto"/>
        <w:bottom w:val="none" w:sz="0" w:space="0" w:color="auto"/>
        <w:right w:val="none" w:sz="0" w:space="0" w:color="auto"/>
      </w:divBdr>
    </w:div>
    <w:div w:id="1923025500">
      <w:bodyDiv w:val="1"/>
      <w:marLeft w:val="0"/>
      <w:marRight w:val="0"/>
      <w:marTop w:val="0"/>
      <w:marBottom w:val="0"/>
      <w:divBdr>
        <w:top w:val="none" w:sz="0" w:space="0" w:color="auto"/>
        <w:left w:val="none" w:sz="0" w:space="0" w:color="auto"/>
        <w:bottom w:val="none" w:sz="0" w:space="0" w:color="auto"/>
        <w:right w:val="none" w:sz="0" w:space="0" w:color="auto"/>
      </w:divBdr>
    </w:div>
    <w:div w:id="2033416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10" Type="http://schemas.openxmlformats.org/officeDocument/2006/relationships/hyperlink" Target="http://creativecommons.org/licenses/by-sa/4.0/" TargetMode="External"/><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ata\Ubhara\penelitian\LK\IoT%20in%20health%20and%20safety\Zein\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'sensor jarak'!$C$2</c:f>
              <c:strCache>
                <c:ptCount val="1"/>
                <c:pt idx="0">
                  <c:v> measuring tape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'sensor jarak'!$B$3:$B$12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'sensor jarak'!$C$3:$C$12</c:f>
              <c:numCache>
                <c:formatCode>_-* #,##0.0_-;\-* #,##0.0_-;_-* "-"_-;_-@_-</c:formatCode>
                <c:ptCount val="10"/>
                <c:pt idx="0">
                  <c:v>10.3</c:v>
                </c:pt>
                <c:pt idx="1">
                  <c:v>32.700000000000003</c:v>
                </c:pt>
                <c:pt idx="2">
                  <c:v>50.4</c:v>
                </c:pt>
                <c:pt idx="3">
                  <c:v>72.599999999999994</c:v>
                </c:pt>
                <c:pt idx="4">
                  <c:v>102.8</c:v>
                </c:pt>
                <c:pt idx="5">
                  <c:v>135</c:v>
                </c:pt>
                <c:pt idx="6">
                  <c:v>167.1</c:v>
                </c:pt>
                <c:pt idx="7">
                  <c:v>205.6</c:v>
                </c:pt>
                <c:pt idx="8">
                  <c:v>255</c:v>
                </c:pt>
                <c:pt idx="9">
                  <c:v>300</c:v>
                </c:pt>
              </c:numCache>
            </c:numRef>
          </c:val>
          <c:smooth val="0"/>
          <c:extLst>
            <c:ext xmlns:c16="http://schemas.microsoft.com/office/drawing/2014/chart" uri="{C3380CC4-5D6E-409C-BE32-E72D297353CC}">
              <c16:uniqueId val="{00000000-8D19-4A7F-8F32-8D7911A02A76}"/>
            </c:ext>
          </c:extLst>
        </c:ser>
        <c:ser>
          <c:idx val="1"/>
          <c:order val="1"/>
          <c:tx>
            <c:strRef>
              <c:f>'sensor jarak'!$D$2</c:f>
              <c:strCache>
                <c:ptCount val="1"/>
                <c:pt idx="0">
                  <c:v>HCSR-04</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'sensor jarak'!$B$3:$B$12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'sensor jarak'!$D$3:$D$12</c:f>
              <c:numCache>
                <c:formatCode>0.0</c:formatCode>
                <c:ptCount val="10"/>
                <c:pt idx="0">
                  <c:v>10.199999999999999</c:v>
                </c:pt>
                <c:pt idx="1">
                  <c:v>32.5</c:v>
                </c:pt>
                <c:pt idx="2">
                  <c:v>50.2</c:v>
                </c:pt>
                <c:pt idx="3">
                  <c:v>72.400000000000006</c:v>
                </c:pt>
                <c:pt idx="4">
                  <c:v>102.7</c:v>
                </c:pt>
                <c:pt idx="5">
                  <c:v>134.9</c:v>
                </c:pt>
                <c:pt idx="6">
                  <c:v>167</c:v>
                </c:pt>
                <c:pt idx="7">
                  <c:v>205.5</c:v>
                </c:pt>
                <c:pt idx="8">
                  <c:v>255</c:v>
                </c:pt>
                <c:pt idx="9">
                  <c:v>299.89999999999998</c:v>
                </c:pt>
              </c:numCache>
            </c:numRef>
          </c:val>
          <c:smooth val="0"/>
          <c:extLst>
            <c:ext xmlns:c16="http://schemas.microsoft.com/office/drawing/2014/chart" uri="{C3380CC4-5D6E-409C-BE32-E72D297353CC}">
              <c16:uniqueId val="{00000001-8D19-4A7F-8F32-8D7911A02A76}"/>
            </c:ext>
          </c:extLst>
        </c:ser>
        <c:ser>
          <c:idx val="2"/>
          <c:order val="2"/>
          <c:tx>
            <c:strRef>
              <c:f>'sensor jarak'!$E$2</c:f>
              <c:strCache>
                <c:ptCount val="1"/>
                <c:pt idx="0">
                  <c:v>Difference (cm)</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'sensor jarak'!$B$3:$B$12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'sensor jarak'!$E$3:$E$12</c:f>
              <c:numCache>
                <c:formatCode>General</c:formatCode>
                <c:ptCount val="10"/>
                <c:pt idx="0">
                  <c:v>0.10000000000000142</c:v>
                </c:pt>
                <c:pt idx="1">
                  <c:v>0.20000000000000284</c:v>
                </c:pt>
                <c:pt idx="2">
                  <c:v>0.19999999999999574</c:v>
                </c:pt>
                <c:pt idx="3">
                  <c:v>0.19999999999998863</c:v>
                </c:pt>
                <c:pt idx="4">
                  <c:v>9.9999999999994316E-2</c:v>
                </c:pt>
                <c:pt idx="5">
                  <c:v>9.9999999999994316E-2</c:v>
                </c:pt>
                <c:pt idx="6">
                  <c:v>9.9999999999994316E-2</c:v>
                </c:pt>
                <c:pt idx="7">
                  <c:v>9.9999999999994316E-2</c:v>
                </c:pt>
                <c:pt idx="8">
                  <c:v>0</c:v>
                </c:pt>
                <c:pt idx="9">
                  <c:v>0.10000000000002274</c:v>
                </c:pt>
              </c:numCache>
            </c:numRef>
          </c:val>
          <c:smooth val="0"/>
          <c:extLst>
            <c:ext xmlns:c16="http://schemas.microsoft.com/office/drawing/2014/chart" uri="{C3380CC4-5D6E-409C-BE32-E72D297353CC}">
              <c16:uniqueId val="{00000002-8D19-4A7F-8F32-8D7911A02A76}"/>
            </c:ext>
          </c:extLst>
        </c:ser>
        <c:dLbls>
          <c:showLegendKey val="0"/>
          <c:showVal val="0"/>
          <c:showCatName val="0"/>
          <c:showSerName val="0"/>
          <c:showPercent val="0"/>
          <c:showBubbleSize val="0"/>
        </c:dLbls>
        <c:marker val="1"/>
        <c:smooth val="0"/>
        <c:axId val="421939552"/>
        <c:axId val="421942176"/>
      </c:lineChart>
      <c:catAx>
        <c:axId val="42193955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nth trial</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1942176"/>
        <c:crosses val="autoZero"/>
        <c:auto val="1"/>
        <c:lblAlgn val="ctr"/>
        <c:lblOffset val="100"/>
        <c:noMultiLvlLbl val="0"/>
      </c:catAx>
      <c:valAx>
        <c:axId val="421942176"/>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Distance (cm)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0_-;\-* #,##0.0_-;_-* &quot;-&quot;_-;_-@_-"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1939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Sheet2!$C$2</c:f>
              <c:strCache>
                <c:ptCount val="1"/>
                <c:pt idx="0">
                  <c:v>Inclinometer (degree)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xVal>
            <c:numRef>
              <c:f>Sheet2!$B$3:$B$12</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Sheet2!$C$3:$C$12</c:f>
              <c:numCache>
                <c:formatCode>General</c:formatCode>
                <c:ptCount val="10"/>
                <c:pt idx="0">
                  <c:v>12</c:v>
                </c:pt>
                <c:pt idx="1">
                  <c:v>18</c:v>
                </c:pt>
                <c:pt idx="2">
                  <c:v>32</c:v>
                </c:pt>
                <c:pt idx="3">
                  <c:v>43</c:v>
                </c:pt>
                <c:pt idx="4">
                  <c:v>43</c:v>
                </c:pt>
                <c:pt idx="5">
                  <c:v>58</c:v>
                </c:pt>
                <c:pt idx="6">
                  <c:v>63</c:v>
                </c:pt>
                <c:pt idx="7">
                  <c:v>67</c:v>
                </c:pt>
                <c:pt idx="8">
                  <c:v>68</c:v>
                </c:pt>
                <c:pt idx="9">
                  <c:v>90</c:v>
                </c:pt>
              </c:numCache>
            </c:numRef>
          </c:yVal>
          <c:smooth val="1"/>
          <c:extLst>
            <c:ext xmlns:c16="http://schemas.microsoft.com/office/drawing/2014/chart" uri="{C3380CC4-5D6E-409C-BE32-E72D297353CC}">
              <c16:uniqueId val="{00000000-4D02-49B7-AFE9-F9C12A2154C2}"/>
            </c:ext>
          </c:extLst>
        </c:ser>
        <c:ser>
          <c:idx val="1"/>
          <c:order val="1"/>
          <c:tx>
            <c:strRef>
              <c:f>Sheet2!$D$2</c:f>
              <c:strCache>
                <c:ptCount val="1"/>
                <c:pt idx="0">
                  <c:v>MPU6050 (degree)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xVal>
            <c:numRef>
              <c:f>Sheet2!$B$3:$B$12</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Sheet2!$D$3:$D$12</c:f>
              <c:numCache>
                <c:formatCode>General</c:formatCode>
                <c:ptCount val="10"/>
                <c:pt idx="0">
                  <c:v>12</c:v>
                </c:pt>
                <c:pt idx="1">
                  <c:v>18</c:v>
                </c:pt>
                <c:pt idx="2">
                  <c:v>31</c:v>
                </c:pt>
                <c:pt idx="3">
                  <c:v>44</c:v>
                </c:pt>
                <c:pt idx="4">
                  <c:v>44</c:v>
                </c:pt>
                <c:pt idx="5">
                  <c:v>57</c:v>
                </c:pt>
                <c:pt idx="6">
                  <c:v>63</c:v>
                </c:pt>
                <c:pt idx="7">
                  <c:v>68</c:v>
                </c:pt>
                <c:pt idx="8">
                  <c:v>69</c:v>
                </c:pt>
                <c:pt idx="9">
                  <c:v>90</c:v>
                </c:pt>
              </c:numCache>
            </c:numRef>
          </c:yVal>
          <c:smooth val="1"/>
          <c:extLst>
            <c:ext xmlns:c16="http://schemas.microsoft.com/office/drawing/2014/chart" uri="{C3380CC4-5D6E-409C-BE32-E72D297353CC}">
              <c16:uniqueId val="{00000001-4D02-49B7-AFE9-F9C12A2154C2}"/>
            </c:ext>
          </c:extLst>
        </c:ser>
        <c:ser>
          <c:idx val="2"/>
          <c:order val="2"/>
          <c:tx>
            <c:strRef>
              <c:f>Sheet2!$E$2</c:f>
              <c:strCache>
                <c:ptCount val="1"/>
                <c:pt idx="0">
                  <c:v>Difference (degree)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xVal>
            <c:numRef>
              <c:f>Sheet2!$B$3:$B$12</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Sheet2!$E$3:$E$12</c:f>
              <c:numCache>
                <c:formatCode>General</c:formatCode>
                <c:ptCount val="10"/>
                <c:pt idx="0">
                  <c:v>0</c:v>
                </c:pt>
                <c:pt idx="1">
                  <c:v>0</c:v>
                </c:pt>
                <c:pt idx="2">
                  <c:v>1</c:v>
                </c:pt>
                <c:pt idx="3">
                  <c:v>1</c:v>
                </c:pt>
                <c:pt idx="4">
                  <c:v>1</c:v>
                </c:pt>
                <c:pt idx="5">
                  <c:v>1</c:v>
                </c:pt>
                <c:pt idx="6">
                  <c:v>0</c:v>
                </c:pt>
                <c:pt idx="7">
                  <c:v>1</c:v>
                </c:pt>
                <c:pt idx="8">
                  <c:v>1</c:v>
                </c:pt>
                <c:pt idx="9">
                  <c:v>0</c:v>
                </c:pt>
              </c:numCache>
            </c:numRef>
          </c:yVal>
          <c:smooth val="1"/>
          <c:extLst>
            <c:ext xmlns:c16="http://schemas.microsoft.com/office/drawing/2014/chart" uri="{C3380CC4-5D6E-409C-BE32-E72D297353CC}">
              <c16:uniqueId val="{00000002-4D02-49B7-AFE9-F9C12A2154C2}"/>
            </c:ext>
          </c:extLst>
        </c:ser>
        <c:dLbls>
          <c:showLegendKey val="0"/>
          <c:showVal val="0"/>
          <c:showCatName val="0"/>
          <c:showSerName val="0"/>
          <c:showPercent val="0"/>
          <c:showBubbleSize val="0"/>
        </c:dLbls>
        <c:axId val="415459840"/>
        <c:axId val="415460168"/>
      </c:scatterChart>
      <c:valAx>
        <c:axId val="41545984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 th trial</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15460168"/>
        <c:crosses val="autoZero"/>
        <c:crossBetween val="midCat"/>
      </c:valAx>
      <c:valAx>
        <c:axId val="41546016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Degree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154598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Number of data</c:v>
                </c:pt>
              </c:strCache>
            </c:strRef>
          </c:tx>
          <c:spPr>
            <a:solidFill>
              <a:schemeClr val="accent1"/>
            </a:solidFill>
            <a:ln>
              <a:noFill/>
            </a:ln>
            <a:effectLst/>
          </c:spPr>
          <c:invertIfNegative val="0"/>
          <c:cat>
            <c:numRef>
              <c:f>Sheet1!$B$3:$B$12</c:f>
              <c:numCache>
                <c:formatCode>m/d/yyyy</c:formatCode>
                <c:ptCount val="10"/>
                <c:pt idx="0">
                  <c:v>45418</c:v>
                </c:pt>
                <c:pt idx="1">
                  <c:v>45419</c:v>
                </c:pt>
                <c:pt idx="2">
                  <c:v>45420</c:v>
                </c:pt>
                <c:pt idx="3">
                  <c:v>45421</c:v>
                </c:pt>
                <c:pt idx="4">
                  <c:v>45422</c:v>
                </c:pt>
                <c:pt idx="5">
                  <c:v>45423</c:v>
                </c:pt>
                <c:pt idx="6">
                  <c:v>45424</c:v>
                </c:pt>
                <c:pt idx="7">
                  <c:v>45425</c:v>
                </c:pt>
                <c:pt idx="8">
                  <c:v>45426</c:v>
                </c:pt>
                <c:pt idx="9">
                  <c:v>45427</c:v>
                </c:pt>
              </c:numCache>
            </c:numRef>
          </c:cat>
          <c:val>
            <c:numRef>
              <c:f>Sheet1!$C$3:$C$12</c:f>
              <c:numCache>
                <c:formatCode>General</c:formatCode>
                <c:ptCount val="10"/>
                <c:pt idx="0">
                  <c:v>5354</c:v>
                </c:pt>
                <c:pt idx="1">
                  <c:v>5373</c:v>
                </c:pt>
                <c:pt idx="2">
                  <c:v>5369</c:v>
                </c:pt>
                <c:pt idx="3">
                  <c:v>5360</c:v>
                </c:pt>
                <c:pt idx="4">
                  <c:v>5381</c:v>
                </c:pt>
                <c:pt idx="5">
                  <c:v>5384</c:v>
                </c:pt>
                <c:pt idx="6">
                  <c:v>5386</c:v>
                </c:pt>
                <c:pt idx="7">
                  <c:v>5386</c:v>
                </c:pt>
                <c:pt idx="8">
                  <c:v>5392</c:v>
                </c:pt>
                <c:pt idx="9">
                  <c:v>5351</c:v>
                </c:pt>
              </c:numCache>
            </c:numRef>
          </c:val>
          <c:extLst>
            <c:ext xmlns:c16="http://schemas.microsoft.com/office/drawing/2014/chart" uri="{C3380CC4-5D6E-409C-BE32-E72D297353CC}">
              <c16:uniqueId val="{00000000-406C-4802-8FF3-BA5C8CE6CB3B}"/>
            </c:ext>
          </c:extLst>
        </c:ser>
        <c:ser>
          <c:idx val="1"/>
          <c:order val="1"/>
          <c:tx>
            <c:strRef>
              <c:f>Sheet1!$D$2</c:f>
              <c:strCache>
                <c:ptCount val="1"/>
                <c:pt idx="0">
                  <c:v>ideal</c:v>
                </c:pt>
              </c:strCache>
            </c:strRef>
          </c:tx>
          <c:spPr>
            <a:solidFill>
              <a:schemeClr val="accent2"/>
            </a:solidFill>
            <a:ln>
              <a:noFill/>
            </a:ln>
            <a:effectLst/>
          </c:spPr>
          <c:invertIfNegative val="0"/>
          <c:cat>
            <c:numRef>
              <c:f>Sheet1!$B$3:$B$12</c:f>
              <c:numCache>
                <c:formatCode>m/d/yyyy</c:formatCode>
                <c:ptCount val="10"/>
                <c:pt idx="0">
                  <c:v>45418</c:v>
                </c:pt>
                <c:pt idx="1">
                  <c:v>45419</c:v>
                </c:pt>
                <c:pt idx="2">
                  <c:v>45420</c:v>
                </c:pt>
                <c:pt idx="3">
                  <c:v>45421</c:v>
                </c:pt>
                <c:pt idx="4">
                  <c:v>45422</c:v>
                </c:pt>
                <c:pt idx="5">
                  <c:v>45423</c:v>
                </c:pt>
                <c:pt idx="6">
                  <c:v>45424</c:v>
                </c:pt>
                <c:pt idx="7">
                  <c:v>45425</c:v>
                </c:pt>
                <c:pt idx="8">
                  <c:v>45426</c:v>
                </c:pt>
                <c:pt idx="9">
                  <c:v>45427</c:v>
                </c:pt>
              </c:numCache>
            </c:numRef>
          </c:cat>
          <c:val>
            <c:numRef>
              <c:f>Sheet1!$D$3:$D$12</c:f>
              <c:numCache>
                <c:formatCode>General</c:formatCode>
                <c:ptCount val="10"/>
                <c:pt idx="0">
                  <c:v>5760</c:v>
                </c:pt>
                <c:pt idx="1">
                  <c:v>5760</c:v>
                </c:pt>
                <c:pt idx="2">
                  <c:v>5760</c:v>
                </c:pt>
                <c:pt idx="3">
                  <c:v>5760</c:v>
                </c:pt>
                <c:pt idx="4">
                  <c:v>5760</c:v>
                </c:pt>
                <c:pt idx="5">
                  <c:v>5760</c:v>
                </c:pt>
                <c:pt idx="6">
                  <c:v>5760</c:v>
                </c:pt>
                <c:pt idx="7">
                  <c:v>5760</c:v>
                </c:pt>
                <c:pt idx="8">
                  <c:v>5760</c:v>
                </c:pt>
                <c:pt idx="9">
                  <c:v>5760</c:v>
                </c:pt>
              </c:numCache>
            </c:numRef>
          </c:val>
          <c:extLst>
            <c:ext xmlns:c16="http://schemas.microsoft.com/office/drawing/2014/chart" uri="{C3380CC4-5D6E-409C-BE32-E72D297353CC}">
              <c16:uniqueId val="{00000001-406C-4802-8FF3-BA5C8CE6CB3B}"/>
            </c:ext>
          </c:extLst>
        </c:ser>
        <c:ser>
          <c:idx val="2"/>
          <c:order val="2"/>
          <c:tx>
            <c:strRef>
              <c:f>Sheet1!$E$2</c:f>
              <c:strCache>
                <c:ptCount val="1"/>
                <c:pt idx="0">
                  <c:v>loss data</c:v>
                </c:pt>
              </c:strCache>
            </c:strRef>
          </c:tx>
          <c:spPr>
            <a:solidFill>
              <a:schemeClr val="accent3"/>
            </a:solidFill>
            <a:ln>
              <a:noFill/>
            </a:ln>
            <a:effectLst/>
          </c:spPr>
          <c:invertIfNegative val="0"/>
          <c:cat>
            <c:numRef>
              <c:f>Sheet1!$B$3:$B$12</c:f>
              <c:numCache>
                <c:formatCode>m/d/yyyy</c:formatCode>
                <c:ptCount val="10"/>
                <c:pt idx="0">
                  <c:v>45418</c:v>
                </c:pt>
                <c:pt idx="1">
                  <c:v>45419</c:v>
                </c:pt>
                <c:pt idx="2">
                  <c:v>45420</c:v>
                </c:pt>
                <c:pt idx="3">
                  <c:v>45421</c:v>
                </c:pt>
                <c:pt idx="4">
                  <c:v>45422</c:v>
                </c:pt>
                <c:pt idx="5">
                  <c:v>45423</c:v>
                </c:pt>
                <c:pt idx="6">
                  <c:v>45424</c:v>
                </c:pt>
                <c:pt idx="7">
                  <c:v>45425</c:v>
                </c:pt>
                <c:pt idx="8">
                  <c:v>45426</c:v>
                </c:pt>
                <c:pt idx="9">
                  <c:v>45427</c:v>
                </c:pt>
              </c:numCache>
            </c:numRef>
          </c:cat>
          <c:val>
            <c:numRef>
              <c:f>Sheet1!$E$3:$E$12</c:f>
              <c:numCache>
                <c:formatCode>General</c:formatCode>
                <c:ptCount val="10"/>
                <c:pt idx="0">
                  <c:v>406</c:v>
                </c:pt>
                <c:pt idx="1">
                  <c:v>387</c:v>
                </c:pt>
                <c:pt idx="2">
                  <c:v>391</c:v>
                </c:pt>
                <c:pt idx="3">
                  <c:v>400</c:v>
                </c:pt>
                <c:pt idx="4">
                  <c:v>379</c:v>
                </c:pt>
                <c:pt idx="5">
                  <c:v>376</c:v>
                </c:pt>
                <c:pt idx="6">
                  <c:v>374</c:v>
                </c:pt>
                <c:pt idx="7">
                  <c:v>374</c:v>
                </c:pt>
                <c:pt idx="8">
                  <c:v>368</c:v>
                </c:pt>
                <c:pt idx="9">
                  <c:v>409</c:v>
                </c:pt>
              </c:numCache>
            </c:numRef>
          </c:val>
          <c:extLst>
            <c:ext xmlns:c16="http://schemas.microsoft.com/office/drawing/2014/chart" uri="{C3380CC4-5D6E-409C-BE32-E72D297353CC}">
              <c16:uniqueId val="{00000002-406C-4802-8FF3-BA5C8CE6CB3B}"/>
            </c:ext>
          </c:extLst>
        </c:ser>
        <c:ser>
          <c:idx val="3"/>
          <c:order val="3"/>
          <c:tx>
            <c:strRef>
              <c:f>Sheet1!$F$2</c:f>
              <c:strCache>
                <c:ptCount val="1"/>
                <c:pt idx="0">
                  <c:v>% loss data</c:v>
                </c:pt>
              </c:strCache>
            </c:strRef>
          </c:tx>
          <c:spPr>
            <a:solidFill>
              <a:schemeClr val="accent4"/>
            </a:solidFill>
            <a:ln>
              <a:noFill/>
            </a:ln>
            <a:effectLst/>
          </c:spPr>
          <c:invertIfNegative val="0"/>
          <c:cat>
            <c:numRef>
              <c:f>Sheet1!$B$3:$B$12</c:f>
              <c:numCache>
                <c:formatCode>m/d/yyyy</c:formatCode>
                <c:ptCount val="10"/>
                <c:pt idx="0">
                  <c:v>45418</c:v>
                </c:pt>
                <c:pt idx="1">
                  <c:v>45419</c:v>
                </c:pt>
                <c:pt idx="2">
                  <c:v>45420</c:v>
                </c:pt>
                <c:pt idx="3">
                  <c:v>45421</c:v>
                </c:pt>
                <c:pt idx="4">
                  <c:v>45422</c:v>
                </c:pt>
                <c:pt idx="5">
                  <c:v>45423</c:v>
                </c:pt>
                <c:pt idx="6">
                  <c:v>45424</c:v>
                </c:pt>
                <c:pt idx="7">
                  <c:v>45425</c:v>
                </c:pt>
                <c:pt idx="8">
                  <c:v>45426</c:v>
                </c:pt>
                <c:pt idx="9">
                  <c:v>45427</c:v>
                </c:pt>
              </c:numCache>
            </c:numRef>
          </c:cat>
          <c:val>
            <c:numRef>
              <c:f>Sheet1!$F$3:$F$12</c:f>
              <c:numCache>
                <c:formatCode>General</c:formatCode>
                <c:ptCount val="10"/>
                <c:pt idx="0">
                  <c:v>7.048611111111111E-2</c:v>
                </c:pt>
                <c:pt idx="1">
                  <c:v>6.7187499999999997E-2</c:v>
                </c:pt>
                <c:pt idx="2">
                  <c:v>6.7881944444444439E-2</c:v>
                </c:pt>
                <c:pt idx="3">
                  <c:v>6.9444444444444448E-2</c:v>
                </c:pt>
                <c:pt idx="4">
                  <c:v>6.5798611111111113E-2</c:v>
                </c:pt>
                <c:pt idx="5">
                  <c:v>6.5277777777777782E-2</c:v>
                </c:pt>
                <c:pt idx="6">
                  <c:v>6.4930555555555561E-2</c:v>
                </c:pt>
                <c:pt idx="7">
                  <c:v>6.4930555555555561E-2</c:v>
                </c:pt>
                <c:pt idx="8">
                  <c:v>6.3888888888888884E-2</c:v>
                </c:pt>
                <c:pt idx="9">
                  <c:v>7.1006944444444442E-2</c:v>
                </c:pt>
              </c:numCache>
            </c:numRef>
          </c:val>
          <c:extLst>
            <c:ext xmlns:c16="http://schemas.microsoft.com/office/drawing/2014/chart" uri="{C3380CC4-5D6E-409C-BE32-E72D297353CC}">
              <c16:uniqueId val="{00000003-406C-4802-8FF3-BA5C8CE6CB3B}"/>
            </c:ext>
          </c:extLst>
        </c:ser>
        <c:dLbls>
          <c:showLegendKey val="0"/>
          <c:showVal val="0"/>
          <c:showCatName val="0"/>
          <c:showSerName val="0"/>
          <c:showPercent val="0"/>
          <c:showBubbleSize val="0"/>
        </c:dLbls>
        <c:gapWidth val="150"/>
        <c:axId val="479606136"/>
        <c:axId val="479607120"/>
      </c:barChart>
      <c:dateAx>
        <c:axId val="479606136"/>
        <c:scaling>
          <c:orientation val="minMax"/>
        </c:scaling>
        <c:delete val="0"/>
        <c:axPos val="b"/>
        <c:numFmt formatCode="m/d/yy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9607120"/>
        <c:crosses val="autoZero"/>
        <c:auto val="1"/>
        <c:lblOffset val="100"/>
        <c:baseTimeUnit val="days"/>
      </c:dateAx>
      <c:valAx>
        <c:axId val="479607120"/>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79606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BAE3A7-6224-403C-BB09-881B7C7E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25797</Words>
  <Characters>147047</Characters>
  <Application>Microsoft Office Word</Application>
  <DocSecurity>0</DocSecurity>
  <Lines>1225</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user</cp:lastModifiedBy>
  <cp:revision>9</cp:revision>
  <dcterms:created xsi:type="dcterms:W3CDTF">2025-04-29T03:24:00Z</dcterms:created>
  <dcterms:modified xsi:type="dcterms:W3CDTF">2025-05-05T04:28:00Z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af8a6d05-1df8-37ae-95f4-a03f0e6f8c53</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http://www.zotero.org/styles/fuel</vt:lpwstr>
  </property>
  <property fmtid="{D5CDD505-2E9C-101B-9397-08002B2CF9AE}" pid="14" name="Mendeley Recent Style Name 4_1">
    <vt:lpwstr>Fuel</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https://csl.mendeley.com/styles/699351941/springer-socpsych-brackets-REA</vt:lpwstr>
  </property>
  <property fmtid="{D5CDD505-2E9C-101B-9397-08002B2CF9AE}" pid="22" name="Mendeley Recent Style Name 8_1">
    <vt:lpwstr>REA press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