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E85484" w14:paraId="5BC2213C" w14:textId="77777777">
        <w:tc>
          <w:tcPr>
            <w:tcW w:w="8504" w:type="dxa"/>
          </w:tcPr>
          <w:p w14:paraId="632E587B" w14:textId="77777777" w:rsidR="00E85484" w:rsidRDefault="00000000" w:rsidP="00D5743C">
            <w:pPr>
              <w:pStyle w:val="Title"/>
              <w:ind w:left="1" w:hanging="3"/>
              <w:jc w:val="left"/>
              <w:rPr>
                <w:rFonts w:ascii="Arial" w:eastAsia="Arial" w:hAnsi="Arial" w:cs="Arial"/>
                <w:sz w:val="30"/>
                <w:szCs w:val="30"/>
              </w:rPr>
            </w:pPr>
            <w:r>
              <w:pict w14:anchorId="2A305F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50pt;height:50pt;z-index:251657728;visibility:hidden">
                  <v:path o:extrusionok="t"/>
                  <o:lock v:ext="edit" selection="t"/>
                </v:shape>
              </w:pict>
            </w:r>
            <w:r w:rsidR="003E201A" w:rsidRPr="003E201A">
              <w:rPr>
                <w:rFonts w:ascii="Arial" w:eastAsia="Arial" w:hAnsi="Arial" w:cs="Arial"/>
              </w:rPr>
              <w:t>Stress</w:t>
            </w:r>
            <w:r w:rsidR="00D5743C">
              <w:rPr>
                <w:rFonts w:ascii="Arial" w:eastAsia="Arial" w:hAnsi="Arial" w:cs="Arial"/>
                <w:lang w:val="en-US"/>
              </w:rPr>
              <w:t>-</w:t>
            </w:r>
            <w:r w:rsidR="003E201A" w:rsidRPr="003E201A">
              <w:rPr>
                <w:rFonts w:ascii="Arial" w:eastAsia="Arial" w:hAnsi="Arial" w:cs="Arial"/>
              </w:rPr>
              <w:t>Strain Behavior and Residual Strength of Petobo Sand with Variable Fines Content after the 2018 Palu Liquefaction</w:t>
            </w:r>
          </w:p>
        </w:tc>
        <w:tc>
          <w:tcPr>
            <w:tcW w:w="784" w:type="dxa"/>
            <w:vAlign w:val="center"/>
          </w:tcPr>
          <w:p w14:paraId="04055608" w14:textId="77777777" w:rsidR="00E85484" w:rsidRDefault="005929B1">
            <w:pPr>
              <w:pStyle w:val="Title"/>
              <w:ind w:left="1" w:hanging="3"/>
              <w:rPr>
                <w:rFonts w:ascii="Arial" w:eastAsia="Arial" w:hAnsi="Arial" w:cs="Arial"/>
              </w:rPr>
            </w:pPr>
            <w:r>
              <w:rPr>
                <w:rFonts w:ascii="Arial" w:eastAsia="Arial" w:hAnsi="Arial" w:cs="Arial"/>
                <w:noProof/>
                <w:lang w:val="en-US"/>
              </w:rPr>
              <w:drawing>
                <wp:inline distT="0" distB="0" distL="114300" distR="114300" wp14:anchorId="1CDD5694" wp14:editId="724F1DD1">
                  <wp:extent cx="360045" cy="360045"/>
                  <wp:effectExtent l="0" t="0" r="0" b="0"/>
                  <wp:docPr id="103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4181DAB5" w14:textId="77777777" w:rsidR="00E85484" w:rsidRDefault="00E85484">
      <w:pPr>
        <w:pStyle w:val="Title"/>
        <w:ind w:left="1" w:hanging="3"/>
        <w:rPr>
          <w:rFonts w:ascii="Arial" w:eastAsia="Arial" w:hAnsi="Arial" w:cs="Arial"/>
        </w:rPr>
      </w:pPr>
    </w:p>
    <w:p w14:paraId="2DB0186A" w14:textId="77777777" w:rsidR="00F2208E" w:rsidRPr="00B94E4B" w:rsidRDefault="00F2208E">
      <w:pPr>
        <w:widowControl w:val="0"/>
        <w:tabs>
          <w:tab w:val="left" w:pos="9020"/>
        </w:tabs>
        <w:spacing w:after="0" w:line="240" w:lineRule="auto"/>
        <w:ind w:left="0" w:hanging="2"/>
        <w:rPr>
          <w:rFonts w:ascii="Arial" w:eastAsia="Arial" w:hAnsi="Arial" w:cs="Arial"/>
          <w:b/>
          <w:sz w:val="20"/>
          <w:szCs w:val="20"/>
          <w:lang w:val="fr-FR"/>
        </w:rPr>
      </w:pPr>
      <w:r w:rsidRPr="00B94E4B">
        <w:rPr>
          <w:rFonts w:ascii="Arial" w:eastAsia="Arial" w:hAnsi="Arial" w:cs="Arial"/>
          <w:b/>
          <w:sz w:val="20"/>
          <w:szCs w:val="20"/>
          <w:lang w:val="fr-FR"/>
        </w:rPr>
        <w:t>Desiana Vidayanti</w:t>
      </w:r>
      <w:r w:rsidRPr="00B94E4B">
        <w:rPr>
          <w:rFonts w:ascii="Arial" w:eastAsia="Arial" w:hAnsi="Arial" w:cs="Arial"/>
          <w:b/>
          <w:sz w:val="20"/>
          <w:szCs w:val="20"/>
          <w:vertAlign w:val="superscript"/>
          <w:lang w:val="fr-FR"/>
        </w:rPr>
        <w:t>1,2</w:t>
      </w:r>
      <w:r w:rsidRPr="00B94E4B">
        <w:rPr>
          <w:rFonts w:ascii="Arial" w:eastAsia="Arial" w:hAnsi="Arial" w:cs="Arial"/>
          <w:b/>
          <w:sz w:val="20"/>
          <w:szCs w:val="20"/>
          <w:lang w:val="fr-FR"/>
        </w:rPr>
        <w:t>, Paulus Pramono Rahardjo</w:t>
      </w:r>
      <w:r w:rsidRPr="00B94E4B">
        <w:rPr>
          <w:rFonts w:ascii="Arial" w:eastAsia="Arial" w:hAnsi="Arial" w:cs="Arial"/>
          <w:b/>
          <w:sz w:val="20"/>
          <w:szCs w:val="20"/>
          <w:vertAlign w:val="superscript"/>
          <w:lang w:val="fr-FR"/>
        </w:rPr>
        <w:t>1</w:t>
      </w:r>
      <w:r w:rsidRPr="00B94E4B">
        <w:rPr>
          <w:rFonts w:ascii="Arial" w:eastAsia="Arial" w:hAnsi="Arial" w:cs="Arial"/>
          <w:b/>
          <w:sz w:val="20"/>
          <w:szCs w:val="20"/>
          <w:lang w:val="fr-FR"/>
        </w:rPr>
        <w:t>, Ramli Nazir</w:t>
      </w:r>
      <w:r w:rsidRPr="00B94E4B">
        <w:rPr>
          <w:rFonts w:ascii="Arial" w:eastAsia="Arial" w:hAnsi="Arial" w:cs="Arial"/>
          <w:b/>
          <w:sz w:val="20"/>
          <w:szCs w:val="20"/>
          <w:vertAlign w:val="superscript"/>
          <w:lang w:val="fr-FR"/>
        </w:rPr>
        <w:t>1</w:t>
      </w:r>
      <w:r w:rsidR="00EE033B" w:rsidRPr="00B94E4B">
        <w:rPr>
          <w:rFonts w:ascii="Arial" w:eastAsia="Arial" w:hAnsi="Arial" w:cs="Arial"/>
          <w:b/>
          <w:sz w:val="20"/>
          <w:szCs w:val="20"/>
          <w:vertAlign w:val="superscript"/>
          <w:lang w:val="fr-FR"/>
        </w:rPr>
        <w:t>,3</w:t>
      </w:r>
    </w:p>
    <w:p w14:paraId="57A558FF" w14:textId="77777777" w:rsidR="00F2208E" w:rsidRPr="00B35868" w:rsidRDefault="00F2208E" w:rsidP="00F2208E">
      <w:pPr>
        <w:pStyle w:val="NormalWeb"/>
        <w:spacing w:before="0" w:beforeAutospacing="0" w:after="0" w:afterAutospacing="0"/>
        <w:ind w:left="0" w:hanging="2"/>
        <w:rPr>
          <w:rFonts w:ascii="Arial" w:hAnsi="Arial" w:cs="Arial"/>
          <w:sz w:val="16"/>
          <w:szCs w:val="16"/>
        </w:rPr>
      </w:pPr>
      <w:bookmarkStart w:id="0" w:name="_heading=h.gjdgxs" w:colFirst="0" w:colLast="0"/>
      <w:bookmarkEnd w:id="0"/>
      <w:r w:rsidRPr="00B35868">
        <w:rPr>
          <w:rFonts w:ascii="Arial" w:hAnsi="Arial" w:cs="Arial"/>
          <w:sz w:val="16"/>
          <w:szCs w:val="16"/>
          <w:vertAlign w:val="superscript"/>
        </w:rPr>
        <w:t>1</w:t>
      </w:r>
      <w:r w:rsidRPr="00B35868">
        <w:rPr>
          <w:rFonts w:ascii="Arial" w:hAnsi="Arial" w:cs="Arial"/>
          <w:sz w:val="16"/>
          <w:szCs w:val="16"/>
        </w:rPr>
        <w:t>Department of Civil Engineering, Parahyang</w:t>
      </w:r>
      <w:r w:rsidR="00EE033B">
        <w:rPr>
          <w:rFonts w:ascii="Arial" w:hAnsi="Arial" w:cs="Arial"/>
          <w:sz w:val="16"/>
          <w:szCs w:val="16"/>
        </w:rPr>
        <w:t>an Catholic University,</w:t>
      </w:r>
      <w:r w:rsidRPr="00B35868">
        <w:rPr>
          <w:rFonts w:ascii="Arial" w:hAnsi="Arial" w:cs="Arial"/>
          <w:sz w:val="16"/>
          <w:szCs w:val="16"/>
        </w:rPr>
        <w:t xml:space="preserve"> </w:t>
      </w:r>
      <w:r w:rsidR="00EE033B">
        <w:rPr>
          <w:rFonts w:ascii="Arial" w:hAnsi="Arial" w:cs="Arial"/>
          <w:sz w:val="16"/>
          <w:szCs w:val="16"/>
        </w:rPr>
        <w:t xml:space="preserve">Bandung, </w:t>
      </w:r>
      <w:r w:rsidRPr="00B35868">
        <w:rPr>
          <w:rFonts w:ascii="Arial" w:hAnsi="Arial" w:cs="Arial"/>
          <w:sz w:val="16"/>
          <w:szCs w:val="16"/>
        </w:rPr>
        <w:t>Indonesia</w:t>
      </w:r>
    </w:p>
    <w:p w14:paraId="7D541B34" w14:textId="77777777" w:rsidR="00E85484" w:rsidRDefault="00F2208E" w:rsidP="00F2208E">
      <w:pPr>
        <w:widowControl w:val="0"/>
        <w:tabs>
          <w:tab w:val="left" w:pos="9020"/>
        </w:tabs>
        <w:spacing w:after="0" w:line="240" w:lineRule="auto"/>
        <w:ind w:left="0" w:hanging="2"/>
        <w:rPr>
          <w:rFonts w:ascii="Arial" w:hAnsi="Arial" w:cs="Arial"/>
          <w:sz w:val="16"/>
          <w:szCs w:val="16"/>
        </w:rPr>
      </w:pPr>
      <w:r>
        <w:rPr>
          <w:rFonts w:ascii="Arial" w:hAnsi="Arial" w:cs="Arial"/>
          <w:sz w:val="16"/>
          <w:szCs w:val="16"/>
          <w:vertAlign w:val="superscript"/>
        </w:rPr>
        <w:t>2</w:t>
      </w:r>
      <w:r w:rsidRPr="00B35868">
        <w:rPr>
          <w:rFonts w:ascii="Arial" w:hAnsi="Arial" w:cs="Arial"/>
          <w:sz w:val="16"/>
          <w:szCs w:val="16"/>
        </w:rPr>
        <w:t>Department of Civil Engineering, Mercu B</w:t>
      </w:r>
      <w:r>
        <w:rPr>
          <w:rFonts w:ascii="Arial" w:hAnsi="Arial" w:cs="Arial"/>
          <w:sz w:val="16"/>
          <w:szCs w:val="16"/>
        </w:rPr>
        <w:t>uana</w:t>
      </w:r>
      <w:r w:rsidR="00F715CE">
        <w:rPr>
          <w:rFonts w:ascii="Arial" w:hAnsi="Arial" w:cs="Arial"/>
          <w:sz w:val="16"/>
          <w:szCs w:val="16"/>
        </w:rPr>
        <w:t xml:space="preserve"> University</w:t>
      </w:r>
      <w:r w:rsidR="00EE033B">
        <w:rPr>
          <w:rFonts w:ascii="Arial" w:hAnsi="Arial" w:cs="Arial"/>
          <w:sz w:val="16"/>
          <w:szCs w:val="16"/>
        </w:rPr>
        <w:t xml:space="preserve">,Jakarta, </w:t>
      </w:r>
      <w:r w:rsidRPr="00B35868">
        <w:rPr>
          <w:rFonts w:ascii="Arial" w:hAnsi="Arial" w:cs="Arial"/>
          <w:sz w:val="16"/>
          <w:szCs w:val="16"/>
        </w:rPr>
        <w:t>Indonesia</w:t>
      </w:r>
    </w:p>
    <w:p w14:paraId="1EA4A1AA" w14:textId="77777777" w:rsidR="00F2208E" w:rsidRDefault="00EE033B" w:rsidP="00A5151E">
      <w:pPr>
        <w:widowControl w:val="0"/>
        <w:tabs>
          <w:tab w:val="left" w:pos="9020"/>
        </w:tabs>
        <w:spacing w:after="0" w:line="240" w:lineRule="auto"/>
        <w:ind w:left="0" w:hanging="2"/>
        <w:rPr>
          <w:rFonts w:ascii="Arial" w:hAnsi="Arial" w:cs="Arial"/>
          <w:sz w:val="16"/>
          <w:szCs w:val="16"/>
        </w:rPr>
      </w:pPr>
      <w:r w:rsidRPr="00EE033B">
        <w:rPr>
          <w:rFonts w:ascii="Arial" w:hAnsi="Arial" w:cs="Arial"/>
          <w:sz w:val="16"/>
          <w:szCs w:val="16"/>
          <w:vertAlign w:val="superscript"/>
        </w:rPr>
        <w:t>3</w:t>
      </w:r>
      <w:r w:rsidRPr="00EE033B">
        <w:rPr>
          <w:rFonts w:ascii="Arial" w:hAnsi="Arial" w:cs="Arial"/>
          <w:sz w:val="16"/>
          <w:szCs w:val="16"/>
        </w:rPr>
        <w:t>Centre of Tropical Geoengineering, Universiti Teknologi Malaysia</w:t>
      </w:r>
      <w:r>
        <w:rPr>
          <w:rFonts w:ascii="Arial" w:hAnsi="Arial" w:cs="Arial"/>
          <w:sz w:val="16"/>
          <w:szCs w:val="16"/>
        </w:rPr>
        <w:t>, Johor, Malaysia</w:t>
      </w:r>
    </w:p>
    <w:p w14:paraId="2CDAAF55" w14:textId="77777777" w:rsidR="00A5151E" w:rsidRPr="00A5151E" w:rsidRDefault="00A5151E" w:rsidP="00A5151E">
      <w:pPr>
        <w:widowControl w:val="0"/>
        <w:tabs>
          <w:tab w:val="left" w:pos="9020"/>
        </w:tabs>
        <w:spacing w:after="0" w:line="240" w:lineRule="auto"/>
        <w:ind w:left="0" w:hanging="2"/>
        <w:rPr>
          <w:rFonts w:ascii="Arial" w:hAnsi="Arial" w:cs="Arial"/>
          <w:sz w:val="16"/>
          <w:szCs w:val="16"/>
        </w:rPr>
      </w:pPr>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E85484" w14:paraId="6F4D3193" w14:textId="77777777">
        <w:tc>
          <w:tcPr>
            <w:tcW w:w="6236" w:type="dxa"/>
            <w:shd w:val="clear" w:color="auto" w:fill="9CC2E5"/>
          </w:tcPr>
          <w:p w14:paraId="5C8508AC" w14:textId="77777777" w:rsidR="00E85484" w:rsidRDefault="005929B1">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76AAA28C" w14:textId="77777777" w:rsidR="00DF236D" w:rsidRDefault="0099634D" w:rsidP="0099634D">
            <w:pPr>
              <w:shd w:val="clear" w:color="auto" w:fill="9CC2E5"/>
              <w:spacing w:after="0" w:line="240" w:lineRule="auto"/>
              <w:ind w:left="0" w:hanging="2"/>
              <w:jc w:val="both"/>
              <w:rPr>
                <w:rFonts w:ascii="Arial" w:hAnsi="Arial" w:cs="Arial"/>
                <w:i/>
                <w:sz w:val="20"/>
                <w:szCs w:val="20"/>
              </w:rPr>
            </w:pPr>
            <w:r w:rsidRPr="0099634D">
              <w:rPr>
                <w:rFonts w:ascii="Arial" w:hAnsi="Arial" w:cs="Arial"/>
                <w:i/>
                <w:sz w:val="20"/>
                <w:szCs w:val="20"/>
              </w:rPr>
              <w:t>Liquefaction was one of the main causes of severe ground deformation during the 2018 Palu earthquake, particularly in the Petobo area where large-scale flow liquefaction occurred. Despite extensive field investigations, no laboratory-based residual shear strength data for Petobo soil have been available to explain the exceptional mobility of the flowslide. This study investigates the stress–strain response and residual strength of Petobo silty sand containing different proportions of fines through monotonic Consolidated Undrained (CU) triaxial tests. Reconstituted specimens were prepared using the moist tamping method with fines contents of approximately 9% and 26.4%, and tested under three levels of</w:t>
            </w:r>
            <w:r>
              <w:rPr>
                <w:rFonts w:ascii="Arial" w:hAnsi="Arial" w:cs="Arial"/>
                <w:i/>
                <w:sz w:val="20"/>
                <w:szCs w:val="20"/>
              </w:rPr>
              <w:t xml:space="preserve"> initial mean effective stress.</w:t>
            </w:r>
            <w:r w:rsidRPr="0099634D">
              <w:rPr>
                <w:rFonts w:ascii="Arial" w:hAnsi="Arial" w:cs="Arial"/>
                <w:i/>
                <w:sz w:val="20"/>
                <w:szCs w:val="20"/>
              </w:rPr>
              <w:t>The higher-fines specimen generated excess pore water pressure more rapidly and showed stronger contractive behavior at small strains. However, at larger strains, the 26.4% fines specimen mobi</w:t>
            </w:r>
            <w:r>
              <w:rPr>
                <w:rFonts w:ascii="Arial" w:hAnsi="Arial" w:cs="Arial"/>
                <w:i/>
                <w:sz w:val="20"/>
                <w:szCs w:val="20"/>
              </w:rPr>
              <w:t xml:space="preserve">lized greater residual strength, </w:t>
            </w:r>
            <w:r w:rsidRPr="0099634D">
              <w:rPr>
                <w:rFonts w:ascii="Arial" w:hAnsi="Arial" w:cs="Arial"/>
                <w:i/>
                <w:sz w:val="20"/>
                <w:szCs w:val="20"/>
              </w:rPr>
              <w:t>expressed as the ratio of residual deviator stress to init</w:t>
            </w:r>
            <w:r>
              <w:rPr>
                <w:rFonts w:ascii="Arial" w:hAnsi="Arial" w:cs="Arial"/>
                <w:i/>
                <w:sz w:val="20"/>
                <w:szCs w:val="20"/>
              </w:rPr>
              <w:t xml:space="preserve">ial mean effective stress (0.79-0.94), </w:t>
            </w:r>
            <w:r w:rsidRPr="0099634D">
              <w:rPr>
                <w:rFonts w:ascii="Arial" w:hAnsi="Arial" w:cs="Arial"/>
                <w:i/>
                <w:sz w:val="20"/>
                <w:szCs w:val="20"/>
              </w:rPr>
              <w:t>compared w</w:t>
            </w:r>
            <w:r>
              <w:rPr>
                <w:rFonts w:ascii="Arial" w:hAnsi="Arial" w:cs="Arial"/>
                <w:i/>
                <w:sz w:val="20"/>
                <w:szCs w:val="20"/>
              </w:rPr>
              <w:t>ith the 9% fines specimen (0.85-</w:t>
            </w:r>
            <w:r w:rsidRPr="0099634D">
              <w:rPr>
                <w:rFonts w:ascii="Arial" w:hAnsi="Arial" w:cs="Arial"/>
                <w:i/>
                <w:sz w:val="20"/>
                <w:szCs w:val="20"/>
              </w:rPr>
              <w:t>0.89). These results indicate that fines increase contractive tendency during initiation but enhance resistance against large post-liquefaction deformation. The influence of fines on post-liquefaction behavior is therefore nonlinear and dependent on deformation stage and initial density.</w:t>
            </w:r>
            <w:r>
              <w:rPr>
                <w:rFonts w:ascii="Arial" w:hAnsi="Arial" w:cs="Arial"/>
                <w:i/>
                <w:sz w:val="20"/>
                <w:szCs w:val="20"/>
              </w:rPr>
              <w:t xml:space="preserve"> </w:t>
            </w:r>
            <w:r w:rsidRPr="0099634D">
              <w:rPr>
                <w:rFonts w:ascii="Arial" w:hAnsi="Arial" w:cs="Arial"/>
                <w:i/>
                <w:sz w:val="20"/>
                <w:szCs w:val="20"/>
              </w:rPr>
              <w:t>This study provides the first laboratory-based residual strength data of Petobo silty sand within the Critical State Soil Mechanics framework, clarifying its post-liquefaction resistance characteristics. The findings improve understanding of flow behavior in silty sands, offer mechanistic insight into the 2018 Petobo failure, and supply essential parameters for calibrating constitutive models and supporting liquefaction hazard mitigation in similar alluvial deposits in Central Sulawesi.</w:t>
            </w:r>
          </w:p>
          <w:p w14:paraId="0B2ABC90" w14:textId="77777777" w:rsidR="00A5151E" w:rsidRDefault="00A5151E">
            <w:pPr>
              <w:spacing w:after="0" w:line="240" w:lineRule="auto"/>
              <w:ind w:left="0" w:hanging="2"/>
              <w:jc w:val="right"/>
              <w:rPr>
                <w:rFonts w:ascii="Arial" w:eastAsia="Arial" w:hAnsi="Arial" w:cs="Arial"/>
                <w:i/>
                <w:sz w:val="20"/>
                <w:szCs w:val="20"/>
              </w:rPr>
            </w:pPr>
          </w:p>
          <w:p w14:paraId="0190A2C7" w14:textId="77777777" w:rsidR="00E85484" w:rsidRDefault="005929B1">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24C16431" w14:textId="77777777" w:rsidR="00E85484" w:rsidRDefault="005929B1">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6037C1A7" wp14:editId="560CFEB4">
                  <wp:extent cx="915670" cy="321310"/>
                  <wp:effectExtent l="0" t="0" r="0" b="0"/>
                  <wp:docPr id="10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2A2D729C" w14:textId="77777777" w:rsidR="00E85484" w:rsidRDefault="005929B1">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2C92A29A" w14:textId="77777777" w:rsidR="00E85484" w:rsidRDefault="00F2208E" w:rsidP="00D238CA">
            <w:pPr>
              <w:widowControl w:val="0"/>
              <w:spacing w:after="0" w:line="240" w:lineRule="auto"/>
              <w:ind w:left="0" w:hanging="2"/>
              <w:rPr>
                <w:rFonts w:ascii="Arial" w:eastAsia="Arial" w:hAnsi="Arial" w:cs="Arial"/>
                <w:sz w:val="18"/>
                <w:szCs w:val="18"/>
              </w:rPr>
            </w:pPr>
            <w:r w:rsidRPr="00F2208E">
              <w:rPr>
                <w:rFonts w:ascii="Arial" w:eastAsia="Arial" w:hAnsi="Arial" w:cs="Arial"/>
                <w:i/>
                <w:sz w:val="18"/>
                <w:szCs w:val="18"/>
              </w:rPr>
              <w:t>Contractive</w:t>
            </w:r>
            <w:r w:rsidR="00711D2F">
              <w:rPr>
                <w:rFonts w:ascii="Arial" w:eastAsia="Arial" w:hAnsi="Arial" w:cs="Arial"/>
                <w:i/>
                <w:sz w:val="18"/>
                <w:szCs w:val="18"/>
              </w:rPr>
              <w:t xml:space="preserve"> behavior</w:t>
            </w:r>
            <w:r w:rsidRPr="00F2208E">
              <w:rPr>
                <w:rFonts w:ascii="Arial" w:eastAsia="Arial" w:hAnsi="Arial" w:cs="Arial"/>
                <w:i/>
                <w:sz w:val="18"/>
                <w:szCs w:val="18"/>
              </w:rPr>
              <w:t xml:space="preserve">; Critical state; Flow </w:t>
            </w:r>
            <w:r w:rsidR="0090681E">
              <w:rPr>
                <w:rFonts w:ascii="Arial" w:eastAsia="Arial" w:hAnsi="Arial" w:cs="Arial"/>
                <w:i/>
                <w:sz w:val="18"/>
                <w:szCs w:val="18"/>
              </w:rPr>
              <w:t>li</w:t>
            </w:r>
            <w:r w:rsidR="00D238CA">
              <w:rPr>
                <w:rFonts w:ascii="Arial" w:eastAsia="Arial" w:hAnsi="Arial" w:cs="Arial"/>
                <w:i/>
                <w:sz w:val="18"/>
                <w:szCs w:val="18"/>
              </w:rPr>
              <w:t>quefaction</w:t>
            </w:r>
            <w:r w:rsidRPr="00F2208E">
              <w:rPr>
                <w:rFonts w:ascii="Arial" w:eastAsia="Arial" w:hAnsi="Arial" w:cs="Arial"/>
                <w:i/>
                <w:sz w:val="18"/>
                <w:szCs w:val="18"/>
              </w:rPr>
              <w:t xml:space="preserve">; Silty sand; </w:t>
            </w:r>
            <w:r w:rsidR="00D238CA">
              <w:rPr>
                <w:rFonts w:ascii="Arial" w:eastAsia="Arial" w:hAnsi="Arial" w:cs="Arial"/>
                <w:i/>
                <w:sz w:val="18"/>
                <w:szCs w:val="18"/>
              </w:rPr>
              <w:t>Undrained triaxial test</w:t>
            </w:r>
          </w:p>
          <w:p w14:paraId="1074BA90" w14:textId="77777777" w:rsidR="00D238CA" w:rsidRDefault="00D238CA" w:rsidP="00D238CA">
            <w:pPr>
              <w:widowControl w:val="0"/>
              <w:spacing w:after="0" w:line="240" w:lineRule="auto"/>
              <w:ind w:left="0" w:hanging="2"/>
              <w:rPr>
                <w:rFonts w:ascii="Arial" w:eastAsia="Arial" w:hAnsi="Arial" w:cs="Arial"/>
                <w:sz w:val="18"/>
                <w:szCs w:val="18"/>
              </w:rPr>
            </w:pPr>
          </w:p>
          <w:p w14:paraId="6925E284" w14:textId="77777777" w:rsidR="00E85484" w:rsidRDefault="005929B1">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6D6FCCFC" w14:textId="77777777" w:rsidR="00E85484" w:rsidRDefault="005929B1">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Received: May 2, 2019</w:t>
            </w:r>
          </w:p>
          <w:p w14:paraId="7517DEC6" w14:textId="77777777" w:rsidR="00E85484" w:rsidRDefault="005929B1">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Revised: May 29, 2019</w:t>
            </w:r>
          </w:p>
          <w:p w14:paraId="2FCA3C41" w14:textId="77777777" w:rsidR="00E85484" w:rsidRDefault="005929B1">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Accepted: June 2, 2019</w:t>
            </w:r>
          </w:p>
          <w:p w14:paraId="7C7659DC" w14:textId="77777777" w:rsidR="00E85484" w:rsidRDefault="005929B1">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Published: June 2, 2019</w:t>
            </w:r>
          </w:p>
          <w:p w14:paraId="63623B5D" w14:textId="77777777" w:rsidR="00E85484" w:rsidRDefault="00E85484">
            <w:pPr>
              <w:widowControl w:val="0"/>
              <w:tabs>
                <w:tab w:val="left" w:pos="9020"/>
              </w:tabs>
              <w:spacing w:after="0" w:line="240" w:lineRule="auto"/>
              <w:ind w:left="0" w:hanging="2"/>
              <w:rPr>
                <w:rFonts w:ascii="Arial" w:eastAsia="Arial" w:hAnsi="Arial" w:cs="Arial"/>
                <w:sz w:val="18"/>
                <w:szCs w:val="18"/>
              </w:rPr>
            </w:pPr>
          </w:p>
          <w:p w14:paraId="4A8C5519" w14:textId="77777777" w:rsidR="00E85484" w:rsidRDefault="005929B1">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04A972A8" w14:textId="77777777" w:rsidR="00D238CA" w:rsidRDefault="008E37B3" w:rsidP="008E37B3">
            <w:pPr>
              <w:widowControl w:val="0"/>
              <w:tabs>
                <w:tab w:val="left" w:pos="9020"/>
              </w:tabs>
              <w:spacing w:after="0" w:line="240" w:lineRule="auto"/>
              <w:ind w:left="0" w:hanging="2"/>
              <w:rPr>
                <w:rFonts w:ascii="Arial" w:eastAsia="Arial" w:hAnsi="Arial" w:cs="Arial"/>
                <w:i/>
                <w:sz w:val="18"/>
                <w:szCs w:val="18"/>
              </w:rPr>
            </w:pPr>
            <w:r w:rsidRPr="008E37B3">
              <w:rPr>
                <w:rFonts w:ascii="Arial" w:hAnsi="Arial" w:cs="Arial"/>
                <w:i/>
                <w:sz w:val="18"/>
                <w:szCs w:val="18"/>
              </w:rPr>
              <w:t>Desiana Vidayanti, Department of Civil Engineering, Parahyangan Catholic University, Bandung, Indonesia.</w:t>
            </w:r>
            <w:r w:rsidRPr="008E37B3">
              <w:rPr>
                <w:rFonts w:ascii="Arial" w:hAnsi="Arial" w:cs="Arial"/>
                <w:i/>
                <w:sz w:val="18"/>
                <w:szCs w:val="18"/>
              </w:rPr>
              <w:br/>
            </w:r>
            <w:r w:rsidR="00D238CA" w:rsidRPr="00D238CA">
              <w:rPr>
                <w:rFonts w:ascii="Arial" w:eastAsia="Arial" w:hAnsi="Arial" w:cs="Arial"/>
                <w:i/>
                <w:sz w:val="18"/>
                <w:szCs w:val="18"/>
              </w:rPr>
              <w:t>Department of Civil Engineering, Universitas Mercu Buana, Jakarta, Indonesia</w:t>
            </w:r>
          </w:p>
          <w:p w14:paraId="73A050F3" w14:textId="77777777" w:rsidR="00F2208E" w:rsidRDefault="00F2208E" w:rsidP="008E37B3">
            <w:pPr>
              <w:widowControl w:val="0"/>
              <w:tabs>
                <w:tab w:val="left" w:pos="9020"/>
              </w:tabs>
              <w:spacing w:after="0" w:line="240" w:lineRule="auto"/>
              <w:ind w:left="0" w:hanging="2"/>
              <w:rPr>
                <w:rFonts w:ascii="Arial" w:eastAsia="Arial" w:hAnsi="Arial" w:cs="Arial"/>
                <w:i/>
                <w:sz w:val="18"/>
                <w:szCs w:val="18"/>
              </w:rPr>
            </w:pPr>
            <w:r w:rsidRPr="008E37B3">
              <w:rPr>
                <w:rFonts w:ascii="Arial" w:eastAsia="Arial" w:hAnsi="Arial" w:cs="Arial"/>
                <w:i/>
                <w:sz w:val="18"/>
                <w:szCs w:val="18"/>
              </w:rPr>
              <w:t>Email:</w:t>
            </w:r>
            <w:r>
              <w:rPr>
                <w:rFonts w:ascii="Arial" w:eastAsia="Arial" w:hAnsi="Arial" w:cs="Arial"/>
                <w:i/>
                <w:sz w:val="18"/>
                <w:szCs w:val="18"/>
              </w:rPr>
              <w:t xml:space="preserve"> </w:t>
            </w:r>
            <w:hyperlink r:id="rId12" w:history="1">
              <w:r w:rsidRPr="00AF62D0">
                <w:rPr>
                  <w:rStyle w:val="Hyperlink"/>
                  <w:rFonts w:ascii="Arial" w:eastAsia="Arial" w:hAnsi="Arial" w:cs="Arial"/>
                  <w:i/>
                  <w:sz w:val="18"/>
                  <w:szCs w:val="18"/>
                </w:rPr>
                <w:t>desianavidayanti@gmail.com</w:t>
              </w:r>
            </w:hyperlink>
          </w:p>
          <w:p w14:paraId="684E63C6" w14:textId="77777777" w:rsidR="00F2208E" w:rsidRDefault="00F2208E" w:rsidP="00F2208E">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p>
          <w:p w14:paraId="2256998B" w14:textId="77777777" w:rsidR="00E85484" w:rsidRDefault="00E85484">
            <w:pPr>
              <w:widowControl w:val="0"/>
              <w:tabs>
                <w:tab w:val="left" w:pos="9020"/>
              </w:tabs>
              <w:spacing w:after="0" w:line="240" w:lineRule="auto"/>
              <w:ind w:left="0" w:hanging="2"/>
              <w:rPr>
                <w:rFonts w:ascii="Arial" w:eastAsia="Arial" w:hAnsi="Arial" w:cs="Arial"/>
                <w:sz w:val="18"/>
                <w:szCs w:val="18"/>
              </w:rPr>
            </w:pPr>
          </w:p>
        </w:tc>
      </w:tr>
    </w:tbl>
    <w:p w14:paraId="7F73CA90" w14:textId="77777777" w:rsidR="00E85484" w:rsidRDefault="00D238CA">
      <w:pPr>
        <w:widowControl w:val="0"/>
        <w:tabs>
          <w:tab w:val="left" w:pos="9020"/>
        </w:tabs>
        <w:spacing w:after="0" w:line="240" w:lineRule="auto"/>
        <w:ind w:left="0" w:hanging="2"/>
        <w:jc w:val="center"/>
        <w:rPr>
          <w:rFonts w:ascii="Arial" w:eastAsia="Arial" w:hAnsi="Arial" w:cs="Arial"/>
          <w:sz w:val="20"/>
          <w:szCs w:val="20"/>
        </w:rPr>
        <w:sectPr w:rsidR="00E85484">
          <w:headerReference w:type="even" r:id="rId13"/>
          <w:headerReference w:type="default" r:id="rId14"/>
          <w:footerReference w:type="even" r:id="rId15"/>
          <w:footerReference w:type="default" r:id="rId16"/>
          <w:headerReference w:type="first" r:id="rId17"/>
          <w:footerReference w:type="first" r:id="rId18"/>
          <w:pgSz w:w="11907" w:h="16840"/>
          <w:pgMar w:top="1700" w:right="1134" w:bottom="1701" w:left="1701" w:header="680" w:footer="680" w:gutter="0"/>
          <w:pgNumType w:start="1"/>
          <w:cols w:space="720"/>
          <w:titlePg/>
        </w:sectPr>
      </w:pPr>
      <w:r>
        <w:rPr>
          <w:rFonts w:ascii="Arial" w:eastAsia="Arial" w:hAnsi="Arial" w:cs="Arial"/>
          <w:sz w:val="20"/>
          <w:szCs w:val="20"/>
        </w:rPr>
        <w:t xml:space="preserve"> </w:t>
      </w:r>
    </w:p>
    <w:p w14:paraId="182EE163" w14:textId="77777777" w:rsidR="00E85484" w:rsidRDefault="00B534FC">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INTRODUCTION</w:t>
      </w:r>
    </w:p>
    <w:p w14:paraId="59895C2B" w14:textId="77777777" w:rsidR="00B3556B" w:rsidRDefault="000B5E69" w:rsidP="000B5E69">
      <w:pPr>
        <w:spacing w:before="120" w:after="120" w:line="240" w:lineRule="auto"/>
        <w:ind w:left="0" w:hanging="2"/>
        <w:jc w:val="both"/>
        <w:rPr>
          <w:rFonts w:ascii="Arial" w:eastAsia="Times New Roman" w:hAnsi="Arial" w:cs="Arial"/>
          <w:sz w:val="20"/>
          <w:szCs w:val="20"/>
        </w:rPr>
      </w:pPr>
      <w:r w:rsidRPr="000B5E69">
        <w:rPr>
          <w:rFonts w:ascii="Arial" w:eastAsia="Times New Roman" w:hAnsi="Arial" w:cs="Arial"/>
          <w:sz w:val="20"/>
          <w:szCs w:val="20"/>
        </w:rPr>
        <w:t xml:space="preserve">Liquefaction is one of the primary causes of severe infrastructure damage during major earthquakes. During the 2018 Palu earthquake, the Petobo area experienced one of the most destructive cases of flow liquefaction ever recorded worldwide, resulting in large-scale </w:t>
      </w:r>
      <w:r w:rsidRPr="000B5E69">
        <w:rPr>
          <w:rFonts w:ascii="Arial" w:eastAsia="Times New Roman" w:hAnsi="Arial" w:cs="Arial"/>
          <w:sz w:val="20"/>
          <w:szCs w:val="20"/>
        </w:rPr>
        <w:t>ground displacement and the devastation of residential areas and public facilities</w:t>
      </w:r>
      <w:r>
        <w:rPr>
          <w:rFonts w:ascii="Arial" w:eastAsia="Times New Roman" w:hAnsi="Arial" w:cs="Arial"/>
          <w:sz w:val="20"/>
          <w:szCs w:val="20"/>
        </w:rPr>
        <w:t xml:space="preserve"> </w:t>
      </w:r>
      <w:r w:rsidR="004B03F3">
        <w:rPr>
          <w:rFonts w:ascii="Arial" w:hAnsi="Arial" w:cs="Arial"/>
          <w:sz w:val="20"/>
          <w:szCs w:val="20"/>
        </w:rPr>
        <w:fldChar w:fldCharType="begin" w:fldLock="1"/>
      </w:r>
      <w:r w:rsidR="001242FC">
        <w:rPr>
          <w:rFonts w:ascii="Arial" w:hAnsi="Arial" w:cs="Arial"/>
          <w:sz w:val="20"/>
          <w:szCs w:val="20"/>
        </w:rPr>
        <w:instrText>ADDIN CSL_CITATION {"citationItems":[{"id":"ITEM-1","itemData":{"DOI":"10.1007/s10346-020-01354-1","ISSN":"16125118","abstract":"The 28 September 2018 MW 7.5 Palu-Donggala earthquake caused massive flowslides within and nearby the city of Palu. We performed post-earthquake reconnaissance at the flowslide sites and examine a large flowslide that occurred approximately 30 km south of Palu in Sibalaya. We performed field mapping, unmanned aerial vehicle flights, and eyewitness interviews. After the post-earthquake reconnaissance, we performed cone penetration tests. We developed hypothesized flowslide initiation and progression mechanisms from our collective reconnaissance efforts. Based on observed morphological features and eyewitness accounts, the flowslide initiated near a change from steep to shallow terrain. Significant liquefaction of the underlying soils initiated the flowslide after strong ground motions ceased. We speculate progressive liquefaction and/or void redistribution contributed to the timing and delay of initiation.","author":[{"dropping-particle":"","family":"Gallant","given":"Aaron P.","non-dropping-particle":"","parse-names":false,"suffix":""},{"dropping-particle":"","family":"Montgomery","given":"Jack","non-dropping-particle":"","parse-names":false,"suffix":""},{"dropping-particle":"","family":"Mason","given":"H. Benjamin","non-dropping-particle":"","parse-names":false,"suffix":""},{"dropping-particle":"","family":"Hutabarat","given":"Daniel","non-dropping-particle":"","parse-names":false,"suffix":""},{"dropping-particle":"","family":"Reed","given":"A. Nicole","non-dropping-particle":"","parse-names":false,"suffix":""},{"dropping-particle":"","family":"Wartman","given":"Joseph","non-dropping-particle":"","parse-names":false,"suffix":""},{"dropping-particle":"","family":"Irsyam","given":"Masyhur","non-dropping-particle":"","parse-names":false,"suffix":""},{"dropping-particle":"","family":"Simatupang","given":"Pintor T.","non-dropping-particle":"","parse-names":false,"suffix":""},{"dropping-particle":"","family":"Alatas","given":"Idrus M.","non-dropping-particle":"","parse-names":false,"suffix":""},{"dropping-particle":"","family":"Prakoso","given":"Widjojo A.","non-dropping-particle":"","parse-names":false,"suffix":""},{"dropping-particle":"","family":"Djarwadi","given":"Didiek","non-dropping-particle":"","parse-names":false,"suffix":""},{"dropping-particle":"","family":"Hanifa","given":"Rahma","non-dropping-particle":"","parse-names":false,"suffix":""},{"dropping-particle":"","family":"Rahardjo","given":"Paulus","non-dropping-particle":"","parse-names":false,"suffix":""},{"dropping-particle":"","family":"Faizal","given":"Lutfi","non-dropping-particle":"","parse-names":false,"suffix":""},{"dropping-particle":"","family":"Harnanto","given":"Dandung S.","non-dropping-particle":"","parse-names":false,"suffix":""},{"dropping-particle":"","family":"Kawanda","given":"Aksan","non-dropping-particle":"","parse-names":false,"suffix":""},{"dropping-particle":"","family":"Himawan","given":"Agus","non-dropping-particle":"","parse-names":false,"suffix":""},{"dropping-particle":"","family":"Yasin","given":"Widodo","non-dropping-particle":"","parse-names":false,"suffix":""}],"container-title":"Landslides","id":"ITEM-1","issue":"8","issued":{"date-parts":[["2020"]]},"page":"1925-1934","publisher":"Landslides","title":"The Sibalaya flowslide initiated by the 28 September 2018 MW 7.5 Palu-Donggala, Indonesia earthquake","type":"article-journal","volume":"17"},"uris":["http://www.mendeley.com/documents/?uuid=adb3b5de-09ea-44cd-8b92-21f804aed95b"]},{"id":"ITEM-2","itemData":{"DOI":"10.1186/s40677-021-00194-y","ISSN":"21978670","abstract":"The 7.5 Mw tectonic earthquake that hit Palu City on 28 September 2018 was followed by tsunami and liquefaction, triggered massive mudflows in Balaroa, Petobo, and Jono Oge areas. This study focuses on the generating factors of liquefaction such as the condition of soil lithology, depth of water table, the distance to the focal mechanism, and the thickness of soft sediment. Microtremor data, including the Horizontal Vertical Spectral Ratio (HVSR), geological condition, and borehole data, were examined to conduct the liquefaction analysis. The analysis results based on the microtremor data showed that the distribution of ground shear strain values in Palu City ranged from 0.75 × 10–4 to 2.56 × 10–4. The distribution of the locations of the liquefaction was correlated to the distribution of ground shear strain values. High ground shear strain values and a shallow groundwater level were discovered in Palu City valley, which indicates that liquefaction in Palu City will undoubtedly occur. The semi-empirical method confirmed that Balaroa, Petobo, and Jono Oge had undergone large-scale liquefaction at a maximum depth of 16 m below the ground level. The average peak of water runoff that generated the mudflow was estimated to be at 11.31 cm3/s. Since the soil has loose soil grain with high water content, the soil will turn into a massive amount of mud during the liquefaction.","author":[{"dropping-particle":"","family":"Jalil","given":"Abdul","non-dropping-particle":"","parse-names":false,"suffix":""},{"dropping-particle":"","family":"Fathani","given":"Teuku Faisal","non-dropping-particle":"","parse-names":false,"suffix":""},{"dropping-particle":"","family":"Satyarno","given":"Iman","non-dropping-particle":"","parse-names":false,"suffix":""},{"dropping-particle":"","family":"Wilopo","given":"Wahyu","non-dropping-particle":"","parse-names":false,"suffix":""}],"container-title":"Geoenvironmental Disasters","id":"ITEM-2","issue":"1","issued":{"date-parts":[["2021"]]},"publisher":"Springer International Publishing","title":"Liquefaction in Palu: the cause of massive mudflows","type":"article-journal","volume":"8"},"uris":["http://www.mendeley.com/documents/?uuid=6185ff8a-8278-4f9a-9ff7-e33a6ef83fb7"]},{"id":"ITEM-3","itemData":{"DOI":"10.1088/1755-1315/1075/1/012028","ISSN":"17551315","abstract":"The liquefaction event that occurred in Petobo Village, Palu City, Central Sulawesi, was caused by the Palu earthquake on September 28th, 2018 with a magnitude of 7.4 and a depth of 10 km. This study aims to determine the characteristics of the soil and also whether the area still has the potential for liquefaction based on the Test Swedish Weight Sounding (SWS), and Cone Penetration Test (CPT). The test is carried out at a location that is the limit of the cessation of liquefaction, which has a variety of soil types. Determination of soil characteristics is carried out by laboratory tests, Sieve Analysis and Atterberg Limits. The results of laboratory testing, the soil types at point A are poorly graded sand and silty sand (SP-SM). As for the results of SWS at point D the soil with an Nsw value of more than 180.00 n/m is at a depth of 3.68 m with a Nsw value of 274.73 n/m. From the results of the CPT calculation it was found that the soil at Point E at a depth of 0.80 m - 6.40 m has potential for liquefaction and soil at a depth of 6.60. m - 8.40 m no liquefaction potential.","author":[{"dropping-particle":"","family":"Rahayu","given":"A.","non-dropping-particle":"","parse-names":false,"suffix":""},{"dropping-particle":"","family":"Uno","given":"I.","non-dropping-particle":"","parse-names":false,"suffix":""},{"dropping-particle":"","family":"Hidayat","given":"N.","non-dropping-particle":"","parse-names":false,"suffix":""},{"dropping-particle":"","family":"Dwijaka","given":"A.","non-dropping-particle":"","parse-names":false,"suffix":""},{"dropping-particle":"","family":"Yusuf","given":"M.","non-dropping-particle":"","parse-names":false,"suffix":""}],"container-title":"IOP Conference Series: Earth and Environmental Science","id":"ITEM-3","issue":"1","issued":{"date-parts":[["2022"]]},"title":"Potential of Liquifaction at Nasanapura Hospital Petobo Village Palu City","type":"article-journal","volume":"1075"},"uris":["http://www.mendeley.com/documents/?uuid=2cd986a5-4227-4213-ba18-531a3418461f"]},{"id":"ITEM-4","itemData":{"DOI":"10.1088/1755-1315/1195/1/012058","ISSN":"17551315","abstract":"A liquefaction hazard assessment for a particular location is important to reduce disasters that may occur in the future. The liquefaction severity assessment for the Anutapura Medical Centre region of Palu-Indonesia was carried out on various pairs between peak ground surface acceleration and earthquake magnitude. It was conducted by first determining the factor of safety for each existing soil layer and applying the formulation prepared by Iwasaki to measure Liquefaction Potential for the entire soil column. The possible severity of liquefaction at these locations was compared based on the limits set by the respective theories of Iwasaki and Papathanassiou. The results showed that the Anutapura Medical Centre location was very susceptible to liquefaction events with a very high potential level of ground surface damage based on the Iwasaki boundary line. The above-mentioned severity by Papathanassiou limits ranges from high to very high.","author":[{"dropping-particle":"","family":"Simatupang","given":"Minson","non-dropping-particle":"","parse-names":false,"suffix":""},{"dropping-particle":"","family":"Edwin","given":"Romy Suryaningrat","non-dropping-particle":"","parse-names":false,"suffix":""},{"dropping-particle":"","family":"Sulha","given":"","non-dropping-particle":"","parse-names":false,"suffix":""}],"container-title":"IOP Conference Series: Earth and Environmental Science","id":"ITEM-4","issue":"1","issued":{"date-parts":[["2023"]]},"title":"Liquefaction severity assessment for the Anutapura Medical Center Area of Palu-Indonesia","type":"article-journal","volume":"1195"},"uris":["http://www.mendeley.com/documents/?uuid=d8538574-4fb4-42e6-b74a-3f1c2bbfa1d2"]}],"mendeley":{"formattedCitation":"[1]–[4]","plainTextFormattedCitation":"[1]–[4]","previouslyFormattedCitation":"[1]–[4]"},"properties":{"noteIndex":0},"schema":"https://github.com/citation-style-language/schema/raw/master/csl-citation.json"}</w:instrText>
      </w:r>
      <w:r w:rsidR="004B03F3">
        <w:rPr>
          <w:rFonts w:ascii="Arial" w:hAnsi="Arial" w:cs="Arial"/>
          <w:sz w:val="20"/>
          <w:szCs w:val="20"/>
        </w:rPr>
        <w:fldChar w:fldCharType="separate"/>
      </w:r>
      <w:r w:rsidR="00E63233" w:rsidRPr="00E63233">
        <w:rPr>
          <w:rFonts w:ascii="Arial" w:hAnsi="Arial" w:cs="Arial"/>
          <w:noProof/>
          <w:sz w:val="20"/>
          <w:szCs w:val="20"/>
        </w:rPr>
        <w:t>[1]–[4]</w:t>
      </w:r>
      <w:r w:rsidR="004B03F3">
        <w:rPr>
          <w:rFonts w:ascii="Arial" w:hAnsi="Arial" w:cs="Arial"/>
          <w:sz w:val="20"/>
          <w:szCs w:val="20"/>
        </w:rPr>
        <w:fldChar w:fldCharType="end"/>
      </w:r>
      <w:r w:rsidR="00F2208E" w:rsidRPr="003C4CBA">
        <w:rPr>
          <w:rFonts w:ascii="Arial" w:eastAsia="Times New Roman" w:hAnsi="Arial" w:cs="Arial"/>
          <w:sz w:val="20"/>
          <w:szCs w:val="20"/>
        </w:rPr>
        <w:t xml:space="preserve">. </w:t>
      </w:r>
      <w:r w:rsidRPr="000B5E69">
        <w:rPr>
          <w:rFonts w:ascii="Arial" w:eastAsia="Times New Roman" w:hAnsi="Arial" w:cs="Arial"/>
          <w:sz w:val="20"/>
          <w:szCs w:val="20"/>
        </w:rPr>
        <w:t>The event involved complex subsurface mechanisms, including confined aquifers, stratified layers, and undissipated pore-pressure migration</w:t>
      </w:r>
      <w:r>
        <w:rPr>
          <w:rFonts w:ascii="Arial" w:eastAsia="Times New Roman" w:hAnsi="Arial" w:cs="Arial"/>
          <w:sz w:val="20"/>
          <w:szCs w:val="20"/>
        </w:rPr>
        <w:t xml:space="preserve"> </w:t>
      </w:r>
      <w:r w:rsidR="00B3556B">
        <w:rPr>
          <w:rFonts w:ascii="Arial" w:eastAsia="Times New Roman" w:hAnsi="Arial" w:cs="Arial"/>
          <w:sz w:val="20"/>
          <w:szCs w:val="20"/>
        </w:rPr>
        <w:t xml:space="preserve"> </w:t>
      </w:r>
      <w:r w:rsidR="001242FC">
        <w:rPr>
          <w:rFonts w:ascii="Arial" w:eastAsia="Times New Roman" w:hAnsi="Arial" w:cs="Arial"/>
          <w:sz w:val="20"/>
          <w:szCs w:val="20"/>
        </w:rPr>
        <w:fldChar w:fldCharType="begin" w:fldLock="1"/>
      </w:r>
      <w:r w:rsidR="007043E5">
        <w:rPr>
          <w:rFonts w:ascii="Arial" w:eastAsia="Times New Roman" w:hAnsi="Arial" w:cs="Arial"/>
          <w:sz w:val="20"/>
          <w:szCs w:val="20"/>
        </w:rPr>
        <w:instrText>ADDIN CSL_CITATION {"citationItems":[{"id":"ITEM-1","itemData":{"DOI":"10.1007/s10040-022-02516-2","ISBN":"0123456789","ISSN":"14350157","abstract":"Soil liquefaction on 28 September 2018 in Palu, Indonesia, included one of the largest soil movements ever, where objects on the ground surface moved hundreds of meters away and settlements sank into the mud. Some preliminary studies show that in addition to a strong earthquake, there are strong indications that a confined aquifer in the Palu valley worsened the liquefaction. The role of the confined aquifer can be recognized early on from one of various signs, namely the presence of massive surface inundations suspected due to groundwater expulsion which is thought to originate mostly from the confined aquifer. This paper describes the mechanism of the soil liquefaction in Palu from the perspective of earthquake hydrogeology, focusing on the groundwater expelled from an unconfined aquifer and especially from the underlying confined aquifer through hydraulic inter-connection between the two, which is possible due to simultaneous interaction of excess pore pressure dissipation and enhanced permeability driven by an earthquake in the near field. If this hypothesis proves to be strong, there are implications for engineering practices because the evaluation of potential soil liquefaction carried out currently in the geotechnical engineering field generally only involves the role of shallow groundwater and/or the unconfined aquifer and the role of soil layers not deeper than 30 m from the ground surface. It may be necessary to complement current evaluation practice with an evaluation of the deep groundwater response to earthquakes, especially if the deep groundwater is artesian and productive, with a relatively thin confining layer.","author":[{"dropping-particle":"","family":"Widodo","given":"Lilik E.","non-dropping-particle":"","parse-names":false,"suffix":""},{"dropping-particle":"","family":"Prassetyo","given":"Simon H.","non-dropping-particle":"","parse-names":false,"suffix":""},{"dropping-particle":"","family":"Simangunsong","given":"Ganda M.","non-dropping-particle":"","parse-names":false,"suffix":""},{"dropping-particle":"","family":"Iskandar","given":"Irwan","non-dropping-particle":"","parse-names":false,"suffix":""}],"container-title":"Hydrogeology Journal","id":"ITEM-1","issue":"6","issued":{"date-parts":[["2022"]]},"page":"1877-1898","publisher":"Springer Berlin Heidelberg","title":"Role of the confined aquifer in the mechanism of soil liquefaction due to the 7.5 Mw earthquake in Palu (Indonesia) on 28 September 2018","type":"article-journal","volume":"30"},"uris":["http://www.mendeley.com/documents/?uuid=6170b6a7-2383-4faa-89cd-42621f9b4a09"]},{"id":"ITEM-2","itemData":{"DOI":"10.3390/su15065371","ISSN":"2071-1050","abstract":"This paper presents the results of the subsurface investigation and liquefaction assessment of the Petobo flowslide, induced by soil liquefaction during the Mw 7.5 Palu–Donggala earthquake of Indonesia on 28 September 2018. The investigations, including drilling, standard penetration tests, electrical resistivity imaging survey, dynamic probing, groundwater table monitoring, etc., were conducted along the main road that passes through the middle of the flowslide area. Liquefaction assessments and flowslide simulations were carried out with three assumed scenarios. Scenario 1 describes the condition if the flowslide were to be retriggered at the cease of sliding due to the same earthquake striking the site. Scenarios 2 and 3 attempt to examine the influence of locally raised groundwater levels due to the infiltration of the Gumbasa irrigation system and widespread paddy fields of the site as a result of soil liquefaction and the flowslide. Subsurface investigations revealed that, within a 30-m depth of the ground, the sliding area generally consists of sandy deposits of SM/SP/SW, except for the toe portion where thick layers of silt (ML) and clay (CL) were found. The results of field testing and liquefaction assessment identify potentially weak and liquefiable zones which enable the construction of a speculated slip surface for the flowslide. Both liquefaction assessment and flowslide simulations verify that soil liquefaction would be triggered during the earthquake as a result of locally raised groundwater tables, and that a gentle slope (≈3°) that provides static shears would lead to long-distance sliding after shaking. Should the locally raised groundwater tables not exist, the results indicate no soil liquefaction and no flowslide.","author":[{"dropping-particle":"","family":"Upomo","given":"Togani Cahyadi","non-dropping-particle":"","parse-names":false,"suffix":""},{"dropping-particle":"","family":"Chang","given":"Muhsiung","non-dropping-particle":"","parse-names":false,"suffix":""},{"dropping-particle":"","family":"Kusumawardani","given":"Rini","non-dropping-particle":"","parse-names":false,"suffix":""},{"dropping-particle":"","family":"Prayitno","given":"Galih Ady","non-dropping-particle":"","parse-names":false,"suffix":""},{"dropping-particle":"","family":"Kuo","given":"Chih-Ping","non-dropping-particle":"","parse-names":false,"suffix":""},{"dropping-particle":"","family":"Nugroho","given":"Untoro","non-dropping-particle":"","parse-names":false,"suffix":""}],"container-title":"Sustainability","id":"ITEM-2","issue":"6","issued":{"date-parts":[["2023","3","17"]]},"page":"5371","title":"Assessment of Petobo Flowslide Induced by Soil Liquefaction during 2018 Palu–Donggala Indonesian Earthquake","type":"article-journal","volume":"15"},"uris":["http://www.mendeley.com/documents/?uuid=914d1a0e-a96d-4caf-81c2-745ccdd50f77"]},{"id":"ITEM-3","itemData":{"DOI":"10.1007/s10706-024-02816-2","ISSN":"0960-3182","author":[{"dropping-particle":"","family":"Jayakrishnan","given":"Veena","non-dropping-particle":"","parse-names":false,"suffix":""},{"dropping-particle":"","family":"Beena","given":"K. S.","non-dropping-particle":"","parse-names":false,"suffix":""},{"dropping-particle":"","family":"Blayil","given":"Chesma B.","non-dropping-particle":"","parse-names":false,"suffix":""}],"container-title":"Geotechnical and Geological Engineering","id":"ITEM-3","issue":"6","issued":{"date-parts":[["2024","8","17"]]},"page":"5375-5387","title":"Studying the Impact of Continuous and Multiple Earthquake Ground Motions on Pore Pressure in Saturated Sandy Deposits","type":"article-journal","volume":"42"},"uris":["http://www.mendeley.com/documents/?uuid=a6ec2a0a-9403-436d-be88-a4b4bd9ccf06"]}],"mendeley":{"formattedCitation":"[5]–[7]","plainTextFormattedCitation":"[5]–[7]","previouslyFormattedCitation":"[5]–[7]"},"properties":{"noteIndex":0},"schema":"https://github.com/citation-style-language/schema/raw/master/csl-citation.json"}</w:instrText>
      </w:r>
      <w:r w:rsidR="001242FC">
        <w:rPr>
          <w:rFonts w:ascii="Arial" w:eastAsia="Times New Roman" w:hAnsi="Arial" w:cs="Arial"/>
          <w:sz w:val="20"/>
          <w:szCs w:val="20"/>
        </w:rPr>
        <w:fldChar w:fldCharType="separate"/>
      </w:r>
      <w:r w:rsidR="001242FC" w:rsidRPr="001242FC">
        <w:rPr>
          <w:rFonts w:ascii="Arial" w:eastAsia="Times New Roman" w:hAnsi="Arial" w:cs="Arial"/>
          <w:noProof/>
          <w:sz w:val="20"/>
          <w:szCs w:val="20"/>
        </w:rPr>
        <w:t>[5]–[7]</w:t>
      </w:r>
      <w:r w:rsidR="001242FC">
        <w:rPr>
          <w:rFonts w:ascii="Arial" w:eastAsia="Times New Roman" w:hAnsi="Arial" w:cs="Arial"/>
          <w:sz w:val="20"/>
          <w:szCs w:val="20"/>
        </w:rPr>
        <w:fldChar w:fldCharType="end"/>
      </w:r>
      <w:r w:rsidR="007E422A">
        <w:rPr>
          <w:rFonts w:ascii="Arial" w:eastAsia="Times New Roman" w:hAnsi="Arial" w:cs="Arial"/>
          <w:sz w:val="20"/>
          <w:szCs w:val="20"/>
        </w:rPr>
        <w:t xml:space="preserve">, </w:t>
      </w:r>
      <w:r w:rsidR="007E422A" w:rsidRPr="007E422A">
        <w:rPr>
          <w:rFonts w:ascii="Arial" w:eastAsia="Times New Roman" w:hAnsi="Arial" w:cs="Arial"/>
          <w:sz w:val="20"/>
          <w:szCs w:val="20"/>
        </w:rPr>
        <w:t>emphasizing the need for detailed laboratory investigation of the affected soils.</w:t>
      </w:r>
    </w:p>
    <w:p w14:paraId="05A1C939" w14:textId="77777777" w:rsidR="007E422A" w:rsidRDefault="007E422A" w:rsidP="000B5E69">
      <w:pPr>
        <w:spacing w:before="120" w:after="120" w:line="240" w:lineRule="auto"/>
        <w:ind w:left="0" w:hanging="2"/>
        <w:jc w:val="both"/>
        <w:rPr>
          <w:rFonts w:ascii="Arial" w:eastAsia="Times New Roman" w:hAnsi="Arial" w:cs="Arial"/>
          <w:sz w:val="20"/>
          <w:szCs w:val="20"/>
        </w:rPr>
      </w:pPr>
      <w:r w:rsidRPr="007E422A">
        <w:rPr>
          <w:rFonts w:ascii="Arial" w:eastAsia="Times New Roman" w:hAnsi="Arial" w:cs="Arial"/>
          <w:sz w:val="20"/>
          <w:szCs w:val="20"/>
        </w:rPr>
        <w:lastRenderedPageBreak/>
        <w:t>Although the Petobo flowslide has been widely studied from the perspectives of geomorphology, groundwater rise, hydrological triggering, and stratigraphic controls</w:t>
      </w:r>
      <w:r>
        <w:rPr>
          <w:rFonts w:ascii="Arial" w:eastAsia="Times New Roman" w:hAnsi="Arial" w:cs="Arial"/>
          <w:sz w:val="20"/>
          <w:szCs w:val="20"/>
        </w:rPr>
        <w:t xml:space="preserve"> </w:t>
      </w:r>
      <w:r>
        <w:rPr>
          <w:rFonts w:ascii="Arial" w:eastAsia="Times New Roman" w:hAnsi="Arial" w:cs="Arial"/>
          <w:sz w:val="20"/>
          <w:szCs w:val="20"/>
        </w:rPr>
        <w:fldChar w:fldCharType="begin" w:fldLock="1"/>
      </w:r>
      <w:r w:rsidR="001242FC">
        <w:rPr>
          <w:rFonts w:ascii="Arial" w:eastAsia="Times New Roman" w:hAnsi="Arial" w:cs="Arial"/>
          <w:sz w:val="20"/>
          <w:szCs w:val="20"/>
        </w:rPr>
        <w:instrText>ADDIN CSL_CITATION {"citationItems":[{"id":"ITEM-1","itemData":{"DOI":"10.1007/s10040-022-02516-2","ISBN":"0123456789","ISSN":"14350157","abstract":"Soil liquefaction on 28 September 2018 in Palu, Indonesia, included one of the largest soil movements ever, where objects on the ground surface moved hundreds of meters away and settlements sank into the mud. Some preliminary studies show that in addition to a strong earthquake, there are strong indications that a confined aquifer in the Palu valley worsened the liquefaction. The role of the confined aquifer can be recognized early on from one of various signs, namely the presence of massive surface inundations suspected due to groundwater expulsion which is thought to originate mostly from the confined aquifer. This paper describes the mechanism of the soil liquefaction in Palu from the perspective of earthquake hydrogeology, focusing on the groundwater expelled from an unconfined aquifer and especially from the underlying confined aquifer through hydraulic inter-connection between the two, which is possible due to simultaneous interaction of excess pore pressure dissipation and enhanced permeability driven by an earthquake in the near field. If this hypothesis proves to be strong, there are implications for engineering practices because the evaluation of potential soil liquefaction carried out currently in the geotechnical engineering field generally only involves the role of shallow groundwater and/or the unconfined aquifer and the role of soil layers not deeper than 30 m from the ground surface. It may be necessary to complement current evaluation practice with an evaluation of the deep groundwater response to earthquakes, especially if the deep groundwater is artesian and productive, with a relatively thin confining layer.","author":[{"dropping-particle":"","family":"Widodo","given":"Lilik E.","non-dropping-particle":"","parse-names":false,"suffix":""},{"dropping-particle":"","family":"Prassetyo","given":"Simon H.","non-dropping-particle":"","parse-names":false,"suffix":""},{"dropping-particle":"","family":"Simangunsong","given":"Ganda M.","non-dropping-particle":"","parse-names":false,"suffix":""},{"dropping-particle":"","family":"Iskandar","given":"Irwan","non-dropping-particle":"","parse-names":false,"suffix":""}],"container-title":"Hydrogeology Journal","id":"ITEM-1","issue":"6","issued":{"date-parts":[["2022"]]},"page":"1877-1898","publisher":"Springer Berlin Heidelberg","title":"Role of the confined aquifer in the mechanism of soil liquefaction due to the 7.5 Mw earthquake in Palu (Indonesia) on 28 September 2018","type":"article-journal","volume":"30"},"uris":["http://www.mendeley.com/documents/?uuid=6170b6a7-2383-4faa-89cd-42621f9b4a09"]},{"id":"ITEM-2","itemData":{"DOI":"10.3390/su15065371","ISSN":"2071-1050","abstract":"This paper presents the results of the subsurface investigation and liquefaction assessment of the Petobo flowslide, induced by soil liquefaction during the Mw 7.5 Palu–Donggala earthquake of Indonesia on 28 September 2018. The investigations, including drilling, standard penetration tests, electrical resistivity imaging survey, dynamic probing, groundwater table monitoring, etc., were conducted along the main road that passes through the middle of the flowslide area. Liquefaction assessments and flowslide simulations were carried out with three assumed scenarios. Scenario 1 describes the condition if the flowslide were to be retriggered at the cease of sliding due to the same earthquake striking the site. Scenarios 2 and 3 attempt to examine the influence of locally raised groundwater levels due to the infiltration of the Gumbasa irrigation system and widespread paddy fields of the site as a result of soil liquefaction and the flowslide. Subsurface investigations revealed that, within a 30-m depth of the ground, the sliding area generally consists of sandy deposits of SM/SP/SW, except for the toe portion where thick layers of silt (ML) and clay (CL) were found. The results of field testing and liquefaction assessment identify potentially weak and liquefiable zones which enable the construction of a speculated slip surface for the flowslide. Both liquefaction assessment and flowslide simulations verify that soil liquefaction would be triggered during the earthquake as a result of locally raised groundwater tables, and that a gentle slope (≈3°) that provides static shears would lead to long-distance sliding after shaking. Should the locally raised groundwater tables not exist, the results indicate no soil liquefaction and no flowslide.","author":[{"dropping-particle":"","family":"Upomo","given":"Togani Cahyadi","non-dropping-particle":"","parse-names":false,"suffix":""},{"dropping-particle":"","family":"Chang","given":"Muhsiung","non-dropping-particle":"","parse-names":false,"suffix":""},{"dropping-particle":"","family":"Kusumawardani","given":"Rini","non-dropping-particle":"","parse-names":false,"suffix":""},{"dropping-particle":"","family":"Prayitno","given":"Galih Ady","non-dropping-particle":"","parse-names":false,"suffix":""},{"dropping-particle":"","family":"Kuo","given":"Chih-Ping","non-dropping-particle":"","parse-names":false,"suffix":""},{"dropping-particle":"","family":"Nugroho","given":"Untoro","non-dropping-particle":"","parse-names":false,"suffix":""}],"container-title":"Sustainability","id":"ITEM-2","issue":"6","issued":{"date-parts":[["2023","3","17"]]},"page":"5371","title":"Assessment of Petobo Flowslide Induced by Soil Liquefaction during 2018 Palu–Donggala Indonesian Earthquake","type":"article-journal","volume":"15"},"uris":["http://www.mendeley.com/documents/?uuid=914d1a0e-a96d-4caf-81c2-745ccdd50f77"]}],"mendeley":{"formattedCitation":"[5], [6]","plainTextFormattedCitation":"[5], [6]","previouslyFormattedCitation":"[5], [6]"},"properties":{"noteIndex":0},"schema":"https://github.com/citation-style-language/schema/raw/master/csl-citation.json"}</w:instrText>
      </w:r>
      <w:r>
        <w:rPr>
          <w:rFonts w:ascii="Arial" w:eastAsia="Times New Roman" w:hAnsi="Arial" w:cs="Arial"/>
          <w:sz w:val="20"/>
          <w:szCs w:val="20"/>
        </w:rPr>
        <w:fldChar w:fldCharType="separate"/>
      </w:r>
      <w:r w:rsidR="00E63233" w:rsidRPr="00E63233">
        <w:rPr>
          <w:rFonts w:ascii="Arial" w:eastAsia="Times New Roman" w:hAnsi="Arial" w:cs="Arial"/>
          <w:noProof/>
          <w:sz w:val="20"/>
          <w:szCs w:val="20"/>
        </w:rPr>
        <w:t>[5], [6]</w:t>
      </w:r>
      <w:r>
        <w:rPr>
          <w:rFonts w:ascii="Arial" w:eastAsia="Times New Roman" w:hAnsi="Arial" w:cs="Arial"/>
          <w:sz w:val="20"/>
          <w:szCs w:val="20"/>
        </w:rPr>
        <w:fldChar w:fldCharType="end"/>
      </w:r>
      <w:r w:rsidR="003A43E9">
        <w:rPr>
          <w:rFonts w:ascii="Arial" w:eastAsia="Times New Roman" w:hAnsi="Arial" w:cs="Arial"/>
          <w:sz w:val="20"/>
          <w:szCs w:val="20"/>
        </w:rPr>
        <w:t xml:space="preserve"> </w:t>
      </w:r>
      <w:r w:rsidR="003A43E9">
        <w:rPr>
          <w:rFonts w:ascii="Arial" w:eastAsia="Times New Roman" w:hAnsi="Arial" w:cs="Arial"/>
          <w:sz w:val="20"/>
          <w:szCs w:val="20"/>
        </w:rPr>
        <w:fldChar w:fldCharType="begin" w:fldLock="1"/>
      </w:r>
      <w:r w:rsidR="001242FC">
        <w:rPr>
          <w:rFonts w:ascii="Arial" w:eastAsia="Times New Roman" w:hAnsi="Arial" w:cs="Arial"/>
          <w:sz w:val="20"/>
          <w:szCs w:val="20"/>
        </w:rPr>
        <w:instrText>ADDIN CSL_CITATION {"citationItems":[{"id":"ITEM-1","itemData":{"DOI":"10.1007/s10706-024-02816-2","ISSN":"0960-3182","author":[{"dropping-particle":"","family":"Jayakrishnan","given":"Veena","non-dropping-particle":"","parse-names":false,"suffix":""},{"dropping-particle":"","family":"Beena","given":"K. S.","non-dropping-particle":"","parse-names":false,"suffix":""},{"dropping-particle":"","family":"Blayil","given":"Chesma B.","non-dropping-particle":"","parse-names":false,"suffix":""}],"container-title":"Geotechnical and Geological Engineering","id":"ITEM-1","issue":"6","issued":{"date-parts":[["2024","8","17"]]},"page":"5375-5387","title":"Studying the Impact of Continuous and Multiple Earthquake Ground Motions on Pore Pressure in Saturated Sandy Deposits","type":"article-journal","volume":"42"},"uris":["http://www.mendeley.com/documents/?uuid=a6ec2a0a-9403-436d-be88-a4b4bd9ccf06"]}],"mendeley":{"formattedCitation":"[7]","plainTextFormattedCitation":"[7]","previouslyFormattedCitation":"[7]"},"properties":{"noteIndex":0},"schema":"https://github.com/citation-style-language/schema/raw/master/csl-citation.json"}</w:instrText>
      </w:r>
      <w:r w:rsidR="003A43E9">
        <w:rPr>
          <w:rFonts w:ascii="Arial" w:eastAsia="Times New Roman" w:hAnsi="Arial" w:cs="Arial"/>
          <w:sz w:val="20"/>
          <w:szCs w:val="20"/>
        </w:rPr>
        <w:fldChar w:fldCharType="separate"/>
      </w:r>
      <w:r w:rsidR="00E63233" w:rsidRPr="00E63233">
        <w:rPr>
          <w:rFonts w:ascii="Arial" w:eastAsia="Times New Roman" w:hAnsi="Arial" w:cs="Arial"/>
          <w:noProof/>
          <w:sz w:val="20"/>
          <w:szCs w:val="20"/>
        </w:rPr>
        <w:t>[7]</w:t>
      </w:r>
      <w:r w:rsidR="003A43E9">
        <w:rPr>
          <w:rFonts w:ascii="Arial" w:eastAsia="Times New Roman" w:hAnsi="Arial" w:cs="Arial"/>
          <w:sz w:val="20"/>
          <w:szCs w:val="20"/>
        </w:rPr>
        <w:fldChar w:fldCharType="end"/>
      </w:r>
      <w:r w:rsidR="003A43E9">
        <w:rPr>
          <w:rFonts w:ascii="Arial" w:eastAsia="Times New Roman" w:hAnsi="Arial" w:cs="Arial"/>
          <w:sz w:val="20"/>
          <w:szCs w:val="20"/>
        </w:rPr>
        <w:t xml:space="preserve"> </w:t>
      </w:r>
      <w:r w:rsidRPr="007E422A">
        <w:rPr>
          <w:rFonts w:ascii="Arial" w:eastAsia="Times New Roman" w:hAnsi="Arial" w:cs="Arial"/>
          <w:sz w:val="20"/>
          <w:szCs w:val="20"/>
        </w:rPr>
        <w:t>no previous study has measured the post-liquefaction residual shear strength of Petobo soil. This parameter directly governs the distance that the liquefied mass can travel. As a result, a key mechanical input required to explain how the Petobo deposit moved hundreds of meters remains unknown. The absence of such data limits the accuracy of back-analyses and the ability to predict similar failures in the Palu region.</w:t>
      </w:r>
    </w:p>
    <w:p w14:paraId="2AB13CE4" w14:textId="77777777" w:rsidR="003A43E9" w:rsidRDefault="007E422A" w:rsidP="00A30BE7">
      <w:pPr>
        <w:spacing w:before="120" w:after="120" w:line="240" w:lineRule="auto"/>
        <w:ind w:left="0" w:hanging="2"/>
        <w:jc w:val="both"/>
        <w:rPr>
          <w:rFonts w:ascii="Arial" w:hAnsi="Arial" w:cs="Arial"/>
          <w:color w:val="000000" w:themeColor="text1"/>
          <w:sz w:val="20"/>
          <w:szCs w:val="20"/>
        </w:rPr>
      </w:pPr>
      <w:r w:rsidRPr="007E422A">
        <w:rPr>
          <w:rFonts w:ascii="Arial" w:eastAsia="Times New Roman" w:hAnsi="Arial" w:cs="Arial"/>
          <w:sz w:val="20"/>
          <w:szCs w:val="20"/>
        </w:rPr>
        <w:t>In general, loose saturated sand is highly susceptible to liquefaction due to its strongly contractive behavior, rapid pore-pressure buildup, and reduction of effective stress leading to loss of shear strength</w:t>
      </w:r>
      <w:r>
        <w:rPr>
          <w:rFonts w:ascii="Arial" w:eastAsia="Times New Roman" w:hAnsi="Arial" w:cs="Arial"/>
          <w:sz w:val="20"/>
          <w:szCs w:val="20"/>
        </w:rPr>
        <w:t xml:space="preserve"> </w:t>
      </w:r>
      <w:r w:rsidR="00B3556B">
        <w:rPr>
          <w:rFonts w:ascii="Arial" w:hAnsi="Arial" w:cs="Arial"/>
          <w:sz w:val="20"/>
          <w:szCs w:val="20"/>
        </w:rPr>
        <w:fldChar w:fldCharType="begin" w:fldLock="1"/>
      </w:r>
      <w:r w:rsidR="001242FC">
        <w:rPr>
          <w:rFonts w:ascii="Arial" w:hAnsi="Arial" w:cs="Arial"/>
          <w:sz w:val="20"/>
          <w:szCs w:val="20"/>
        </w:rPr>
        <w:instrText>ADDIN CSL_CITATION {"citationItems":[{"id":"ITEM-1","itemData":{"DOI":"10.3390/su15065371","ISSN":"2071-1050","abstract":"This paper presents the results of the subsurface investigation and liquefaction assessment of the Petobo flowslide, induced by soil liquefaction during the Mw 7.5 Palu–Donggala earthquake of Indonesia on 28 September 2018. The investigations, including drilling, standard penetration tests, electrical resistivity imaging survey, dynamic probing, groundwater table monitoring, etc., were conducted along the main road that passes through the middle of the flowslide area. Liquefaction assessments and flowslide simulations were carried out with three assumed scenarios. Scenario 1 describes the condition if the flowslide were to be retriggered at the cease of sliding due to the same earthquake striking the site. Scenarios 2 and 3 attempt to examine the influence of locally raised groundwater levels due to the infiltration of the Gumbasa irrigation system and widespread paddy fields of the site as a result of soil liquefaction and the flowslide. Subsurface investigations revealed that, within a 30-m depth of the ground, the sliding area generally consists of sandy deposits of SM/SP/SW, except for the toe portion where thick layers of silt (ML) and clay (CL) were found. The results of field testing and liquefaction assessment identify potentially weak and liquefiable zones which enable the construction of a speculated slip surface for the flowslide. Both liquefaction assessment and flowslide simulations verify that soil liquefaction would be triggered during the earthquake as a result of locally raised groundwater tables, and that a gentle slope (≈3°) that provides static shears would lead to long-distance sliding after shaking. Should the locally raised groundwater tables not exist, the results indicate no soil liquefaction and no flowslide.","author":[{"dropping-particle":"","family":"Upomo","given":"Togani Cahyadi","non-dropping-particle":"","parse-names":false,"suffix":""},{"dropping-particle":"","family":"Chang","given":"Muhsiung","non-dropping-particle":"","parse-names":false,"suffix":""},{"dropping-particle":"","family":"Kusumawardani","given":"Rini","non-dropping-particle":"","parse-names":false,"suffix":""},{"dropping-particle":"","family":"Prayitno","given":"Galih Ady","non-dropping-particle":"","parse-names":false,"suffix":""},{"dropping-particle":"","family":"Kuo","given":"Chih-Ping","non-dropping-particle":"","parse-names":false,"suffix":""},{"dropping-particle":"","family":"Nugroho","given":"Untoro","non-dropping-particle":"","parse-names":false,"suffix":""}],"container-title":"Sustainability","id":"ITEM-1","issue":"6","issued":{"date-parts":[["2023","3","17"]]},"page":"5371","title":"Assessment of Petobo Flowslide Induced by Soil Liquefaction during 2018 Palu–Donggala Indonesian Earthquake","type":"article-journal","volume":"15"},"uris":["http://www.mendeley.com/documents/?uuid=914d1a0e-a96d-4caf-81c2-745ccdd50f77"]},{"id":"ITEM-2","itemData":{"DOI":"10.1007/s10706-024-02816-2","ISSN":"0960-3182","author":[{"dropping-particle":"","family":"Jayakrishnan","given":"Veena","non-dropping-particle":"","parse-names":false,"suffix":""},{"dropping-particle":"","family":"Beena","given":"K. S.","non-dropping-particle":"","parse-names":false,"suffix":""},{"dropping-particle":"","family":"Blayil","given":"Chesma B.","non-dropping-particle":"","parse-names":false,"suffix":""}],"container-title":"Geotechnical and Geological Engineering","id":"ITEM-2","issue":"6","issued":{"date-parts":[["2024","8","17"]]},"page":"5375-5387","title":"Studying the Impact of Continuous and Multiple Earthquake Ground Motions on Pore Pressure in Saturated Sandy Deposits","type":"article-journal","volume":"42"},"uris":["http://www.mendeley.com/documents/?uuid=a6ec2a0a-9403-436d-be88-a4b4bd9ccf06"]},{"id":"ITEM-3","itemData":{"DOI":"10.1201/9781003188339-2","ISBN":"9781032036458","abstract":"Over the last two decades, seismic soil liquefaction engineering has evolved into a field of its own right, as engineering assessment and mitigation of liquefaction hazard is increasingly well addressed in both research and practice. Assessment of liquefaction potential and consequent strength and strain response of soils are considered as the initial steps of engineering evaluation of seismic soil liquefaction, and these topics have naturally drawn significant research interest. Within in the confines of this manuscript, current state of practice on these issues will be reviewed, critically examined, and some recommendations will be listed for practitioners.","author":[{"dropping-particle":"","family":"Cetin","given":"K. O.","non-dropping-particle":"","parse-names":false,"suffix":""},{"dropping-particle":"","family":"Bilge","given":"H. T.","non-dropping-particle":"","parse-names":false,"suffix":""}],"container-title":"The Evolution of Geotech - 25 Years of Innovation","id":"ITEM-3","issue":"2001","issued":{"date-parts":[["2022"]]},"page":"18-42","title":"Recent advances in seismic soil liquefaction engineering","type":"article-journal"},"uris":["http://www.mendeley.com/documents/?uuid=09bd3b15-120e-4d73-9c3f-b32a9a5af913"]}],"mendeley":{"formattedCitation":"[6]–[8]","manualFormatting":"(Cetin &amp; Bilge, 2022)","plainTextFormattedCitation":"[6]–[8]","previouslyFormattedCitation":"[6]–[8]"},"properties":{"noteIndex":0},"schema":"https://github.com/citation-style-language/schema/raw/master/csl-citation.json"}</w:instrText>
      </w:r>
      <w:r w:rsidR="00B3556B">
        <w:rPr>
          <w:rFonts w:ascii="Arial" w:hAnsi="Arial" w:cs="Arial"/>
          <w:sz w:val="20"/>
          <w:szCs w:val="20"/>
        </w:rPr>
        <w:fldChar w:fldCharType="separate"/>
      </w:r>
      <w:r w:rsidR="003A43E9">
        <w:rPr>
          <w:rFonts w:ascii="Arial" w:hAnsi="Arial" w:cs="Arial"/>
          <w:noProof/>
          <w:sz w:val="20"/>
          <w:szCs w:val="20"/>
        </w:rPr>
        <w:t>(Cetin &amp; Bilge, 2022</w:t>
      </w:r>
      <w:r w:rsidR="003A43E9" w:rsidRPr="003A43E9">
        <w:rPr>
          <w:rFonts w:ascii="Arial" w:hAnsi="Arial" w:cs="Arial"/>
          <w:noProof/>
          <w:sz w:val="20"/>
          <w:szCs w:val="20"/>
        </w:rPr>
        <w:t>)</w:t>
      </w:r>
      <w:r w:rsidR="00B3556B">
        <w:rPr>
          <w:rFonts w:ascii="Arial" w:hAnsi="Arial" w:cs="Arial"/>
          <w:sz w:val="20"/>
          <w:szCs w:val="20"/>
        </w:rPr>
        <w:fldChar w:fldCharType="end"/>
      </w:r>
      <w:r>
        <w:rPr>
          <w:rFonts w:ascii="Arial" w:hAnsi="Arial" w:cs="Arial"/>
          <w:sz w:val="20"/>
          <w:szCs w:val="20"/>
        </w:rPr>
        <w:t xml:space="preserve"> </w:t>
      </w:r>
      <w:r w:rsidR="003A43E9">
        <w:rPr>
          <w:rFonts w:ascii="Arial" w:hAnsi="Arial" w:cs="Arial"/>
          <w:sz w:val="20"/>
          <w:szCs w:val="20"/>
        </w:rPr>
        <w:fldChar w:fldCharType="begin" w:fldLock="1"/>
      </w:r>
      <w:r w:rsidR="001242FC">
        <w:rPr>
          <w:rFonts w:ascii="Arial" w:hAnsi="Arial" w:cs="Arial"/>
          <w:sz w:val="20"/>
          <w:szCs w:val="20"/>
        </w:rPr>
        <w:instrText>ADDIN CSL_CITATION {"citationItems":[{"id":"ITEM-1","itemData":{"DOI":"10.1080/19648189.2021.1927195","ISSN":"19648189","abstract":"This paper presents a study of the influence of plastic and non-plastic fines on the resistance of sands to liquefaction. The study is carried out with the aid of a triaxial apparatus on reconstituted sand-fines mixtures at low fines content (≤ 5%). A description of the soils used in this study is first presented followed by the presentation of results of undrained monotonic liquefaction tests performed on sand specimens containing different fines fractions. Experimental results show that the increase in non-plastic fines content up to 5% increases the resistance of sand to liquefaction. Whereas the increase in plastic fines content reveals a decrease in the latter. This result is due to the contribution of the non-plastic fine particles to the overall chain forces and therefore they increase the resistance against liquefaction, however the decrease in the resistance with plastic fines could be attributed to their nature that lead to the sliding between the sand grains and therefore favour the contractancy of the whole specimen.","author":[{"dropping-particle":"","family":"Jradi","given":"Layal","non-dropping-particle":"","parse-names":false,"suffix":""},{"dropping-particle":"","family":"Dine","given":"Bassel Seif","non-dropping-particle":"El","parse-names":false,"suffix":""},{"dropping-particle":"","family":"Dupla","given":"Jean Claude","non-dropping-particle":"","parse-names":false,"suffix":""},{"dropping-particle":"","family":"Canou","given":"Jean","non-dropping-particle":"","parse-names":false,"suffix":""}],"container-title":"European Journal of Environmental and Civil Engineering","id":"ITEM-1","issue":"12","issued":{"date-parts":[["2022"]]},"page":"6012-6031","publisher":"Taylor &amp; Francis","title":"Influence of low fines content on the liquefaction resistance of sands","type":"article-journal","volume":"26"},"uris":["http://www.mendeley.com/documents/?uuid=e7416bdd-b6ef-4f6d-b2d4-6107ec7b6912"]},{"id":"ITEM-2","itemData":{"DOI":"10.1080/19386362.2020.1712532","ISSN":"19397879","abstract":"There are some ambiguities in understanding of the effect of non-plastic fine content (silt) on the liquefaction behaviour of sand in the literature. Reviewing the results of field and laboratory studies suggests that increasing the amount of non-plastic fine content in sand can lead to improvement or deterioration of liquefaction resistance. In this study, the effect of non-plastic silt on liquefaction resistance of Anzali sand is investigated using shaking table tests. According to the results, for the relative density of 30%, liquefaction resistance was found to be initially decreasing by increasing the silt content until the limiting fine content (LFC) as 15% and increasing thereafter. However, for the relative density of 60%, liquefaction resistance showed a continuously decreasing trend by increasing the silt content. Finally, comparison of the result through the limiting bounds of pore pressure obtained in this study with that of other researchers showed an appropriate consistency.","author":[{"dropping-particle":"","family":"Ghorbani","given":"Ali","non-dropping-particle":"","parse-names":false,"suffix":""},{"dropping-particle":"","family":"Eslami","given":"Amin","non-dropping-particle":"","parse-names":false,"suffix":""},{"dropping-particle":"","family":"Nezhad Moghadam","given":"Masoumeh","non-dropping-particle":"","parse-names":false,"suffix":""}],"container-title":"International Journal of Geotechnical Engineering","id":"ITEM-2","issue":"00","issued":{"date-parts":[["2020"]]},"page":"1-13","publisher":"Taylor &amp; Francis","title":"Effect of non-plastic silt on liquefaction susceptibility of marine sand by transparent laminar shear box in shaking table","type":"article-journal","volume":"00"},"uris":["http://www.mendeley.com/documents/?uuid=033445ee-b125-43c1-94b8-309ef51ece1b"]}],"mendeley":{"formattedCitation":"[9], [10]","plainTextFormattedCitation":"[9], [10]","previouslyFormattedCitation":"[9], [10]"},"properties":{"noteIndex":0},"schema":"https://github.com/citation-style-language/schema/raw/master/csl-citation.json"}</w:instrText>
      </w:r>
      <w:r w:rsidR="003A43E9">
        <w:rPr>
          <w:rFonts w:ascii="Arial" w:hAnsi="Arial" w:cs="Arial"/>
          <w:sz w:val="20"/>
          <w:szCs w:val="20"/>
        </w:rPr>
        <w:fldChar w:fldCharType="separate"/>
      </w:r>
      <w:r w:rsidR="00E63233" w:rsidRPr="00E63233">
        <w:rPr>
          <w:rFonts w:ascii="Arial" w:hAnsi="Arial" w:cs="Arial"/>
          <w:noProof/>
          <w:sz w:val="20"/>
          <w:szCs w:val="20"/>
        </w:rPr>
        <w:t>[9], [10]</w:t>
      </w:r>
      <w:r w:rsidR="003A43E9">
        <w:rPr>
          <w:rFonts w:ascii="Arial" w:hAnsi="Arial" w:cs="Arial"/>
          <w:sz w:val="20"/>
          <w:szCs w:val="20"/>
        </w:rPr>
        <w:fldChar w:fldCharType="end"/>
      </w:r>
      <w:r w:rsidR="00F2208E" w:rsidRPr="003C4CBA">
        <w:rPr>
          <w:rFonts w:ascii="Arial" w:eastAsia="Times New Roman" w:hAnsi="Arial" w:cs="Arial"/>
          <w:sz w:val="20"/>
          <w:szCs w:val="20"/>
        </w:rPr>
        <w:t xml:space="preserve">. </w:t>
      </w:r>
      <w:r w:rsidR="003A43E9" w:rsidRPr="003A43E9">
        <w:rPr>
          <w:rFonts w:ascii="Arial" w:eastAsia="Times New Roman" w:hAnsi="Arial" w:cs="Arial"/>
          <w:sz w:val="20"/>
          <w:szCs w:val="20"/>
        </w:rPr>
        <w:t>The presence of fine particles (fines) adds further complexity. At low contents, non-plastic fines can accelerate pore-pressure generation and reduce liquefaction resistance</w:t>
      </w:r>
      <w:r w:rsidR="003A43E9">
        <w:rPr>
          <w:rFonts w:ascii="Arial" w:eastAsia="Times New Roman" w:hAnsi="Arial" w:cs="Arial"/>
          <w:sz w:val="20"/>
          <w:szCs w:val="20"/>
        </w:rPr>
        <w:t xml:space="preserve"> </w:t>
      </w:r>
      <w:r w:rsidR="001F5578" w:rsidRPr="00FC208F">
        <w:rPr>
          <w:rFonts w:ascii="Arial" w:hAnsi="Arial" w:cs="Arial"/>
          <w:color w:val="000000" w:themeColor="text1"/>
          <w:sz w:val="20"/>
          <w:szCs w:val="20"/>
        </w:rPr>
        <w:fldChar w:fldCharType="begin" w:fldLock="1"/>
      </w:r>
      <w:r w:rsidR="001242FC">
        <w:rPr>
          <w:rFonts w:ascii="Arial" w:hAnsi="Arial" w:cs="Arial"/>
          <w:color w:val="000000" w:themeColor="text1"/>
          <w:sz w:val="20"/>
          <w:szCs w:val="20"/>
        </w:rPr>
        <w:instrText>ADDIN CSL_CITATION {"citationItems":[{"id":"ITEM-1","itemData":{"DOI":"10.21660/2023.109.3481","ISSN":"21862982","abstract":"Liquefaction takes place in a large strain with constant stress and at a constant volume, known as steady-state conditions. Liquefaction also occurs in sandy soils with fine grain content, which affects the relative density and uniformity coefficient. Palu City is an area severely affected by the liquefaction phenomenon after the 2018 Central Sulawesi earthquake. Thus, a series of studies are needed to determine liquefaction susceptibility at steady-state conditions with the influence of variations of fine-grained content. This research was conducted by analyzing the grain size distribution and the influence of fine grain content that affected the relative density and uniformity coefficient at steady-state conditions to obtain the value of cyclic liquefaction resistance. The tests were carried out in a laboratory in the form of grain size distribution analysis, proctor standard, and triaxial consolidated undrained using sand with a fines content of 2%, 5%, 9%, 13%, and 17%. The study revealed that the sand of Palu City, based on grain gradation,, is in the most liquefiable soil range. Moreover, with the addition of the fines content, the higher the Cu value, the larger the range and the more diverse the grains. These results strengthen the undrained strength of the sand under axial load at steady-state conditions. In conclusion, the gradation will affect the void ratio and the critical-state line.","author":[{"dropping-particle":"","family":"Artati","given":"Hanindya","non-dropping-particle":"","parse-names":false,"suffix":""},{"dropping-particle":"","family":"Pawirodikromo","given":"Widodo","non-dropping-particle":"","parse-names":false,"suffix":""},{"dropping-particle":"","family":"Rahardjo","given":"Paulus","non-dropping-particle":"","parse-names":false,"suffix":""},{"dropping-particle":"","family":"Makrup","given":"Lalu","non-dropping-particle":"","parse-names":false,"suffix":""}],"container-title":"International Journal of GEOMATE","id":"ITEM-1","issue":"109","issued":{"date-parts":[["2023"]]},"page":"18-28","title":"Effect of Fines Content on Liquefaction Resistance During Steady-State Conditions","type":"article-journal","volume":"25"},"uris":["http://www.mendeley.com/documents/?uuid=a55cd932-83b0-4719-97db-145dad38db76"]}],"mendeley":{"formattedCitation":"[11]","plainTextFormattedCitation":"[11]","previouslyFormattedCitation":"[11]"},"properties":{"noteIndex":0},"schema":"https://github.com/citation-style-language/schema/raw/master/csl-citation.json"}</w:instrText>
      </w:r>
      <w:r w:rsidR="001F5578" w:rsidRPr="00FC208F">
        <w:rPr>
          <w:rFonts w:ascii="Arial" w:hAnsi="Arial" w:cs="Arial"/>
          <w:color w:val="000000" w:themeColor="text1"/>
          <w:sz w:val="20"/>
          <w:szCs w:val="20"/>
        </w:rPr>
        <w:fldChar w:fldCharType="separate"/>
      </w:r>
      <w:r w:rsidR="00E63233" w:rsidRPr="00E63233">
        <w:rPr>
          <w:rFonts w:ascii="Arial" w:hAnsi="Arial" w:cs="Arial"/>
          <w:noProof/>
          <w:color w:val="000000" w:themeColor="text1"/>
          <w:sz w:val="20"/>
          <w:szCs w:val="20"/>
        </w:rPr>
        <w:t>[11]</w:t>
      </w:r>
      <w:r w:rsidR="001F5578" w:rsidRPr="00FC208F">
        <w:rPr>
          <w:rFonts w:ascii="Arial" w:hAnsi="Arial" w:cs="Arial"/>
          <w:color w:val="000000" w:themeColor="text1"/>
          <w:sz w:val="20"/>
          <w:szCs w:val="20"/>
        </w:rPr>
        <w:fldChar w:fldCharType="end"/>
      </w:r>
      <w:r w:rsidR="001F5578">
        <w:rPr>
          <w:rFonts w:ascii="Arial" w:hAnsi="Arial" w:cs="Arial"/>
          <w:color w:val="000000" w:themeColor="text1"/>
          <w:sz w:val="20"/>
          <w:szCs w:val="20"/>
        </w:rPr>
        <w:t xml:space="preserve"> </w:t>
      </w:r>
      <w:r w:rsidR="001F5578">
        <w:rPr>
          <w:rFonts w:ascii="Arial" w:hAnsi="Arial" w:cs="Arial"/>
          <w:color w:val="000000" w:themeColor="text1"/>
          <w:sz w:val="20"/>
          <w:szCs w:val="20"/>
        </w:rPr>
        <w:fldChar w:fldCharType="begin" w:fldLock="1"/>
      </w:r>
      <w:r w:rsidR="001242FC">
        <w:rPr>
          <w:rFonts w:ascii="Arial" w:hAnsi="Arial" w:cs="Arial"/>
          <w:color w:val="000000" w:themeColor="text1"/>
          <w:sz w:val="20"/>
          <w:szCs w:val="20"/>
        </w:rPr>
        <w:instrText>ADDIN CSL_CITATION {"citationItems":[{"id":"ITEM-1","itemData":{"DOI":"10.1007/s11440-021-01262-1","ISBN":"1144002101262","ISSN":"18611133","abstract":"During recent seismic events, such as 2010 Darfield and 2016 Ecuador earthquakes, widespread liquefaction has been observed in sand deposits with silt content. Nevertheless, the presence of non-plastic fines implies variable liquefaction resistance of sands. The goal of this research is the assessment of the influence of non-plastic fines and mixture-packing conditions on liquefaction triggering. A series of monotonic and cyclic consolidated undrained triaxial as well as resonant column tests is carried out on reconstituted soil specimens. The behavior of loose, medium and dense silty sands is analyzed, using different fine contents and confining pressures. The results show that the behavior of mixtures strongly depends on the packing configuration of coarse and fine particles. The experimental results are analyzed in terms of equivalent intergranular void ratio, which is identified in the literature as an adequate state parameter to characterize the global effect of fine particles. The estimation of the equivalent intergranular void ratio requires the determination of the active fine fraction b participating in the force transfer. An original formula is proposed for the parameter b based on packing configuration. The validation of the proposed formula is undertaken through comparisons with the present experimental results but also with results reported in the literature. The proposed expression to estimate the active fine fraction b allows a satisfactory prediction of liquefaction triggering in sand-fines mixtures independently from the fine content.","author":[{"dropping-particle":"","family":"Gobbi","given":"Stefania","non-dropping-particle":"","parse-names":false,"suffix":""},{"dropping-particle":"","family":"Reiffsteck","given":"Philippe","non-dropping-particle":"","parse-names":false,"suffix":""},{"dropping-particle":"","family":"Lenti","given":"Luca","non-dropping-particle":"","parse-names":false,"suffix":""},{"dropping-particle":"","family":"d’Avila","given":"Maria Paola Santisi","non-dropping-particle":"","parse-names":false,"suffix":""},{"dropping-particle":"","family":"Semblat","given":"Jean François","non-dropping-particle":"","parse-names":false,"suffix":""}],"container-title":"Acta Geotechnica","id":"ITEM-1","issue":"2","issued":{"date-parts":[["2022"]]},"page":"391-410","publisher":"Springer Berlin Heidelberg","title":"Liquefaction triggering in silty sands: effects of non-plastic fines and mixture-packing conditions","type":"article-journal","volume":"17"},"uris":["http://www.mendeley.com/documents/?uuid=7d209443-d29e-43c1-97b4-f7c43ddf66df"]}],"mendeley":{"formattedCitation":"[12]","plainTextFormattedCitation":"[12]","previouslyFormattedCitation":"[12]"},"properties":{"noteIndex":0},"schema":"https://github.com/citation-style-language/schema/raw/master/csl-citation.json"}</w:instrText>
      </w:r>
      <w:r w:rsidR="001F5578">
        <w:rPr>
          <w:rFonts w:ascii="Arial" w:hAnsi="Arial" w:cs="Arial"/>
          <w:color w:val="000000" w:themeColor="text1"/>
          <w:sz w:val="20"/>
          <w:szCs w:val="20"/>
        </w:rPr>
        <w:fldChar w:fldCharType="separate"/>
      </w:r>
      <w:r w:rsidR="00E63233" w:rsidRPr="00E63233">
        <w:rPr>
          <w:rFonts w:ascii="Arial" w:hAnsi="Arial" w:cs="Arial"/>
          <w:noProof/>
          <w:color w:val="000000" w:themeColor="text1"/>
          <w:sz w:val="20"/>
          <w:szCs w:val="20"/>
        </w:rPr>
        <w:t>[12]</w:t>
      </w:r>
      <w:r w:rsidR="001F5578">
        <w:rPr>
          <w:rFonts w:ascii="Arial" w:hAnsi="Arial" w:cs="Arial"/>
          <w:color w:val="000000" w:themeColor="text1"/>
          <w:sz w:val="20"/>
          <w:szCs w:val="20"/>
        </w:rPr>
        <w:fldChar w:fldCharType="end"/>
      </w:r>
      <w:r w:rsidR="001F5578">
        <w:rPr>
          <w:rFonts w:ascii="Arial" w:hAnsi="Arial" w:cs="Arial"/>
          <w:color w:val="000000" w:themeColor="text1"/>
          <w:sz w:val="20"/>
          <w:szCs w:val="20"/>
        </w:rPr>
        <w:t xml:space="preserve">, </w:t>
      </w:r>
      <w:r w:rsidR="001F5578" w:rsidRPr="001F5578">
        <w:rPr>
          <w:rFonts w:ascii="Arial" w:hAnsi="Arial" w:cs="Arial"/>
          <w:color w:val="000000" w:themeColor="text1"/>
          <w:sz w:val="20"/>
          <w:szCs w:val="20"/>
        </w:rPr>
        <w:t>whereas at higher levels they may increase mixture density and improve resistance</w:t>
      </w:r>
      <w:r w:rsidR="001F5578">
        <w:rPr>
          <w:rFonts w:ascii="Arial" w:hAnsi="Arial" w:cs="Arial"/>
          <w:color w:val="000000" w:themeColor="text1"/>
          <w:sz w:val="20"/>
          <w:szCs w:val="20"/>
        </w:rPr>
        <w:t xml:space="preserve"> </w:t>
      </w:r>
      <w:r w:rsidR="001242FC">
        <w:rPr>
          <w:rFonts w:ascii="Arial" w:hAnsi="Arial" w:cs="Arial"/>
          <w:color w:val="000000" w:themeColor="text1"/>
          <w:sz w:val="20"/>
          <w:szCs w:val="20"/>
        </w:rPr>
        <w:fldChar w:fldCharType="begin" w:fldLock="1"/>
      </w:r>
      <w:r w:rsidR="001242FC">
        <w:rPr>
          <w:rFonts w:ascii="Arial" w:hAnsi="Arial" w:cs="Arial"/>
          <w:color w:val="000000" w:themeColor="text1"/>
          <w:sz w:val="20"/>
          <w:szCs w:val="20"/>
        </w:rPr>
        <w:instrText>ADDIN CSL_CITATION {"citationItems":[{"id":"ITEM-1","itemData":{"DOI":"10.21660/2023.109.3481","ISSN":"21862982","abstract":"Liquefaction takes place in a large strain with constant stress and at a constant volume, known as steady-state conditions. Liquefaction also occurs in sandy soils with fine grain content, which affects the relative density and uniformity coefficient. Palu City is an area severely affected by the liquefaction phenomenon after the 2018 Central Sulawesi earthquake. Thus, a series of studies are needed to determine liquefaction susceptibility at steady-state conditions with the influence of variations of fine-grained content. This research was conducted by analyzing the grain size distribution and the influence of fine grain content that affected the relative density and uniformity coefficient at steady-state conditions to obtain the value of cyclic liquefaction resistance. The tests were carried out in a laboratory in the form of grain size distribution analysis, proctor standard, and triaxial consolidated undrained using sand with a fines content of 2%, 5%, 9%, 13%, and 17%. The study revealed that the sand of Palu City, based on grain gradation,, is in the most liquefiable soil range. Moreover, with the addition of the fines content, the higher the Cu value, the larger the range and the more diverse the grains. These results strengthen the undrained strength of the sand under axial load at steady-state conditions. In conclusion, the gradation will affect the void ratio and the critical-state line.","author":[{"dropping-particle":"","family":"Artati","given":"Hanindya","non-dropping-particle":"","parse-names":false,"suffix":""},{"dropping-particle":"","family":"Pawirodikromo","given":"Widodo","non-dropping-particle":"","parse-names":false,"suffix":""},{"dropping-particle":"","family":"Rahardjo","given":"Paulus","non-dropping-particle":"","parse-names":false,"suffix":""},{"dropping-particle":"","family":"Makrup","given":"Lalu","non-dropping-particle":"","parse-names":false,"suffix":""}],"container-title":"International Journal of GEOMATE","id":"ITEM-1","issue":"109","issued":{"date-parts":[["2023"]]},"page":"18-28","title":"Effect of Fines Content on Liquefaction Resistance During Steady-State Conditions","type":"article-journal","volume":"25"},"uris":["http://www.mendeley.com/documents/?uuid=a55cd932-83b0-4719-97db-145dad38db76"]},{"id":"ITEM-2","itemData":{"DOI":"10.1007/s11440-022-01633-2","ISBN":"0123456789","ISSN":"18611133","abstract":"The paper presents an experimental study on the effect of plastic fines content on the undrained behavior and liquefaction susceptibility of sand-fines mixtures under cyclic loading. The results of undrained cyclic triaxial tests conducted on mixtures of Hostun sand with varying amounts (0–20%) and types (kaolin and calcigel bentonite) of plastic fines are presented. The specimens were prepared with different initial densities using the moist tamping method, consolidated at the same isotropic effective stress of 100 kPa and subjected to different deviatoric stress amplitudes. From the experimental observations, it was found that sand-clay mixtures with 10% or 20% clay content showed a lower cyclic liquefaction resistance than pure sand. Furthermore, the reduction in the cyclic stress ratio resulting in liquefaction after twenty cycles was found larger for sand-kaolin mixtures than for the sand-calcigel ones. Possible explanations are provided.","author":[{"dropping-particle":"","family":"Goudarzy","given":"Meisam","non-dropping-particle":"","parse-names":false,"suffix":""},{"dropping-particle":"","family":"Sarkar","given":"Debdeep","non-dropping-particle":"","parse-names":false,"suffix":""},{"dropping-particle":"","family":"Wichtmann","given":"Torsten","non-dropping-particle":"","parse-names":false,"suffix":""}],"container-title":"Acta Geotechnica","id":"ITEM-2","issue":"11","issued":{"date-parts":[["2022"]]},"page":"4977-4988","publisher":"Springer Berlin Heidelberg","title":"Influence of plastic fines content on the liquefaction susceptibility of sands: cyclic loading","type":"article-journal","volume":"17"},"uris":["http://www.mendeley.com/documents/?uuid=b07bcd17-1a9a-47e8-8381-4ed0bebcfab1"]},{"id":"ITEM-3","itemData":{"DOI":"10.3390/eng5040126","ISSN":"26734117","abstract":"When loose, saturated sands and non-plastic silts are subjected to undrained cyclic loading, they will generate positive pore pressures. This increase in pore pressures leads to a decrease in effective stress with a corresponding decrease in shear strength and increase in liquefaction susceptibility. For combinations of sand and non-plastic silt, the threshold fines content can be defined as the non-plastic silt fines content at which the soil changes from sand-like behavior to silt-like behavior. Soils below the threshold fines content behave like sands and soils above the threshold fines content behave like silts. During cyclic triaxial and cyclic direct simple shear tests performed on specimens of sand and silt prepared to the same relative density but different fines contents, two rates of pore pressure generation were observed. When compared at five cycles of loading, soils with silt contents above the threshold fines content were found to produce pore pressure ratios as much as 50% higher than those observed for soils with silt contents below the threshold fines content. When evaluated in terms of cycles, cycle ratio, and dissipated energy ratio, the rate of pore pressure generation was found to be more rapid for soils above the threshold fines content than for soils below the threshold fines content.","author":[{"dropping-particle":"","family":"Polito","given":"Carmine P.","non-dropping-particle":"","parse-names":false,"suffix":""},{"dropping-particle":"","family":"Martin","given":"James R.","non-dropping-particle":"","parse-names":false,"suffix":""},{"dropping-particle":"","family":"Sibley","given":"Erin L.D.","non-dropping-particle":"","parse-names":false,"suffix":""}],"container-title":"Eng","id":"ITEM-3","issue":"4","issued":{"date-parts":[["2024"]]},"page":"2410-2427","title":"The Effect of Non-Plastic Fines Content on Pore Pressure Generation Rates in Cyclic Triaxial and Cyclic Direct Simple Shear Tests","type":"article-journal","volume":"5"},"uris":["http://www.mendeley.com/documents/?uuid=a47edfcc-4913-4e59-8447-57f65a59ff8a"]}],"mendeley":{"formattedCitation":"[11], [13], [14]","plainTextFormattedCitation":"[11], [13], [14]","previouslyFormattedCitation":"[11], [13], [14]"},"properties":{"noteIndex":0},"schema":"https://github.com/citation-style-language/schema/raw/master/csl-citation.json"}</w:instrText>
      </w:r>
      <w:r w:rsidR="001242FC">
        <w:rPr>
          <w:rFonts w:ascii="Arial" w:hAnsi="Arial" w:cs="Arial"/>
          <w:color w:val="000000" w:themeColor="text1"/>
          <w:sz w:val="20"/>
          <w:szCs w:val="20"/>
        </w:rPr>
        <w:fldChar w:fldCharType="separate"/>
      </w:r>
      <w:r w:rsidR="001242FC" w:rsidRPr="001242FC">
        <w:rPr>
          <w:rFonts w:ascii="Arial" w:hAnsi="Arial" w:cs="Arial"/>
          <w:noProof/>
          <w:color w:val="000000" w:themeColor="text1"/>
          <w:sz w:val="20"/>
          <w:szCs w:val="20"/>
        </w:rPr>
        <w:t>[11], [13], [14]</w:t>
      </w:r>
      <w:r w:rsidR="001242FC">
        <w:rPr>
          <w:rFonts w:ascii="Arial" w:hAnsi="Arial" w:cs="Arial"/>
          <w:color w:val="000000" w:themeColor="text1"/>
          <w:sz w:val="20"/>
          <w:szCs w:val="20"/>
        </w:rPr>
        <w:fldChar w:fldCharType="end"/>
      </w:r>
      <w:r w:rsidR="001F5578">
        <w:rPr>
          <w:rFonts w:ascii="Arial" w:hAnsi="Arial" w:cs="Arial"/>
          <w:color w:val="000000" w:themeColor="text1"/>
          <w:sz w:val="20"/>
          <w:szCs w:val="20"/>
        </w:rPr>
        <w:t xml:space="preserve">. </w:t>
      </w:r>
      <w:r w:rsidR="001F5578" w:rsidRPr="001F5578">
        <w:rPr>
          <w:rFonts w:ascii="Arial" w:hAnsi="Arial" w:cs="Arial"/>
          <w:color w:val="000000" w:themeColor="text1"/>
          <w:sz w:val="20"/>
          <w:szCs w:val="20"/>
        </w:rPr>
        <w:t>Plastic fines tend to reduce resistance more significantly</w:t>
      </w:r>
      <w:r w:rsidR="001F5578">
        <w:rPr>
          <w:rFonts w:ascii="Arial" w:hAnsi="Arial" w:cs="Arial"/>
          <w:color w:val="000000" w:themeColor="text1"/>
          <w:sz w:val="20"/>
          <w:szCs w:val="20"/>
        </w:rPr>
        <w:t xml:space="preserve"> </w:t>
      </w:r>
      <w:r w:rsidR="001F5578">
        <w:rPr>
          <w:rFonts w:ascii="Arial" w:hAnsi="Arial" w:cs="Arial"/>
          <w:color w:val="000000" w:themeColor="text1"/>
          <w:sz w:val="20"/>
          <w:szCs w:val="20"/>
        </w:rPr>
        <w:fldChar w:fldCharType="begin" w:fldLock="1"/>
      </w:r>
      <w:r w:rsidR="005052C4">
        <w:rPr>
          <w:rFonts w:ascii="Arial" w:hAnsi="Arial" w:cs="Arial"/>
          <w:color w:val="000000" w:themeColor="text1"/>
          <w:sz w:val="20"/>
          <w:szCs w:val="20"/>
        </w:rPr>
        <w:instrText xml:space="preserve">ADDIN CSL_CITATION {"citationItems":[{"id":"ITEM-1","itemData":{"DOI":"10.3390/geosciences14060166","ISSN":"20763263","abstract":"During an earthquake, excess pore water pressure generation in saturated silty sands causes a reduction in shear strength and even liquefaction of the soil. A comprehensive experimental program consisting of undrained cyclic simple-shear tests was undertaken to explore the key factors affecting the energy-based excess pore water pressure generation models for non-plastic silty sands. The examined influencing factors were non-plastic fines content (less than and greater than the threshold value </w:instrText>
      </w:r>
      <w:r w:rsidR="005052C4">
        <w:rPr>
          <w:rFonts w:ascii="Cambria Math" w:hAnsi="Cambria Math" w:cs="Cambria Math"/>
          <w:color w:val="000000" w:themeColor="text1"/>
          <w:sz w:val="20"/>
          <w:szCs w:val="20"/>
        </w:rPr>
        <w:instrText>≅</w:instrText>
      </w:r>
      <w:r w:rsidR="005052C4">
        <w:rPr>
          <w:rFonts w:ascii="Arial" w:hAnsi="Arial" w:cs="Arial"/>
          <w:color w:val="000000" w:themeColor="text1"/>
          <w:sz w:val="20"/>
          <w:szCs w:val="20"/>
        </w:rPr>
        <w:instrText xml:space="preserve"> 25%), packing density, vertical effective stress, applied cyclic stress ratio, and soil fabric. The relationship between excess pore water pressure ratio and dissipated energy per unit volume was found to be mainly dependent on the relative density and fines content of soil, whereas the cyclic stress ratio, initial vertical effective stress, and soil fabric (i.e. the reconstitution method) appeared to have a minor impact. A revision of the original energy-based model developed for clean sand by Berrill and Davis was proposed to improve prediction accuracy in terms of residual excess pore water pressures versus normalised cumulative dissipated energy. Nonlinear multivariable regression analyses were performed to develop correlations for the calibration parameters of the revised model. Lastly, these correlations were validated through additional cyclic simple-shear tests performed on different silty sands recovered at a site where liquefaction occurred after the 2012 Emilia Romagna (Italy) earthquake.","author":[{"dropping-particle":"","family":"Tomasello","given":"Giuseppe","non-dropping-particle":"","parse-names":false,"suffix":""},{"dropping-particle":"","family":"Porcino","given":"Daniela Dominica","non-dropping-particle":"","parse-names":false,"suffix":""}],"container-title":"Geosciences (Switzerland)","id":"ITEM-1","issue":"6","issued":{"date-parts":[["2024"]]},"title":"Energy-Based Pore Pressure Generation Models in Silty Sands under Earthquake Loading","type":"article-journal","volume":"14"},"uris":["http://www.mendeley.com/documents/?uuid=96b83197-f9a3-4108-b8cc-9d3cdc66d1f9"]},{"id":"ITEM-2","itemData":{"DOI":"10.1061/JGGEFK.GTENG-11910","ISSN":"1090-0241","author":[{"dropping-particle":"","family":"Wei","given":"Xiao","non-dropping-particle":"","parse-names":false,"suffix":""},{"dropping-particle":"","family":"Yang","given":"Jun","non-dropping-particle":"","parse-names":false,"suffix":""},{"dropping-particle":"","family":"Yang","given":"Zhong-Xuan","non-dropping-particle":"","parse-names":false,"suffix":""}],"container-title":"Journal of Geotechnical and Geoenvironmental Engineering","id":"ITEM-2","issue":"10","issued":{"date-parts":[["2024","10"]]},"title":"Characterizing the Liquefaction Potential and Pore Pressure Generation of Silty Sands through the Energy-Based Approach in the Framework of Critical State Soil Mechanics","type":"article-journal","volume":"150"},"uris":["http://www.mendeley.com/documents/?uuid=0b8608ed-d4bb-4e02-b495-f6dcb7cdb853"]}],"mendeley":{"formattedCitation":"[15], [16]","plainTextFormattedCitation":"[15], [16]","previouslyFormattedCitation":"[15]–[17]"},"properties":{"noteIndex":0},"schema":"https://github.com/citation-style-language/schema/raw/master/csl-citation.json"}</w:instrText>
      </w:r>
      <w:r w:rsidR="001F5578">
        <w:rPr>
          <w:rFonts w:ascii="Arial" w:hAnsi="Arial" w:cs="Arial"/>
          <w:color w:val="000000" w:themeColor="text1"/>
          <w:sz w:val="20"/>
          <w:szCs w:val="20"/>
        </w:rPr>
        <w:fldChar w:fldCharType="separate"/>
      </w:r>
      <w:r w:rsidR="005052C4" w:rsidRPr="005052C4">
        <w:rPr>
          <w:rFonts w:ascii="Arial" w:hAnsi="Arial" w:cs="Arial"/>
          <w:noProof/>
          <w:color w:val="000000" w:themeColor="text1"/>
          <w:sz w:val="20"/>
          <w:szCs w:val="20"/>
        </w:rPr>
        <w:t>[15], [16]</w:t>
      </w:r>
      <w:r w:rsidR="001F5578">
        <w:rPr>
          <w:rFonts w:ascii="Arial" w:hAnsi="Arial" w:cs="Arial"/>
          <w:color w:val="000000" w:themeColor="text1"/>
          <w:sz w:val="20"/>
          <w:szCs w:val="20"/>
        </w:rPr>
        <w:fldChar w:fldCharType="end"/>
      </w:r>
      <w:r w:rsidR="001F5578">
        <w:rPr>
          <w:rFonts w:ascii="Arial" w:hAnsi="Arial" w:cs="Arial"/>
          <w:color w:val="000000" w:themeColor="text1"/>
          <w:sz w:val="20"/>
          <w:szCs w:val="20"/>
        </w:rPr>
        <w:t xml:space="preserve">. Other factors, </w:t>
      </w:r>
      <w:r w:rsidR="001F5578" w:rsidRPr="001F5578">
        <w:rPr>
          <w:rFonts w:ascii="Arial" w:hAnsi="Arial" w:cs="Arial"/>
          <w:color w:val="000000" w:themeColor="text1"/>
          <w:sz w:val="20"/>
          <w:szCs w:val="20"/>
        </w:rPr>
        <w:t>such as confining stress, particle</w:t>
      </w:r>
      <w:r w:rsidR="001F5578">
        <w:rPr>
          <w:rFonts w:ascii="Arial" w:hAnsi="Arial" w:cs="Arial"/>
          <w:color w:val="000000" w:themeColor="text1"/>
          <w:sz w:val="20"/>
          <w:szCs w:val="20"/>
        </w:rPr>
        <w:t xml:space="preserve"> morphology, and soil fabric, </w:t>
      </w:r>
      <w:r w:rsidR="001F5578" w:rsidRPr="001F5578">
        <w:rPr>
          <w:rFonts w:ascii="Arial" w:hAnsi="Arial" w:cs="Arial"/>
          <w:color w:val="000000" w:themeColor="text1"/>
          <w:sz w:val="20"/>
          <w:szCs w:val="20"/>
        </w:rPr>
        <w:t xml:space="preserve">also influence the undrained response of silty </w:t>
      </w:r>
      <w:r w:rsidR="001F5578" w:rsidRPr="0019118E">
        <w:rPr>
          <w:rFonts w:ascii="Arial" w:hAnsi="Arial" w:cs="Arial"/>
          <w:color w:val="000000" w:themeColor="text1"/>
          <w:sz w:val="20"/>
          <w:szCs w:val="20"/>
        </w:rPr>
        <w:t xml:space="preserve">sand </w:t>
      </w:r>
      <w:r w:rsidR="001F5578" w:rsidRPr="0019118E">
        <w:rPr>
          <w:rFonts w:ascii="Arial" w:hAnsi="Arial" w:cs="Arial"/>
          <w:color w:val="000000" w:themeColor="text1"/>
          <w:sz w:val="20"/>
          <w:szCs w:val="20"/>
        </w:rPr>
        <w:fldChar w:fldCharType="begin" w:fldLock="1"/>
      </w:r>
      <w:r w:rsidR="005052C4">
        <w:rPr>
          <w:rFonts w:ascii="Arial" w:hAnsi="Arial" w:cs="Arial"/>
          <w:color w:val="000000" w:themeColor="text1"/>
          <w:sz w:val="20"/>
          <w:szCs w:val="20"/>
        </w:rPr>
        <w:instrText>ADDIN CSL_CITATION {"citationItems":[{"id":"ITEM-1","itemData":{"DOI":"10.3390/app142210325","ISSN":"20763417","abstract":"One of the prerequisites for the safe exploitation of surface mines is the stability of the working and final slopes of the mine. In order to ensure this, it is necessary to carry out detailed field and laboratory geomechanical tests of the soil and, based on the obtained results, make calculations related to stability analyses. The results obtained in this way are used for dimensioning the slope of exploitation slopes (excavation). Landslides occur when the ultimate shear strength is reached, and therefore, the adequate definition of shear strength parameters is one of the essential prerequisites for successfully solving the stability problem. Unlike earlier tests in Serbia, when the residual shear strength parameters were determined based on the usual conventional methods (direct shear apparatus, triaxial apparatus), this time, in addition to the direct shear apparatus, a ring shear apparatus was also chosen for testing. The paper shows the method of determining the residual shear strength parameters of high plasticity gray clays and siltstones of roof sediments from open pit mine Drmno, using direct and ring shear apparatus. The results show that the residual angle of internal friction for gray clays obtained with the ring shear apparatus is 9.9–10.8°, and for the siltstone, it is 11.8–12.9°, both of which are lower than the values obtained with the direct shear apparatus. In addition, correlations between the residual parameters of soil shear resistance and some physical indicators (plasticity index, clay content) are provided, showing high correlation coefficients. The proposed correlations should be used only when time and financial constraints prevent the execution of actual tests to determine residual shear strength, as concrete experimental procedures provide a much more reliable assessment of the residual strength properties of the soil.","author":[{"dropping-particle":"","family":"Ćorluka","given":"Stevan","non-dropping-particle":"","parse-names":false,"suffix":""},{"dropping-particle":"","family":"Rakić","given":"Dragoslav","non-dropping-particle":"","parse-names":false,"suffix":""},{"dropping-particle":"","family":"Živanović","given":"Nikola","non-dropping-particle":"","parse-names":false,"suffix":""},{"dropping-particle":"","family":"Djoković","given":"Ksenija","non-dropping-particle":"","parse-names":false,"suffix":""},{"dropping-particle":"","family":"Đurić","given":"Tina","non-dropping-particle":"","parse-names":false,"suffix":""}],"container-title":"Applied Sciences (Switzerland)","id":"ITEM-1","issue":"22","issued":{"date-parts":[["2024"]]},"title":"A Correlation Relating the Residual Strength Parameters to the Proportions of Clay Fractions and Plasticity Characteristics of Overburden Sediments from the Open-Pit Mine Drmno","type":"article-journal","volume":"14"},"uris":["http://www.mendeley.com/documents/?uuid=0341dd7e-337c-4dc6-984c-11034bc17d4d"]}],"mendeley":{"formattedCitation":"[17]","plainTextFormattedCitation":"[17]","previouslyFormattedCitation":"[18]"},"properties":{"noteIndex":0},"schema":"https://github.com/citation-style-language/schema/raw/master/csl-citation.json"}</w:instrText>
      </w:r>
      <w:r w:rsidR="001F5578" w:rsidRPr="0019118E">
        <w:rPr>
          <w:rFonts w:ascii="Arial" w:hAnsi="Arial" w:cs="Arial"/>
          <w:color w:val="000000" w:themeColor="text1"/>
          <w:sz w:val="20"/>
          <w:szCs w:val="20"/>
        </w:rPr>
        <w:fldChar w:fldCharType="separate"/>
      </w:r>
      <w:r w:rsidR="005052C4" w:rsidRPr="005052C4">
        <w:rPr>
          <w:rFonts w:ascii="Arial" w:hAnsi="Arial" w:cs="Arial"/>
          <w:noProof/>
          <w:color w:val="000000" w:themeColor="text1"/>
          <w:sz w:val="20"/>
          <w:szCs w:val="20"/>
        </w:rPr>
        <w:t>[17]</w:t>
      </w:r>
      <w:r w:rsidR="001F5578" w:rsidRPr="0019118E">
        <w:rPr>
          <w:rFonts w:ascii="Arial" w:hAnsi="Arial" w:cs="Arial"/>
          <w:color w:val="000000" w:themeColor="text1"/>
          <w:sz w:val="20"/>
          <w:szCs w:val="20"/>
        </w:rPr>
        <w:fldChar w:fldCharType="end"/>
      </w:r>
      <w:r w:rsidR="003E5034" w:rsidRPr="0019118E">
        <w:rPr>
          <w:rFonts w:ascii="Arial" w:hAnsi="Arial" w:cs="Arial"/>
          <w:color w:val="000000" w:themeColor="text1"/>
          <w:sz w:val="20"/>
          <w:szCs w:val="20"/>
        </w:rPr>
        <w:fldChar w:fldCharType="begin" w:fldLock="1"/>
      </w:r>
      <w:r w:rsidR="005052C4">
        <w:rPr>
          <w:rFonts w:ascii="Arial" w:hAnsi="Arial" w:cs="Arial"/>
          <w:color w:val="000000" w:themeColor="text1"/>
          <w:sz w:val="20"/>
          <w:szCs w:val="20"/>
        </w:rPr>
        <w:instrText>ADDIN CSL_CITATION {"citationItems":[{"id":"ITEM-1","itemData":{"DOI":"10.1016/j.soildyn.2025.109400","ISSN":"02677261","author":[{"dropping-particle":"","family":"Li","given":"Zheng","non-dropping-particle":"","parse-names":false,"suffix":""},{"dropping-particle":"","family":"Escoffier","given":"Sandra","non-dropping-particle":"","parse-names":false,"suffix":""},{"dropping-particle":"","family":"Audrain","given":"Philippe","non-dropping-particle":"","parse-names":false,"suffix":""}],"container-title":"Soil Dynamics and Earthquake Engineering","id":"ITEM-1","issued":{"date-parts":[["2025","8"]]},"page":"109400","title":"Study on the effects of a low amount of non-plastic fines on soil liquefaction by dynamic centrifuge modeling","type":"article-journal","volume":"195"},"uris":["http://www.mendeley.com/documents/?uuid=44076d8f-b9e4-4705-910b-162d60e061b8"]}],"mendeley":{"formattedCitation":"[18]","plainTextFormattedCitation":"[18]","previouslyFormattedCitation":"[19]"},"properties":{"noteIndex":0},"schema":"https://github.com/citation-style-language/schema/raw/master/csl-citation.json"}</w:instrText>
      </w:r>
      <w:r w:rsidR="003E5034" w:rsidRPr="0019118E">
        <w:rPr>
          <w:rFonts w:ascii="Arial" w:hAnsi="Arial" w:cs="Arial"/>
          <w:color w:val="000000" w:themeColor="text1"/>
          <w:sz w:val="20"/>
          <w:szCs w:val="20"/>
        </w:rPr>
        <w:fldChar w:fldCharType="separate"/>
      </w:r>
      <w:r w:rsidR="005052C4" w:rsidRPr="005052C4">
        <w:rPr>
          <w:rFonts w:ascii="Arial" w:hAnsi="Arial" w:cs="Arial"/>
          <w:noProof/>
          <w:color w:val="000000" w:themeColor="text1"/>
          <w:sz w:val="20"/>
          <w:szCs w:val="20"/>
        </w:rPr>
        <w:t>[18]</w:t>
      </w:r>
      <w:r w:rsidR="003E5034" w:rsidRPr="0019118E">
        <w:rPr>
          <w:rFonts w:ascii="Arial" w:hAnsi="Arial" w:cs="Arial"/>
          <w:color w:val="000000" w:themeColor="text1"/>
          <w:sz w:val="20"/>
          <w:szCs w:val="20"/>
        </w:rPr>
        <w:fldChar w:fldCharType="end"/>
      </w:r>
    </w:p>
    <w:p w14:paraId="6C79BE9B" w14:textId="77777777" w:rsidR="001F5578" w:rsidRDefault="001F5578" w:rsidP="00A30BE7">
      <w:pPr>
        <w:spacing w:before="120" w:after="120" w:line="240" w:lineRule="auto"/>
        <w:ind w:left="0" w:hanging="2"/>
        <w:jc w:val="both"/>
        <w:rPr>
          <w:rFonts w:ascii="Arial" w:hAnsi="Arial" w:cs="Arial"/>
          <w:color w:val="000000" w:themeColor="text1"/>
          <w:sz w:val="20"/>
          <w:szCs w:val="20"/>
        </w:rPr>
      </w:pPr>
      <w:r w:rsidRPr="001F5578">
        <w:rPr>
          <w:rFonts w:ascii="Arial" w:hAnsi="Arial" w:cs="Arial"/>
          <w:color w:val="000000" w:themeColor="text1"/>
          <w:sz w:val="20"/>
          <w:szCs w:val="20"/>
        </w:rPr>
        <w:t>Globally, most liquefaction research has focused on cyclic loading, which is relevant to the triggering process during earthquakes</w:t>
      </w:r>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fldLock="1"/>
      </w:r>
      <w:r w:rsidR="005052C4">
        <w:rPr>
          <w:rFonts w:ascii="Arial" w:hAnsi="Arial" w:cs="Arial"/>
          <w:color w:val="000000" w:themeColor="text1"/>
          <w:sz w:val="20"/>
          <w:szCs w:val="20"/>
        </w:rPr>
        <w:instrText>ADDIN CSL_CITATION {"citationItems":[{"id":"ITEM-1","itemData":{"DOI":"10.1016/j.enggeo.2025.108041","ISSN":"00137952","author":[{"dropping-particle":"","family":"Chen","given":"Guoxing","non-dropping-particle":"","parse-names":false,"suffix":""},{"dropping-particle":"","family":"Xiao","given":"Xing","non-dropping-particle":"","parse-names":false,"suffix":""},{"dropping-particle":"","family":"Wu","given":"Qi","non-dropping-particle":"","parse-names":false,"suffix":""},{"dropping-particle":"","family":"Qin","given":"You","non-dropping-particle":"","parse-names":false,"suffix":""},{"dropping-particle":"","family":"Gao","given":"Hongmei","non-dropping-particle":"","parse-names":false,"suffix":""},{"dropping-particle":"","family":"Xu","given":"Chengshun","non-dropping-particle":"","parse-names":false,"suffix":""},{"dropping-particle":"","family":"Stuedlein","given":"Armin W.","non-dropping-particle":"","parse-names":false,"suffix":""}],"container-title":"Engineering Geology","id":"ITEM-1","issued":{"date-parts":[["2025","5"]]},"page":"108041","title":"New paradigm for sand liquefaction under cyclic loadings","type":"article-journal","volume":"351"},"uris":["http://www.mendeley.com/documents/?uuid=df8fe0bb-8d65-458e-a6e6-ea00d4dd48ab"]},{"id":"ITEM-2","itemData":{"DOI":"10.1061/(ASCE)GM.1943-5622.0001969","ISSN":"1532-3641","abstract":"Liquefied soils are considered as soils devoid of any strength or having only limited strength. Post-liquefaction shear behavior of soil before the drainage of excess pore pressure is important in predicting the immediate performance of foundation and soil structures subjected to liquefying loads. In the present study, the post-cyclic undrained behavior of weathered silty sand was examined under triaxial test conditions. The soil showed complete strength recovery after subjecting it to monotonic shearing up to large strains. The post-liquefaction shear behavior was mostly determined by the amount of excess pore pressures that developed during cyclic loading. The cyclic load amplitude and shear strain did not seem to have an effect on the post-cyclic shear behavior. Post-cyclic shearing showed that with sufficient strain the soil recovered its original strength even without dissipation of any excess pore pressure. © 2021 American Society of Civil Engineers.","author":[{"dropping-particle":"","family":"Abdul-Khader","given":"Mohammed-Aslam","non-dropping-particle":"","parse-names":false,"suffix":""},{"dropping-particle":"","family":"Jeong","given":"Sangseom","non-dropping-particle":"","parse-names":false,"suffix":""}],"container-title":"International Journal of Geomechanics","id":"ITEM-2","issue":"4","issued":{"date-parts":[["2021","4"]]},"title":"Behavior of Weathered Soil under Combined Undrained Cyclic-Monotonic Loading","type":"article-journal","volume":"21"},"uris":["http://www.mendeley.com/documents/?uuid=679628d4-d459-4fac-ade0-0cfc27607c2a"]}],"mendeley":{"formattedCitation":"[19], [20]","plainTextFormattedCitation":"[19], [20]","previouslyFormattedCitation":"[20], [21]"},"properties":{"noteIndex":0},"schema":"https://github.com/citation-style-language/schema/raw/master/csl-citation.json"}</w:instrText>
      </w:r>
      <w:r>
        <w:rPr>
          <w:rFonts w:ascii="Arial" w:hAnsi="Arial" w:cs="Arial"/>
          <w:color w:val="000000" w:themeColor="text1"/>
          <w:sz w:val="20"/>
          <w:szCs w:val="20"/>
        </w:rPr>
        <w:fldChar w:fldCharType="separate"/>
      </w:r>
      <w:r w:rsidR="005052C4" w:rsidRPr="005052C4">
        <w:rPr>
          <w:rFonts w:ascii="Arial" w:hAnsi="Arial" w:cs="Arial"/>
          <w:noProof/>
          <w:color w:val="000000" w:themeColor="text1"/>
          <w:sz w:val="20"/>
          <w:szCs w:val="20"/>
        </w:rPr>
        <w:t>[19], [20]</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w:t>
      </w:r>
      <w:r w:rsidRPr="001F5578">
        <w:rPr>
          <w:rFonts w:ascii="Arial" w:hAnsi="Arial" w:cs="Arial"/>
          <w:color w:val="000000" w:themeColor="text1"/>
          <w:sz w:val="20"/>
          <w:szCs w:val="20"/>
        </w:rPr>
        <w:t>However, the post-lique</w:t>
      </w:r>
      <w:r>
        <w:rPr>
          <w:rFonts w:ascii="Arial" w:hAnsi="Arial" w:cs="Arial"/>
          <w:color w:val="000000" w:themeColor="text1"/>
          <w:sz w:val="20"/>
          <w:szCs w:val="20"/>
        </w:rPr>
        <w:t xml:space="preserve">faction residual shear strength </w:t>
      </w:r>
      <w:r w:rsidRPr="001F5578">
        <w:rPr>
          <w:rFonts w:ascii="Arial" w:hAnsi="Arial" w:cs="Arial"/>
          <w:color w:val="000000" w:themeColor="text1"/>
          <w:sz w:val="20"/>
          <w:szCs w:val="20"/>
        </w:rPr>
        <w:t>which governs whether deformation will cease or evolve</w:t>
      </w:r>
      <w:r>
        <w:rPr>
          <w:rFonts w:ascii="Arial" w:hAnsi="Arial" w:cs="Arial"/>
          <w:color w:val="000000" w:themeColor="text1"/>
          <w:sz w:val="20"/>
          <w:szCs w:val="20"/>
        </w:rPr>
        <w:t xml:space="preserve"> into catastrophic flow failure </w:t>
      </w:r>
      <w:r w:rsidRPr="001F5578">
        <w:rPr>
          <w:rFonts w:ascii="Arial" w:hAnsi="Arial" w:cs="Arial"/>
          <w:color w:val="000000" w:themeColor="text1"/>
          <w:sz w:val="20"/>
          <w:szCs w:val="20"/>
        </w:rPr>
        <w:t>is more appropriately evaluated using monotonic undrained loading, as applied in the present study</w:t>
      </w:r>
      <w:r>
        <w:rPr>
          <w:rFonts w:ascii="Arial" w:hAnsi="Arial" w:cs="Arial"/>
          <w:color w:val="000000" w:themeColor="text1"/>
          <w:sz w:val="20"/>
          <w:szCs w:val="20"/>
        </w:rPr>
        <w:t xml:space="preserve"> </w:t>
      </w:r>
      <w:r>
        <w:rPr>
          <w:rFonts w:ascii="Arial" w:hAnsi="Arial" w:cs="Arial"/>
          <w:color w:val="000000" w:themeColor="text1"/>
          <w:sz w:val="20"/>
          <w:szCs w:val="20"/>
        </w:rPr>
        <w:fldChar w:fldCharType="begin" w:fldLock="1"/>
      </w:r>
      <w:r w:rsidR="005052C4">
        <w:rPr>
          <w:rFonts w:ascii="Arial" w:hAnsi="Arial" w:cs="Arial"/>
          <w:color w:val="000000" w:themeColor="text1"/>
          <w:sz w:val="20"/>
          <w:szCs w:val="20"/>
        </w:rPr>
        <w:instrText>ADDIN CSL_CITATION {"citationItems":[{"id":"ITEM-1","itemData":{"DOI":"10.1520/GTJ20210217","ISSN":"0149-6115","abstract":"Post-liquefaction response and residual strength play important roles in stability assessment of liquefied ground. Considering the recent advancements in the application of induced partial saturation for liquefaction mitigation, the state of knowledge in estimating the residual strength should be extended for liquefied desaturated soils. In this paper, the residual strength response of a clean sand at different saturation levels was investigated using a ring shear device. Direct air injection was used to desaturate the soil, which helped with mitigating the liquefaction under cyclic loading. However, by raising the shear strain level, both saturated and partially saturated soils were liquefied, followed by residual strength measurement. Results indicate that the residual strength increased with a reduction of the saturation level because of the change in compressibility and consequent volume reduction. In addition, the strain-rate dependency of the residual strength was confirmed because an increase of shear strain rate resulted in an increase in residual strength under both saturated and partially saturated conditions.","author":[{"dropping-particle":"","family":"Gates","given":"Ian D.","non-dropping-particle":"","parse-names":false,"suffix":""},{"dropping-particle":"","family":"Ghayoomi","given":"Majid","non-dropping-particle":"","parse-names":false,"suffix":""}],"container-title":"Geotechnical Testing Journal","id":"ITEM-1","issue":"4","issued":{"date-parts":[["2022","7","1"]]},"page":"855-876","title":"Residual Strength of Liquefied Soil: The Effect of Induced Partial Saturation","type":"article-journal","volume":"45"},"uris":["http://www.mendeley.com/documents/?uuid=0d8b0a3a-d32f-4411-a186-fe6dbe8b4c6b"]},{"id":"ITEM-2","itemData":{"DOI":"https://doi.org/10.1051/e3sconf/202454414014","author":[{"dropping-particle":"","family":"Papadopoulou","given":"Anthi.","non-dropping-particle":"","parse-names":false,"suffix":""},{"dropping-particle":"","family":"Tika","given":"Theodora.","non-dropping-particle":"","parse-names":false,"suffix":""}],"container-title":"E3S Web of Conferences","id":"ITEM-2","issued":{"date-parts":[["2024"]]},"page":"544, 14014.","title":"Monotonic and cyclic behaviour of sand-silt mixtures through the equivalent state parameter","type":"paper-conference"},"uris":["http://www.mendeley.com/documents/?uuid=790ff2c1-ad03-4a5b-89b4-22b1f0724dcd"]}],"mendeley":{"formattedCitation":"[21], [22]","manualFormatting":"[22][23]","plainTextFormattedCitation":"[21], [22]","previouslyFormattedCitation":"[22], [23]"},"properties":{"noteIndex":0},"schema":"https://github.com/citation-style-language/schema/raw/master/csl-citation.json"}</w:instrText>
      </w:r>
      <w:r>
        <w:rPr>
          <w:rFonts w:ascii="Arial" w:hAnsi="Arial" w:cs="Arial"/>
          <w:color w:val="000000" w:themeColor="text1"/>
          <w:sz w:val="20"/>
          <w:szCs w:val="20"/>
        </w:rPr>
        <w:fldChar w:fldCharType="separate"/>
      </w:r>
      <w:r w:rsidR="00AC5305">
        <w:rPr>
          <w:rFonts w:ascii="Arial" w:hAnsi="Arial" w:cs="Arial"/>
          <w:noProof/>
          <w:color w:val="000000" w:themeColor="text1"/>
          <w:sz w:val="20"/>
          <w:szCs w:val="20"/>
        </w:rPr>
        <w:t>[22]</w:t>
      </w:r>
      <w:r w:rsidR="00E63233" w:rsidRPr="00E63233">
        <w:rPr>
          <w:rFonts w:ascii="Arial" w:hAnsi="Arial" w:cs="Arial"/>
          <w:noProof/>
          <w:color w:val="000000" w:themeColor="text1"/>
          <w:sz w:val="20"/>
          <w:szCs w:val="20"/>
        </w:rPr>
        <w:t>[23]</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w:t>
      </w:r>
      <w:r w:rsidRPr="001F5578">
        <w:rPr>
          <w:rFonts w:ascii="Arial" w:hAnsi="Arial" w:cs="Arial"/>
          <w:color w:val="000000" w:themeColor="text1"/>
          <w:sz w:val="20"/>
          <w:szCs w:val="20"/>
        </w:rPr>
        <w:t>Incorporating both cyclic and monotonic perspectives is essential for understanding the mechanisms underlying the Palu event.</w:t>
      </w:r>
    </w:p>
    <w:p w14:paraId="159240F7" w14:textId="77777777" w:rsidR="001F5578" w:rsidRDefault="001F5578" w:rsidP="00A30BE7">
      <w:pPr>
        <w:spacing w:before="120" w:after="120" w:line="240" w:lineRule="auto"/>
        <w:ind w:left="0" w:hanging="2"/>
        <w:jc w:val="both"/>
        <w:rPr>
          <w:rFonts w:ascii="Arial" w:eastAsia="Times New Roman" w:hAnsi="Arial" w:cs="Arial"/>
          <w:sz w:val="20"/>
          <w:szCs w:val="20"/>
        </w:rPr>
      </w:pPr>
      <w:r w:rsidRPr="001F5578">
        <w:rPr>
          <w:rFonts w:ascii="Arial" w:eastAsia="Times New Roman" w:hAnsi="Arial" w:cs="Arial"/>
          <w:sz w:val="20"/>
          <w:szCs w:val="20"/>
        </w:rPr>
        <w:t>The Critical State Soil Mechanics (CSSM) framework provides an appropriate basis for analyzing liquefiable soils, particularly when effective stress approaches zero. The Critical State Line (CSL) defines the boundary shear strength at large strain, and numerous studies have confirmed the relevance of CSSM for evaluating the influence of fines and post-liquefaction behavior</w:t>
      </w:r>
      <w:r w:rsidR="008E0673">
        <w:rPr>
          <w:rFonts w:ascii="Arial" w:eastAsia="Times New Roman" w:hAnsi="Arial" w:cs="Arial"/>
          <w:sz w:val="20"/>
          <w:szCs w:val="20"/>
        </w:rPr>
        <w:t xml:space="preserve"> </w:t>
      </w:r>
      <w:r w:rsidR="008E0673">
        <w:rPr>
          <w:rFonts w:ascii="Arial" w:eastAsia="Times New Roman" w:hAnsi="Arial" w:cs="Arial"/>
          <w:sz w:val="20"/>
          <w:szCs w:val="20"/>
        </w:rPr>
        <w:fldChar w:fldCharType="begin" w:fldLock="1"/>
      </w:r>
      <w:r w:rsidR="005052C4">
        <w:rPr>
          <w:rFonts w:ascii="Arial" w:eastAsia="Times New Roman" w:hAnsi="Arial" w:cs="Arial"/>
          <w:sz w:val="20"/>
          <w:szCs w:val="20"/>
        </w:rPr>
        <w:instrText>ADDIN CSL_CITATION {"citationItems":[{"id":"ITEM-1","itemData":{"DOI":"10.3390/geotechnics1010006","ISSN":"26737094","abstract":"The critical state theory is a robust conceptual framework for the characterisation of soil behaviour. In the laboratory, triaxial tests are used to assess the critical state locus. In the last decades, the equipment and testing procedures for soil characterisation, within the critical state framework, have advanced to obtain accurate and reliable results. This review paper summarises and describes a series of recommended laboratory procedures to assess the critical state locus in cohesionless soils. For this purpose, results obtained in the laboratory from different cohesionless soils and triaxial equipment configurations are compiled, analysed and discussed in detail. The procedures presented in this paper reinforce the use of triaxial cells with lubricated end platens and an embedded connection piston into the top-cap, together with the verification of the full saturation condition and the measurement end-of-test water content—preferable using the soil freezing technique. The experimental evidence and comparison between equipment configurations provide relevant insights about the laboratory procedures for obtaining a reliable characterisation of the critical state locus of cohesionless geomaterials. All the procedures recommended herein can be easily implemented in academic and commercial geotechnical laboratories.","author":[{"dropping-particle":"","family":"Fonseca","given":"António Viana","non-dropping-particle":"da","parse-names":false,"suffix":""},{"dropping-particle":"","family":"Cordeiro","given":"Diana","non-dropping-particle":"","parse-names":false,"suffix":""},{"dropping-particle":"","family":"Molina-Gómez","given":"Fausto","non-dropping-particle":"","parse-names":false,"suffix":""}],"container-title":"Geotechnics","id":"ITEM-1","issue":"1","issued":{"date-parts":[["2021"]]},"page":"95-127","title":"Recommended Procedures to Assess Critical State Locus from Triaxial Tests in Cohesionless Remoulded Samples","type":"article-journal","volume":"1"},"uris":["http://www.mendeley.com/documents/?uuid=a0a7bfb8-8c33-462c-9fbc-01dd1ad6854a"]},{"id":"ITEM-2","itemData":{"DOI":"10.1016/j.marpetgeo.2020.104342","ISSN":"02648172","abstract":"Reasonable prediction of marine ground stability is vital for the safe exploitation of methane gas from the seabed and development of relevant technologies for gas production. Constitutive models based on a critical state soil mechanics framework for methane hydrate-bearing sediments have been proposed in recent decades. They required careful calibration of laboratory results to obtain accurate information on model parameters. This study presents a comprehensive analysis of triaxial shear test data to examine the effects of hydrate saturation on the geomechanical characteristics of methane hydrate-bearing sediments, particularly at the critical state. Multiple critical state lines are identified for methane hydrate-bearing sediments with different levels of hydrate saturation on the specific volume and logarithm of mean stress plane. A rise in hydrate saturation shifts the critical state line of methane hydrate-bearing sediments upward and slightly increases the gradient of critical state line in the v−lnp′ plane. Non-unique critical state lines are observed for methane hydrate-bearing sediments under plane-strain loading conditions. Considering methane hydrate saturation as an extra dimension of critical states, the critical state line in the plane of specific volume and logarithm of mean stress, becomes a three-dimensional critical state surface.","author":[{"dropping-particle":"","family":"Wu","given":"Yang","non-dropping-particle":"","parse-names":false,"suffix":""},{"dropping-particle":"","family":"Hyodo","given":"Masayuki","non-dropping-particle":"","parse-names":false,"suffix":""},{"dropping-particle":"","family":"Cui","given":"Jie","non-dropping-particle":"","parse-names":false,"suffix":""}],"container-title":"Marine and Petroleum Geology","id":"ITEM-2","issue":"March","issued":{"date-parts":[["2020"]]},"page":"104342","publisher":"Elsevier","title":"On the critical state characteristics of methane hydrate-bearing sediments","type":"article-journal","volume":"116"},"uris":["http://www.mendeley.com/documents/?uuid=f43fb27f-b753-453d-ae78-68b39d654dd2"]}],"mendeley":{"formattedCitation":"[23], [24]","manualFormatting":"[24][25]","plainTextFormattedCitation":"[23], [24]","previouslyFormattedCitation":"[24], [25]"},"properties":{"noteIndex":0},"schema":"https://github.com/citation-style-language/schema/raw/master/csl-citation.json"}</w:instrText>
      </w:r>
      <w:r w:rsidR="008E0673">
        <w:rPr>
          <w:rFonts w:ascii="Arial" w:eastAsia="Times New Roman" w:hAnsi="Arial" w:cs="Arial"/>
          <w:sz w:val="20"/>
          <w:szCs w:val="20"/>
        </w:rPr>
        <w:fldChar w:fldCharType="separate"/>
      </w:r>
      <w:r w:rsidR="007043E5">
        <w:rPr>
          <w:rFonts w:ascii="Arial" w:eastAsia="Times New Roman" w:hAnsi="Arial" w:cs="Arial"/>
          <w:noProof/>
          <w:sz w:val="20"/>
          <w:szCs w:val="20"/>
        </w:rPr>
        <w:t>[24]</w:t>
      </w:r>
      <w:r w:rsidR="007043E5" w:rsidRPr="007043E5">
        <w:rPr>
          <w:rFonts w:ascii="Arial" w:eastAsia="Times New Roman" w:hAnsi="Arial" w:cs="Arial"/>
          <w:noProof/>
          <w:sz w:val="20"/>
          <w:szCs w:val="20"/>
        </w:rPr>
        <w:t>[25]</w:t>
      </w:r>
      <w:r w:rsidR="008E0673">
        <w:rPr>
          <w:rFonts w:ascii="Arial" w:eastAsia="Times New Roman" w:hAnsi="Arial" w:cs="Arial"/>
          <w:sz w:val="20"/>
          <w:szCs w:val="20"/>
        </w:rPr>
        <w:fldChar w:fldCharType="end"/>
      </w:r>
      <w:r w:rsidR="007043E5">
        <w:rPr>
          <w:rFonts w:ascii="Arial" w:eastAsia="Times New Roman" w:hAnsi="Arial" w:cs="Arial"/>
          <w:sz w:val="20"/>
          <w:szCs w:val="20"/>
        </w:rPr>
        <w:t xml:space="preserve"> </w:t>
      </w:r>
      <w:r w:rsidR="000A58B4">
        <w:rPr>
          <w:rFonts w:ascii="Arial" w:eastAsia="Times New Roman" w:hAnsi="Arial" w:cs="Arial"/>
          <w:sz w:val="20"/>
          <w:szCs w:val="20"/>
        </w:rPr>
        <w:t xml:space="preserve">. </w:t>
      </w:r>
      <w:r w:rsidR="000A58B4" w:rsidRPr="000A58B4">
        <w:rPr>
          <w:rFonts w:ascii="Arial" w:eastAsia="Times New Roman" w:hAnsi="Arial" w:cs="Arial"/>
          <w:sz w:val="20"/>
          <w:szCs w:val="20"/>
        </w:rPr>
        <w:t>Experimental research on Palu soils has shown that fines content affects steady-state resistance (Artati et al., 2023), yet the stress–strain evolution and residual strength of Petobo silty sand up to the critical state have never been measured.</w:t>
      </w:r>
    </w:p>
    <w:p w14:paraId="26D2F290" w14:textId="77777777" w:rsidR="000A58B4" w:rsidRDefault="000A58B4" w:rsidP="00A30BE7">
      <w:pPr>
        <w:spacing w:before="120" w:after="120" w:line="240" w:lineRule="auto"/>
        <w:ind w:left="0" w:hanging="2"/>
        <w:jc w:val="both"/>
        <w:rPr>
          <w:rFonts w:ascii="Arial" w:eastAsia="Times New Roman" w:hAnsi="Arial" w:cs="Arial"/>
          <w:sz w:val="20"/>
          <w:szCs w:val="20"/>
        </w:rPr>
      </w:pPr>
      <w:r w:rsidRPr="000A58B4">
        <w:rPr>
          <w:rFonts w:ascii="Arial" w:eastAsia="Times New Roman" w:hAnsi="Arial" w:cs="Arial"/>
          <w:sz w:val="20"/>
          <w:szCs w:val="20"/>
        </w:rPr>
        <w:t xml:space="preserve">Residual shear strength is a key parameter determining whether a liquefied deposit will regain </w:t>
      </w:r>
      <w:r w:rsidRPr="000A58B4">
        <w:rPr>
          <w:rFonts w:ascii="Arial" w:eastAsia="Times New Roman" w:hAnsi="Arial" w:cs="Arial"/>
          <w:sz w:val="20"/>
          <w:szCs w:val="20"/>
        </w:rPr>
        <w:t>stability or transform into a catastrophic flow failure. It depends on fines content, relative density, and stress conditions, and several studies have reported low residual strength in silty sands at large strains</w:t>
      </w:r>
      <w:r>
        <w:rPr>
          <w:rFonts w:ascii="Arial" w:eastAsia="Times New Roman" w:hAnsi="Arial" w:cs="Arial"/>
          <w:sz w:val="20"/>
          <w:szCs w:val="20"/>
        </w:rPr>
        <w:t xml:space="preserve"> </w:t>
      </w:r>
      <w:r>
        <w:rPr>
          <w:rFonts w:ascii="Arial" w:eastAsia="Times New Roman" w:hAnsi="Arial" w:cs="Arial"/>
          <w:sz w:val="20"/>
          <w:szCs w:val="20"/>
        </w:rPr>
        <w:fldChar w:fldCharType="begin" w:fldLock="1"/>
      </w:r>
      <w:r w:rsidR="005052C4">
        <w:rPr>
          <w:rFonts w:ascii="Arial" w:eastAsia="Times New Roman" w:hAnsi="Arial" w:cs="Arial"/>
          <w:sz w:val="20"/>
          <w:szCs w:val="20"/>
        </w:rPr>
        <w:instrText>ADDIN CSL_CITATION {"citationItems":[{"id":"ITEM-1","itemData":{"DOI":"10.1007/s11440-021-01262-1","ISBN":"1144002101262","ISSN":"18611133","abstract":"During recent seismic events, such as 2010 Darfield and 2016 Ecuador earthquakes, widespread liquefaction has been observed in sand deposits with silt content. Nevertheless, the presence of non-plastic fines implies variable liquefaction resistance of sands. The goal of this research is the assessment of the influence of non-plastic fines and mixture-packing conditions on liquefaction triggering. A series of monotonic and cyclic consolidated undrained triaxial as well as resonant column tests is carried out on reconstituted soil specimens. The behavior of loose, medium and dense silty sands is analyzed, using different fine contents and confining pressures. The results show that the behavior of mixtures strongly depends on the packing configuration of coarse and fine particles. The experimental results are analyzed in terms of equivalent intergranular void ratio, which is identified in the literature as an adequate state parameter to characterize the global effect of fine particles. The estimation of the equivalent intergranular void ratio requires the determination of the active fine fraction b participating in the force transfer. An original formula is proposed for the parameter b based on packing configuration. The validation of the proposed formula is undertaken through comparisons with the present experimental results but also with results reported in the literature. The proposed expression to estimate the active fine fraction b allows a satisfactory prediction of liquefaction triggering in sand-fines mixtures independently from the fine content.","author":[{"dropping-particle":"","family":"Gobbi","given":"Stefania","non-dropping-particle":"","parse-names":false,"suffix":""},{"dropping-particle":"","family":"Reiffsteck","given":"Philippe","non-dropping-particle":"","parse-names":false,"suffix":""},{"dropping-particle":"","family":"Lenti","given":"Luca","non-dropping-particle":"","parse-names":false,"suffix":""},{"dropping-particle":"","family":"d’Avila","given":"Maria Paola Santisi","non-dropping-particle":"","parse-names":false,"suffix":""},{"dropping-particle":"","family":"Semblat","given":"Jean François","non-dropping-particle":"","parse-names":false,"suffix":""}],"container-title":"Acta Geotechnica","id":"ITEM-1","issue":"2","issued":{"date-parts":[["2022"]]},"page":"391-410","publisher":"Springer Berlin Heidelberg","title":"Liquefaction triggering in silty sands: effects of non-plastic fines and mixture-packing conditions","type":"article-journal","volume":"17"},"uris":["http://www.mendeley.com/documents/?uuid=7d209443-d29e-43c1-97b4-f7c43ddf66df"]},{"id":"ITEM-2","itemData":{"DOI":"10.1007/s10035-021-01178-3","ISBN":"0123456789","ISSN":"14347636","abstract":"Abstract: Gobi sand is a commonly used soil material in China that can be classified as silty sand with a fines content of 30.1%. A series of laboratory tests were conducted on Gobi sand and many unique physical behaviors were found, such as a low permeability coefficient, sticky behavior after moisturization, and being located in the CL (low liquid limit clay) classification group. In addition, the critical state lines (CSL) of the Gobi silty sand in the e-lnp space decrease in parallel with decreasing initial void ratio e0, and the critical state stress ratio Mcs is not a constant but decreases with increasing confining pressure σ3 and initial void ratio e0. This is quite different from the unique CSL and Mcs observed from quartz clean sand and silty sand. Therefore, unified CSL and Mcs equations for the Gobi sand were proposed to express the unique critical state behavior affected by various pressure conditions and initial void ratios. It is believed that the composite mineral composition (containing 5 minerals) of Gobi silty sand plays a significant role in the reaction of these unique physical behaviors as well as the critical state behaviors. Graphical Abstract: [Figure not available: see fulltext.].","author":[{"dropping-particle":"","family":"Wanli","given":"Guo","non-dropping-particle":"","parse-names":false,"suffix":""},{"dropping-particle":"","family":"Zhengyin","given":"Cai","non-dropping-particle":"","parse-names":false,"suffix":""}],"container-title":"Granular Matter","id":"ITEM-2","issue":"1","issued":{"date-parts":[["2022"]]},"page":"1-8","publisher":"Springer Berlin Heidelberg","title":"Study on the critical state of a unique silty sand","type":"article-journal","volume":"24"},"uris":["http://www.mendeley.com/documents/?uuid=40854165-891b-4c45-8c35-e7f18d53849d"]},{"id":"ITEM-3","itemData":{"DOI":"10.1016/j.soildyn.2024.109114","ISSN":"02677261","author":[{"dropping-particle":"","family":"Fan","given":"Zexu","non-dropping-particle":"","parse-names":false,"suffix":""},{"dropping-particle":"","family":"Cudmani","given":"Roberto","non-dropping-particle":"","parse-names":false,"suffix":""},{"dropping-particle":"","family":"Chrisopoulos","given":"Stylianos","non-dropping-particle":"","parse-names":false,"suffix":""},{"dropping-particle":"","family":"Xiong","given":"Xinhang","non-dropping-particle":"","parse-names":false,"suffix":""},{"dropping-particle":"","family":"Sun","given":"Mingqing","non-dropping-particle":"","parse-names":false,"suffix":""},{"dropping-particle":"","family":"Yuan","given":"Yong","non-dropping-particle":"","parse-names":false,"suffix":""}],"container-title":"Soil Dynamics and Earthquake Engineering","id":"ITEM-3","issued":{"date-parts":[["2025","3"]]},"page":"109114","title":"Experimental study on the reliquefaction behavior of saturated sand deposits under distinct loading frequencies","type":"article-journal","volume":"190"},"uris":["http://www.mendeley.com/documents/?uuid=0f9ae4a9-2a28-4dae-ac69-944825bb0711"]}],"mendeley":{"formattedCitation":"[12], [25], [26]","plainTextFormattedCitation":"[12], [25], [26]","previouslyFormattedCitation":"[12], [26], [27]"},"properties":{"noteIndex":0},"schema":"https://github.com/citation-style-language/schema/raw/master/csl-citation.json"}</w:instrText>
      </w:r>
      <w:r>
        <w:rPr>
          <w:rFonts w:ascii="Arial" w:eastAsia="Times New Roman" w:hAnsi="Arial" w:cs="Arial"/>
          <w:sz w:val="20"/>
          <w:szCs w:val="20"/>
        </w:rPr>
        <w:fldChar w:fldCharType="separate"/>
      </w:r>
      <w:r w:rsidR="005052C4" w:rsidRPr="005052C4">
        <w:rPr>
          <w:rFonts w:ascii="Arial" w:eastAsia="Times New Roman" w:hAnsi="Arial" w:cs="Arial"/>
          <w:noProof/>
          <w:sz w:val="20"/>
          <w:szCs w:val="20"/>
        </w:rPr>
        <w:t>[12], [25], [26]</w:t>
      </w:r>
      <w:r>
        <w:rPr>
          <w:rFonts w:ascii="Arial" w:eastAsia="Times New Roman" w:hAnsi="Arial" w:cs="Arial"/>
          <w:sz w:val="20"/>
          <w:szCs w:val="20"/>
        </w:rPr>
        <w:fldChar w:fldCharType="end"/>
      </w:r>
      <w:r>
        <w:rPr>
          <w:rFonts w:ascii="Arial" w:eastAsia="Times New Roman" w:hAnsi="Arial" w:cs="Arial"/>
          <w:sz w:val="20"/>
          <w:szCs w:val="20"/>
        </w:rPr>
        <w:t xml:space="preserve">. </w:t>
      </w:r>
      <w:r w:rsidRPr="000A58B4">
        <w:rPr>
          <w:rFonts w:ascii="Arial" w:eastAsia="Times New Roman" w:hAnsi="Arial" w:cs="Arial"/>
          <w:sz w:val="20"/>
          <w:szCs w:val="20"/>
        </w:rPr>
        <w:t>Although field investigations of the 2018 Palu flowslide have provided valuable insights into stratigraphy and groundwater pathways</w:t>
      </w:r>
      <w:r>
        <w:rPr>
          <w:rFonts w:ascii="Arial" w:eastAsia="Times New Roman" w:hAnsi="Arial" w:cs="Arial"/>
          <w:sz w:val="20"/>
          <w:szCs w:val="20"/>
        </w:rPr>
        <w:t xml:space="preserve"> </w:t>
      </w:r>
      <w:r>
        <w:rPr>
          <w:rFonts w:ascii="Arial" w:eastAsia="Times New Roman" w:hAnsi="Arial" w:cs="Arial"/>
          <w:sz w:val="20"/>
          <w:szCs w:val="20"/>
        </w:rPr>
        <w:fldChar w:fldCharType="begin" w:fldLock="1"/>
      </w:r>
      <w:r w:rsidR="005052C4">
        <w:rPr>
          <w:rFonts w:ascii="Arial" w:eastAsia="Times New Roman" w:hAnsi="Arial" w:cs="Arial"/>
          <w:sz w:val="20"/>
          <w:szCs w:val="20"/>
        </w:rPr>
        <w:instrText>ADDIN CSL_CITATION {"citationItems":[{"id":"ITEM-1","itemData":{"DOI":"10.1016/j.geomorph.2020.107482","ISSN":"0169-555X","author":[{"dropping-particle":"","family":"Mason","given":"H Benjamin","non-dropping-particle":"","parse-names":false,"suffix":""},{"dropping-particle":"","family":"Montgomery","given":"Jack","non-dropping-particle":"","parse-names":false,"suffix":""},{"dropping-particle":"","family":"Gallant","given":"Aaron P","non-dropping-particle":"","parse-names":false,"suffix":""},{"dropping-particle":"","family":"Reed","given":"A Nicole","non-dropping-particle":"","parse-names":false,"suffix":""},{"dropping-particle":"","family":"Wartman","given":"Joseph","non-dropping-particle":"","parse-names":false,"suffix":""},{"dropping-particle":"","family":"Irsyam","given":"Masyhur","non-dropping-particle":"","parse-names":false,"suffix":""},{"dropping-particle":"","family":"Simatupang","given":"Pintor T","non-dropping-particle":"","parse-names":false,"suffix":""},{"dropping-particle":"","family":"Alatas","given":"Idrus M","non-dropping-particle":"","parse-names":false,"suffix":""},{"dropping-particle":"","family":"Prakoso","given":"Widjojo A","non-dropping-particle":"","parse-names":false,"suffix":""}],"container-title":"Geomorphology","id":"ITEM-1","issued":{"date-parts":[["2020"]]},"publisher":"Elsevier B.V","title":"East Palu Valley Flowslides Induced by the 2018 MW 7.5 Palu-Donggala Earthquake.","type":"article-journal","volume":"East Palu"},"uris":["http://www.mendeley.com/documents/?uuid=a9a01e57-9001-43cb-a271-6b648ad66ac6"]},{"id":"ITEM-2","itemData":{"DOI":"10.1016/j.dib.2021.106742","ISSN":"2352-3409","author":[{"dropping-particle":"","family":"Montgomery","given":"Jack","non-dropping-particle":"","parse-names":false,"suffix":""},{"dropping-particle":"","family":"Wartman","given":"Joseph","non-dropping-particle":"","parse-names":false,"suffix":""},{"dropping-particle":"","family":"Reed","given":"A Nicole","non-dropping-particle":"","parse-names":false,"suffix":""},{"dropping-particle":"","family":"Gallant","given":"Aaron P","non-dropping-particle":"","parse-names":false,"suffix":""},{"dropping-particle":"","family":"Hutabarat","given":"Daniel","non-dropping-particle":"","parse-names":false,"suffix":""},{"dropping-particle":"","family":"Mason","given":"H Benjamin","non-dropping-particle":"","parse-names":false,"suffix":""}],"container-title":"Data in Brief","id":"ITEM-2","issued":{"date-parts":[["2021"]]},"page":"106742","publisher":"Elsevier Inc.","title":"Field reconnaissance data from GEER investigation of the 2018 M W 7 . 5 Palu-Donggala earthquake","type":"article-journal","volume":"34"},"uris":["http://www.mendeley.com/documents/?uuid=532a7cbd-f460-4c76-8e9c-884e12f1b8a2"]}],"mendeley":{"formattedCitation":"[27], [28]","plainTextFormattedCitation":"[27], [28]","previouslyFormattedCitation":"[28], [29]"},"properties":{"noteIndex":0},"schema":"https://github.com/citation-style-language/schema/raw/master/csl-citation.json"}</w:instrText>
      </w:r>
      <w:r>
        <w:rPr>
          <w:rFonts w:ascii="Arial" w:eastAsia="Times New Roman" w:hAnsi="Arial" w:cs="Arial"/>
          <w:sz w:val="20"/>
          <w:szCs w:val="20"/>
        </w:rPr>
        <w:fldChar w:fldCharType="separate"/>
      </w:r>
      <w:r w:rsidR="005052C4" w:rsidRPr="005052C4">
        <w:rPr>
          <w:rFonts w:ascii="Arial" w:eastAsia="Times New Roman" w:hAnsi="Arial" w:cs="Arial"/>
          <w:noProof/>
          <w:sz w:val="20"/>
          <w:szCs w:val="20"/>
        </w:rPr>
        <w:t>[27], [28]</w:t>
      </w:r>
      <w:r>
        <w:rPr>
          <w:rFonts w:ascii="Arial" w:eastAsia="Times New Roman" w:hAnsi="Arial" w:cs="Arial"/>
          <w:sz w:val="20"/>
          <w:szCs w:val="20"/>
        </w:rPr>
        <w:fldChar w:fldCharType="end"/>
      </w:r>
      <w:r>
        <w:rPr>
          <w:rFonts w:ascii="Arial" w:eastAsia="Times New Roman" w:hAnsi="Arial" w:cs="Arial"/>
          <w:sz w:val="20"/>
          <w:szCs w:val="20"/>
        </w:rPr>
        <w:t xml:space="preserve"> </w:t>
      </w:r>
      <w:r w:rsidRPr="000A58B4">
        <w:rPr>
          <w:rFonts w:ascii="Arial" w:eastAsia="Times New Roman" w:hAnsi="Arial" w:cs="Arial"/>
          <w:sz w:val="20"/>
          <w:szCs w:val="20"/>
        </w:rPr>
        <w:t>no laboratory measurements of the residual shear strength of Petobo soil are currently available. Previous reconstructions relied on assumed residual strength values rather than direct measurements, creating a critical research gap for accurate hazard assessment.</w:t>
      </w:r>
    </w:p>
    <w:p w14:paraId="05B045F3" w14:textId="77777777" w:rsidR="003E5034" w:rsidRDefault="003E5034" w:rsidP="003E5034">
      <w:pPr>
        <w:spacing w:before="120" w:after="120" w:line="240" w:lineRule="auto"/>
        <w:ind w:left="0" w:hanging="2"/>
        <w:jc w:val="both"/>
        <w:rPr>
          <w:rFonts w:ascii="Arial" w:hAnsi="Arial" w:cs="Arial"/>
          <w:noProof/>
          <w:sz w:val="20"/>
          <w:szCs w:val="20"/>
        </w:rPr>
      </w:pPr>
      <w:r w:rsidRPr="003E5034">
        <w:rPr>
          <w:rFonts w:ascii="Arial" w:hAnsi="Arial" w:cs="Arial"/>
          <w:noProof/>
          <w:sz w:val="20"/>
          <w:szCs w:val="20"/>
        </w:rPr>
        <w:t>Accordingly, the primary research question of this study is:</w:t>
      </w:r>
      <w:r>
        <w:rPr>
          <w:rFonts w:ascii="Arial" w:hAnsi="Arial" w:cs="Arial"/>
          <w:noProof/>
          <w:sz w:val="20"/>
          <w:szCs w:val="20"/>
        </w:rPr>
        <w:t xml:space="preserve"> </w:t>
      </w:r>
      <w:r w:rsidRPr="003E5034">
        <w:rPr>
          <w:rFonts w:ascii="Arial" w:hAnsi="Arial" w:cs="Arial"/>
          <w:noProof/>
          <w:sz w:val="20"/>
          <w:szCs w:val="20"/>
        </w:rPr>
        <w:t>To what extent does fines content influence the normalized residual shear strength ratio of very loose Petobo silty sand, and how does this behavior help explain the mobility observed during the 2018 flowslide?</w:t>
      </w:r>
    </w:p>
    <w:p w14:paraId="56782144" w14:textId="77777777" w:rsidR="003E5034" w:rsidRDefault="003E5034" w:rsidP="003E5034">
      <w:pPr>
        <w:spacing w:before="120" w:after="120" w:line="240" w:lineRule="auto"/>
        <w:ind w:left="0" w:hanging="2"/>
        <w:jc w:val="both"/>
        <w:rPr>
          <w:rFonts w:ascii="Arial" w:hAnsi="Arial" w:cs="Arial"/>
          <w:noProof/>
          <w:sz w:val="20"/>
          <w:szCs w:val="20"/>
        </w:rPr>
      </w:pPr>
      <w:r w:rsidRPr="003E5034">
        <w:rPr>
          <w:rFonts w:ascii="Arial" w:hAnsi="Arial" w:cs="Arial"/>
          <w:noProof/>
          <w:sz w:val="20"/>
          <w:szCs w:val="20"/>
        </w:rPr>
        <w:t>The monotonic Consolidated Undrained (CU) triaxial test provides controlled measurement of contractive tendencie</w:t>
      </w:r>
      <w:r w:rsidR="001242FC">
        <w:rPr>
          <w:rFonts w:ascii="Arial" w:hAnsi="Arial" w:cs="Arial"/>
          <w:noProof/>
          <w:sz w:val="20"/>
          <w:szCs w:val="20"/>
        </w:rPr>
        <w:t>s, pore-pressure generation</w:t>
      </w:r>
      <w:r w:rsidRPr="003E5034">
        <w:rPr>
          <w:rFonts w:ascii="Arial" w:hAnsi="Arial" w:cs="Arial"/>
          <w:noProof/>
          <w:sz w:val="20"/>
          <w:szCs w:val="20"/>
        </w:rPr>
        <w:t>, effective stress paths</w:t>
      </w:r>
      <w:r w:rsidR="001242FC">
        <w:rPr>
          <w:rFonts w:ascii="Arial" w:hAnsi="Arial" w:cs="Arial"/>
          <w:noProof/>
          <w:sz w:val="20"/>
          <w:szCs w:val="20"/>
        </w:rPr>
        <w:t>,</w:t>
      </w:r>
      <w:r w:rsidRPr="003E5034">
        <w:rPr>
          <w:rFonts w:ascii="Arial" w:hAnsi="Arial" w:cs="Arial"/>
          <w:noProof/>
          <w:sz w:val="20"/>
          <w:szCs w:val="20"/>
        </w:rPr>
        <w:t xml:space="preserve"> and steady-state strength, making it well suited for evaluating post-liquefaction behavior and addressing this research gap</w:t>
      </w:r>
      <w:r>
        <w:rPr>
          <w:rFonts w:ascii="Arial" w:hAnsi="Arial" w:cs="Arial"/>
          <w:noProof/>
          <w:sz w:val="20"/>
          <w:szCs w:val="20"/>
        </w:rPr>
        <w:t xml:space="preserve"> </w:t>
      </w:r>
      <w:r>
        <w:rPr>
          <w:rFonts w:ascii="Arial" w:hAnsi="Arial" w:cs="Arial"/>
          <w:noProof/>
          <w:sz w:val="20"/>
          <w:szCs w:val="20"/>
        </w:rPr>
        <w:fldChar w:fldCharType="begin" w:fldLock="1"/>
      </w:r>
      <w:r w:rsidR="005052C4">
        <w:rPr>
          <w:rFonts w:ascii="Arial" w:hAnsi="Arial" w:cs="Arial"/>
          <w:noProof/>
          <w:sz w:val="20"/>
          <w:szCs w:val="20"/>
        </w:rPr>
        <w:instrText>ADDIN CSL_CITATION {"citationItems":[{"id":"ITEM-1","itemData":{"DOI":"10.1520/GTJ20210217","ISSN":"0149-6115","abstract":"Post-liquefaction response and residual strength play important roles in stability assessment of liquefied ground. Considering the recent advancements in the application of induced partial saturation for liquefaction mitigation, the state of knowledge in estimating the residual strength should be extended for liquefied desaturated soils. In this paper, the residual strength response of a clean sand at different saturation levels was investigated using a ring shear device. Direct air injection was used to desaturate the soil, which helped with mitigating the liquefaction under cyclic loading. However, by raising the shear strain level, both saturated and partially saturated soils were liquefied, followed by residual strength measurement. Results indicate that the residual strength increased with a reduction of the saturation level because of the change in compressibility and consequent volume reduction. In addition, the strain-rate dependency of the residual strength was confirmed because an increase of shear strain rate resulted in an increase in residual strength under both saturated and partially saturated conditions.","author":[{"dropping-particle":"","family":"Gates","given":"Ian D.","non-dropping-particle":"","parse-names":false,"suffix":""},{"dropping-particle":"","family":"Ghayoomi","given":"Majid","non-dropping-particle":"","parse-names":false,"suffix":""}],"container-title":"Geotechnical Testing Journal","id":"ITEM-1","issue":"4","issued":{"date-parts":[["2022","7","1"]]},"page":"855-876","title":"Residual Strength of Liquefied Soil: The Effect of Induced Partial Saturation","type":"article-journal","volume":"45"},"uris":["http://www.mendeley.com/documents/?uuid=0d8b0a3a-d32f-4411-a186-fe6dbe8b4c6b"]},{"id":"ITEM-2","itemData":{"DOI":"https://doi.org/10.1051/e3sconf/202454414014","author":[{"dropping-particle":"","family":"Papadopoulou","given":"Anthi.","non-dropping-particle":"","parse-names":false,"suffix":""},{"dropping-particle":"","family":"Tika","given":"Theodora.","non-dropping-particle":"","parse-names":false,"suffix":""}],"container-title":"E3S Web of Conferences","id":"ITEM-2","issued":{"date-parts":[["2024"]]},"page":"544, 14014.","title":"Monotonic and cyclic behaviour of sand-silt mixtures through the equivalent state parameter","type":"paper-conference"},"uris":["http://www.mendeley.com/documents/?uuid=790ff2c1-ad03-4a5b-89b4-22b1f0724dcd"]}],"mendeley":{"formattedCitation":"[21], [22]","manualFormatting":"[22][23]","plainTextFormattedCitation":"[21], [22]","previouslyFormattedCitation":"[22], [23]"},"properties":{"noteIndex":0},"schema":"https://github.com/citation-style-language/schema/raw/master/csl-citation.json"}</w:instrText>
      </w:r>
      <w:r>
        <w:rPr>
          <w:rFonts w:ascii="Arial" w:hAnsi="Arial" w:cs="Arial"/>
          <w:noProof/>
          <w:sz w:val="20"/>
          <w:szCs w:val="20"/>
        </w:rPr>
        <w:fldChar w:fldCharType="separate"/>
      </w:r>
      <w:r w:rsidR="001242FC">
        <w:rPr>
          <w:rFonts w:ascii="Arial" w:hAnsi="Arial" w:cs="Arial"/>
          <w:noProof/>
          <w:sz w:val="20"/>
          <w:szCs w:val="20"/>
        </w:rPr>
        <w:t>[22]</w:t>
      </w:r>
      <w:r w:rsidR="001242FC" w:rsidRPr="001242FC">
        <w:rPr>
          <w:rFonts w:ascii="Arial" w:hAnsi="Arial" w:cs="Arial"/>
          <w:noProof/>
          <w:sz w:val="20"/>
          <w:szCs w:val="20"/>
        </w:rPr>
        <w:t>[23]</w:t>
      </w:r>
      <w:r>
        <w:rPr>
          <w:rFonts w:ascii="Arial" w:hAnsi="Arial" w:cs="Arial"/>
          <w:noProof/>
          <w:sz w:val="20"/>
          <w:szCs w:val="20"/>
        </w:rPr>
        <w:fldChar w:fldCharType="end"/>
      </w:r>
    </w:p>
    <w:p w14:paraId="59A10B10" w14:textId="77777777" w:rsidR="003E5034" w:rsidRPr="003E5034" w:rsidRDefault="003E5034" w:rsidP="003E5034">
      <w:pPr>
        <w:spacing w:before="60" w:after="60" w:line="240" w:lineRule="auto"/>
        <w:ind w:left="0" w:hanging="2"/>
        <w:jc w:val="both"/>
        <w:rPr>
          <w:rFonts w:ascii="Arial" w:eastAsia="Times New Roman" w:hAnsi="Arial" w:cs="Arial"/>
          <w:sz w:val="20"/>
          <w:szCs w:val="20"/>
        </w:rPr>
      </w:pPr>
      <w:r w:rsidRPr="003E5034">
        <w:rPr>
          <w:rFonts w:ascii="Arial" w:eastAsia="Times New Roman" w:hAnsi="Arial" w:cs="Arial"/>
          <w:sz w:val="20"/>
          <w:szCs w:val="20"/>
        </w:rPr>
        <w:t>Based on this background, this study evaluates the stress–strain response of reconstituted Petobo soil samples with different fines contents. The analysis focuses on contractive behavior leading to the critical state, pore-pressure buildup, effective stress paths, and normalized residual shear strength within the CSSM framework. Although Artati et al. (2023) examined steady-state liquefaction resistance for Palu silty soils, their work did not investigate residual behavior or post-liquefaction stress</w:t>
      </w:r>
      <w:r w:rsidR="001242FC">
        <w:rPr>
          <w:rFonts w:ascii="Arial" w:eastAsia="Times New Roman" w:hAnsi="Arial" w:cs="Arial"/>
          <w:sz w:val="20"/>
          <w:szCs w:val="20"/>
        </w:rPr>
        <w:t>-</w:t>
      </w:r>
      <w:r w:rsidRPr="003E5034">
        <w:rPr>
          <w:rFonts w:ascii="Arial" w:eastAsia="Times New Roman" w:hAnsi="Arial" w:cs="Arial"/>
          <w:sz w:val="20"/>
          <w:szCs w:val="20"/>
        </w:rPr>
        <w:t>strain evolution.</w:t>
      </w:r>
      <w:r w:rsidR="0019118E">
        <w:rPr>
          <w:rFonts w:ascii="Arial" w:eastAsia="Times New Roman" w:hAnsi="Arial" w:cs="Arial"/>
          <w:sz w:val="20"/>
          <w:szCs w:val="20"/>
        </w:rPr>
        <w:t xml:space="preserve"> </w:t>
      </w:r>
    </w:p>
    <w:p w14:paraId="12324B18" w14:textId="77777777" w:rsidR="003303C8" w:rsidRDefault="003E5034" w:rsidP="003E5034">
      <w:pPr>
        <w:spacing w:before="60" w:after="60" w:line="240" w:lineRule="auto"/>
        <w:ind w:left="0" w:hanging="2"/>
        <w:jc w:val="both"/>
        <w:rPr>
          <w:rFonts w:ascii="Arial" w:eastAsia="Times New Roman" w:hAnsi="Arial" w:cs="Arial"/>
          <w:color w:val="000000" w:themeColor="text1"/>
          <w:position w:val="0"/>
          <w:sz w:val="20"/>
          <w:szCs w:val="20"/>
        </w:rPr>
      </w:pPr>
      <w:r w:rsidRPr="003E5034">
        <w:rPr>
          <w:rFonts w:ascii="Arial" w:eastAsia="Times New Roman" w:hAnsi="Arial" w:cs="Arial"/>
          <w:sz w:val="20"/>
          <w:szCs w:val="20"/>
        </w:rPr>
        <w:t>Therefore, the purpose of this study is to provide the first laboratory-based residual shear strength data for Petobo soil, quantify the influence of fines content under very loose density conditions, and offer mechanistic insight into the 2018 flowslide. These findings provide essential input for back-analysis, numerical modeling, and hazard assessment of liquefaction-induced failures in Palu and similar environments.</w:t>
      </w:r>
    </w:p>
    <w:p w14:paraId="2E7788E0" w14:textId="77777777" w:rsidR="003303C8" w:rsidRDefault="003303C8" w:rsidP="00A30BE7">
      <w:pPr>
        <w:spacing w:before="60" w:after="60" w:line="240" w:lineRule="auto"/>
        <w:ind w:left="0" w:hanging="2"/>
        <w:jc w:val="both"/>
        <w:rPr>
          <w:rFonts w:ascii="Arial" w:eastAsia="Times New Roman" w:hAnsi="Arial" w:cs="Arial"/>
          <w:color w:val="000000" w:themeColor="text1"/>
          <w:position w:val="0"/>
          <w:sz w:val="20"/>
          <w:szCs w:val="20"/>
        </w:rPr>
      </w:pPr>
    </w:p>
    <w:p w14:paraId="3ACAB2D8" w14:textId="77777777" w:rsidR="00E85484" w:rsidRDefault="005929B1" w:rsidP="001242FC">
      <w:pPr>
        <w:spacing w:before="60" w:after="6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METHOD</w:t>
      </w:r>
    </w:p>
    <w:p w14:paraId="0D3BEE86" w14:textId="77777777" w:rsidR="00F2208E" w:rsidRDefault="005929B1" w:rsidP="001242FC">
      <w:pPr>
        <w:spacing w:before="60" w:after="60" w:line="240" w:lineRule="auto"/>
        <w:ind w:left="0" w:hanging="2"/>
        <w:jc w:val="both"/>
        <w:rPr>
          <w:rFonts w:ascii="Arial" w:hAnsi="Arial" w:cs="Arial"/>
          <w:b/>
          <w:sz w:val="20"/>
          <w:szCs w:val="20"/>
        </w:rPr>
      </w:pPr>
      <w:r>
        <w:rPr>
          <w:rFonts w:ascii="Arial" w:eastAsia="Arial" w:hAnsi="Arial" w:cs="Arial"/>
          <w:b/>
          <w:color w:val="1F4E79"/>
          <w:sz w:val="20"/>
          <w:szCs w:val="20"/>
        </w:rPr>
        <w:t>Material</w:t>
      </w:r>
      <w:r w:rsidR="00F2208E">
        <w:rPr>
          <w:rFonts w:ascii="Arial" w:eastAsia="Arial" w:hAnsi="Arial" w:cs="Arial"/>
          <w:b/>
          <w:color w:val="1F4E79"/>
          <w:sz w:val="20"/>
          <w:szCs w:val="20"/>
        </w:rPr>
        <w:t xml:space="preserve"> </w:t>
      </w:r>
      <w:r w:rsidR="00C71D89">
        <w:rPr>
          <w:rFonts w:ascii="Arial" w:hAnsi="Arial" w:cs="Arial"/>
          <w:b/>
          <w:color w:val="1F4E79"/>
          <w:sz w:val="20"/>
          <w:szCs w:val="20"/>
        </w:rPr>
        <w:t>-</w:t>
      </w:r>
      <w:r w:rsidR="00F2208E" w:rsidRPr="00F2208E">
        <w:rPr>
          <w:rFonts w:ascii="Arial" w:hAnsi="Arial" w:cs="Arial"/>
          <w:b/>
          <w:color w:val="1F4E79"/>
          <w:sz w:val="20"/>
          <w:szCs w:val="20"/>
        </w:rPr>
        <w:t xml:space="preserve"> Location and Samples</w:t>
      </w:r>
    </w:p>
    <w:p w14:paraId="4F3A4D4A" w14:textId="77777777" w:rsidR="00F2208E" w:rsidRPr="0006764F" w:rsidRDefault="00B509CC" w:rsidP="001242FC">
      <w:pPr>
        <w:spacing w:before="60" w:after="60" w:line="240" w:lineRule="auto"/>
        <w:ind w:left="0" w:hanging="2"/>
        <w:jc w:val="both"/>
        <w:rPr>
          <w:rFonts w:ascii="Arial" w:eastAsia="Times New Roman" w:hAnsi="Arial" w:cs="Arial"/>
          <w:sz w:val="20"/>
          <w:szCs w:val="20"/>
        </w:rPr>
      </w:pPr>
      <w:r w:rsidRPr="00B509CC">
        <w:rPr>
          <w:rFonts w:ascii="Arial" w:eastAsia="Times New Roman" w:hAnsi="Arial" w:cs="Arial"/>
          <w:sz w:val="20"/>
          <w:szCs w:val="20"/>
        </w:rPr>
        <w:t>The soil samples were collected from Petobo Sub-district, Pa</w:t>
      </w:r>
      <w:r w:rsidR="002018AB">
        <w:rPr>
          <w:rFonts w:ascii="Arial" w:eastAsia="Times New Roman" w:hAnsi="Arial" w:cs="Arial"/>
          <w:sz w:val="20"/>
          <w:szCs w:val="20"/>
        </w:rPr>
        <w:t xml:space="preserve">lu City, </w:t>
      </w:r>
      <w:r w:rsidRPr="00B509CC">
        <w:rPr>
          <w:rFonts w:ascii="Arial" w:eastAsia="Times New Roman" w:hAnsi="Arial" w:cs="Arial"/>
          <w:sz w:val="20"/>
          <w:szCs w:val="20"/>
        </w:rPr>
        <w:t>one of the areas most severely affected by liquefaction during the 28 September 2018 earthquake. This area experienced large-</w:t>
      </w:r>
      <w:r w:rsidRPr="00B509CC">
        <w:rPr>
          <w:rFonts w:ascii="Arial" w:eastAsia="Times New Roman" w:hAnsi="Arial" w:cs="Arial"/>
          <w:sz w:val="20"/>
          <w:szCs w:val="20"/>
        </w:rPr>
        <w:lastRenderedPageBreak/>
        <w:t>scale flow liquefaction extending approximately 2.1 km, resulting in massive ground displacement and the destruction of thousands of houses. The tested soils were taken from a loose sand layer at the ground surface within a residential area affected by flow</w:t>
      </w:r>
      <w:r w:rsidR="00F2208E" w:rsidRPr="0006764F">
        <w:rPr>
          <w:rFonts w:ascii="Arial" w:eastAsia="Times New Roman" w:hAnsi="Arial" w:cs="Arial"/>
          <w:sz w:val="20"/>
          <w:szCs w:val="20"/>
        </w:rPr>
        <w:t>.</w:t>
      </w:r>
    </w:p>
    <w:p w14:paraId="0AB3FC15" w14:textId="77777777" w:rsidR="00B509CC" w:rsidRPr="00B509CC" w:rsidRDefault="00B509CC" w:rsidP="001242FC">
      <w:pPr>
        <w:spacing w:before="60" w:after="60" w:line="240" w:lineRule="auto"/>
        <w:ind w:left="0" w:hanging="2"/>
        <w:jc w:val="both"/>
        <w:rPr>
          <w:rFonts w:ascii="Arial" w:eastAsia="Times New Roman" w:hAnsi="Arial" w:cs="Arial"/>
          <w:sz w:val="20"/>
          <w:szCs w:val="20"/>
        </w:rPr>
      </w:pPr>
      <w:r w:rsidRPr="00B509CC">
        <w:rPr>
          <w:rFonts w:ascii="Arial" w:eastAsia="Times New Roman" w:hAnsi="Arial" w:cs="Arial"/>
          <w:sz w:val="20"/>
          <w:szCs w:val="20"/>
        </w:rPr>
        <w:t>Two types of samples were obtained to represent different fines contents.</w:t>
      </w:r>
    </w:p>
    <w:p w14:paraId="35DA7032" w14:textId="77777777" w:rsidR="00B509CC" w:rsidRPr="00B509CC" w:rsidRDefault="00B509CC" w:rsidP="001242FC">
      <w:pPr>
        <w:pStyle w:val="ListParagraph"/>
        <w:numPr>
          <w:ilvl w:val="0"/>
          <w:numId w:val="14"/>
        </w:numPr>
        <w:spacing w:before="60" w:after="60" w:line="240" w:lineRule="auto"/>
        <w:ind w:leftChars="0" w:left="426" w:firstLineChars="0"/>
        <w:contextualSpacing w:val="0"/>
        <w:jc w:val="both"/>
        <w:rPr>
          <w:rFonts w:ascii="Arial" w:eastAsia="Times New Roman" w:hAnsi="Arial" w:cs="Arial"/>
          <w:sz w:val="20"/>
          <w:szCs w:val="20"/>
        </w:rPr>
      </w:pPr>
      <w:r w:rsidRPr="00B509CC">
        <w:rPr>
          <w:rFonts w:ascii="Arial" w:eastAsia="Times New Roman" w:hAnsi="Arial" w:cs="Arial"/>
          <w:sz w:val="20"/>
          <w:szCs w:val="20"/>
        </w:rPr>
        <w:t xml:space="preserve">The low-fines sample (9%), taken from Point A located at a drainage dike (Figure 1a), </w:t>
      </w:r>
      <w:r w:rsidRPr="00B509CC">
        <w:rPr>
          <w:rFonts w:ascii="Arial" w:eastAsia="Times New Roman" w:hAnsi="Arial" w:cs="Arial"/>
          <w:sz w:val="20"/>
          <w:szCs w:val="20"/>
        </w:rPr>
        <w:t>represents the initiation zone of flow liquefaction.</w:t>
      </w:r>
    </w:p>
    <w:p w14:paraId="180EFB58" w14:textId="77777777" w:rsidR="00B509CC" w:rsidRPr="00B509CC" w:rsidRDefault="00B509CC" w:rsidP="001242FC">
      <w:pPr>
        <w:pStyle w:val="ListParagraph"/>
        <w:numPr>
          <w:ilvl w:val="0"/>
          <w:numId w:val="14"/>
        </w:numPr>
        <w:spacing w:before="60" w:after="60" w:line="240" w:lineRule="auto"/>
        <w:ind w:leftChars="0" w:left="426" w:firstLineChars="0"/>
        <w:contextualSpacing w:val="0"/>
        <w:jc w:val="both"/>
        <w:rPr>
          <w:rFonts w:ascii="Arial" w:eastAsia="Times New Roman" w:hAnsi="Arial" w:cs="Arial"/>
          <w:sz w:val="20"/>
          <w:szCs w:val="20"/>
        </w:rPr>
      </w:pPr>
      <w:r w:rsidRPr="00B509CC">
        <w:rPr>
          <w:rFonts w:ascii="Arial" w:eastAsia="Times New Roman" w:hAnsi="Arial" w:cs="Arial"/>
          <w:sz w:val="20"/>
          <w:szCs w:val="20"/>
        </w:rPr>
        <w:t>The high-fines sample (26.4%), taken from Point B (Figure 1b), represents the main zone affected by massive ground flow.</w:t>
      </w:r>
    </w:p>
    <w:p w14:paraId="11CD15E5" w14:textId="77777777" w:rsidR="001B67E8" w:rsidRDefault="00B509CC" w:rsidP="001242FC">
      <w:pPr>
        <w:spacing w:before="60" w:after="60" w:line="240" w:lineRule="auto"/>
        <w:ind w:left="0" w:hanging="2"/>
        <w:jc w:val="both"/>
        <w:rPr>
          <w:rFonts w:ascii="Arial" w:eastAsia="Times New Roman" w:hAnsi="Arial" w:cs="Arial"/>
          <w:sz w:val="20"/>
          <w:szCs w:val="20"/>
        </w:rPr>
      </w:pPr>
      <w:r w:rsidRPr="00B509CC">
        <w:rPr>
          <w:rFonts w:ascii="Arial" w:eastAsia="Times New Roman" w:hAnsi="Arial" w:cs="Arial"/>
          <w:sz w:val="20"/>
          <w:szCs w:val="20"/>
        </w:rPr>
        <w:t>A general overview of the affected area and sampling points is shown in Figure 1c.</w:t>
      </w:r>
    </w:p>
    <w:p w14:paraId="03CDAB24" w14:textId="77777777" w:rsidR="001242FC" w:rsidRDefault="001242FC" w:rsidP="001242FC">
      <w:pPr>
        <w:spacing w:before="60" w:after="60" w:line="240" w:lineRule="auto"/>
        <w:ind w:left="0" w:hanging="2"/>
        <w:jc w:val="both"/>
        <w:rPr>
          <w:rFonts w:ascii="Arial" w:eastAsia="Times New Roman" w:hAnsi="Arial" w:cs="Arial"/>
          <w:sz w:val="20"/>
          <w:szCs w:val="20"/>
        </w:rPr>
      </w:pPr>
    </w:p>
    <w:p w14:paraId="042B395B" w14:textId="77777777" w:rsidR="001242FC" w:rsidRDefault="001242FC" w:rsidP="001242FC">
      <w:pPr>
        <w:spacing w:before="60" w:after="60" w:line="240" w:lineRule="auto"/>
        <w:ind w:left="0" w:hanging="2"/>
        <w:jc w:val="both"/>
        <w:rPr>
          <w:rFonts w:ascii="Arial" w:eastAsia="Times New Roman" w:hAnsi="Arial" w:cs="Arial"/>
          <w:sz w:val="20"/>
          <w:szCs w:val="20"/>
        </w:rPr>
      </w:pPr>
    </w:p>
    <w:p w14:paraId="09441128" w14:textId="77777777" w:rsidR="001B5121" w:rsidRDefault="001B5121" w:rsidP="00B509CC">
      <w:pPr>
        <w:spacing w:before="60" w:after="60" w:line="240" w:lineRule="auto"/>
        <w:ind w:left="0" w:hanging="2"/>
        <w:jc w:val="both"/>
        <w:rPr>
          <w:rFonts w:ascii="Arial" w:eastAsia="Times New Roman" w:hAnsi="Arial" w:cs="Arial"/>
          <w:sz w:val="20"/>
          <w:szCs w:val="20"/>
        </w:rPr>
      </w:pPr>
    </w:p>
    <w:p w14:paraId="1352EEBF" w14:textId="77777777" w:rsidR="001242FC" w:rsidRDefault="001242FC" w:rsidP="00B509CC">
      <w:pPr>
        <w:spacing w:before="60" w:after="60" w:line="240" w:lineRule="auto"/>
        <w:ind w:left="0" w:hanging="2"/>
        <w:jc w:val="both"/>
        <w:rPr>
          <w:rFonts w:ascii="Arial" w:eastAsia="Times New Roman" w:hAnsi="Arial" w:cs="Arial"/>
          <w:sz w:val="20"/>
          <w:szCs w:val="20"/>
        </w:rPr>
        <w:sectPr w:rsidR="001242FC" w:rsidSect="00FD660B">
          <w:type w:val="continuous"/>
          <w:pgSz w:w="11907" w:h="16840"/>
          <w:pgMar w:top="1701" w:right="1134" w:bottom="1701" w:left="1701" w:header="680" w:footer="680" w:gutter="0"/>
          <w:cols w:num="2" w:space="720" w:equalWidth="0">
            <w:col w:w="4394" w:space="284"/>
            <w:col w:w="4394" w:space="0"/>
          </w:cols>
          <w:titlePg/>
        </w:sectPr>
      </w:pPr>
    </w:p>
    <w:p w14:paraId="6F9DC63D" w14:textId="77777777" w:rsidR="00E85484" w:rsidRDefault="00F2208E" w:rsidP="001B5121">
      <w:pPr>
        <w:spacing w:after="0" w:line="240" w:lineRule="auto"/>
        <w:ind w:left="0" w:hanging="2"/>
        <w:jc w:val="center"/>
        <w:rPr>
          <w:rFonts w:ascii="Arial" w:eastAsia="Arial" w:hAnsi="Arial" w:cs="Arial"/>
          <w:sz w:val="20"/>
          <w:szCs w:val="20"/>
        </w:rPr>
      </w:pPr>
      <w:r w:rsidRPr="00F2208E">
        <w:rPr>
          <w:rFonts w:ascii="Arial" w:eastAsia="Times New Roman" w:hAnsi="Arial" w:cs="Arial"/>
          <w:noProof/>
          <w:sz w:val="20"/>
          <w:szCs w:val="20"/>
        </w:rPr>
        <w:drawing>
          <wp:inline distT="0" distB="0" distL="0" distR="0" wp14:anchorId="4B9433D4" wp14:editId="0F953033">
            <wp:extent cx="5400000" cy="18129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400000" cy="1812929"/>
                    </a:xfrm>
                    <a:prstGeom prst="rect">
                      <a:avLst/>
                    </a:prstGeom>
                  </pic:spPr>
                </pic:pic>
              </a:graphicData>
            </a:graphic>
          </wp:inline>
        </w:drawing>
      </w:r>
    </w:p>
    <w:p w14:paraId="12CAFC7D" w14:textId="77777777" w:rsidR="00C37549" w:rsidRDefault="00C37549" w:rsidP="001B5121">
      <w:pPr>
        <w:spacing w:after="0" w:line="240" w:lineRule="auto"/>
        <w:ind w:left="0" w:hanging="2"/>
        <w:jc w:val="center"/>
        <w:rPr>
          <w:rFonts w:ascii="Arial" w:eastAsia="Arial" w:hAnsi="Arial" w:cs="Arial"/>
          <w:b/>
          <w:color w:val="1F4E79"/>
          <w:sz w:val="20"/>
          <w:szCs w:val="20"/>
        </w:rPr>
      </w:pPr>
      <w:r w:rsidRPr="00C37549">
        <w:rPr>
          <w:rFonts w:ascii="Arial" w:eastAsia="Arial" w:hAnsi="Arial" w:cs="Arial"/>
          <w:b/>
          <w:noProof/>
          <w:color w:val="1F4E79"/>
          <w:sz w:val="20"/>
          <w:szCs w:val="20"/>
        </w:rPr>
        <w:drawing>
          <wp:inline distT="0" distB="0" distL="0" distR="0" wp14:anchorId="6966C262" wp14:editId="263C09BD">
            <wp:extent cx="5400000" cy="302456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400000" cy="3024569"/>
                    </a:xfrm>
                    <a:prstGeom prst="rect">
                      <a:avLst/>
                    </a:prstGeom>
                  </pic:spPr>
                </pic:pic>
              </a:graphicData>
            </a:graphic>
          </wp:inline>
        </w:drawing>
      </w:r>
    </w:p>
    <w:p w14:paraId="1044F14C" w14:textId="77777777" w:rsidR="001B5121" w:rsidRDefault="00C37549" w:rsidP="001242FC">
      <w:pPr>
        <w:spacing w:before="240" w:after="0" w:line="240" w:lineRule="auto"/>
        <w:ind w:left="0" w:hanging="2"/>
        <w:jc w:val="center"/>
        <w:rPr>
          <w:rFonts w:ascii="Arial" w:eastAsia="Times New Roman" w:hAnsi="Arial" w:cs="Arial"/>
          <w:iCs/>
          <w:sz w:val="20"/>
          <w:szCs w:val="20"/>
        </w:rPr>
      </w:pPr>
      <w:r w:rsidRPr="00CC523E">
        <w:rPr>
          <w:rFonts w:ascii="Arial" w:eastAsia="Times New Roman" w:hAnsi="Arial" w:cs="Arial"/>
          <w:b/>
          <w:bCs/>
          <w:iCs/>
          <w:sz w:val="20"/>
          <w:szCs w:val="20"/>
        </w:rPr>
        <w:t>Figure 1.</w:t>
      </w:r>
      <w:r w:rsidRPr="00CC523E">
        <w:rPr>
          <w:rFonts w:ascii="Arial" w:eastAsia="Times New Roman" w:hAnsi="Arial" w:cs="Arial"/>
          <w:iCs/>
          <w:sz w:val="20"/>
          <w:szCs w:val="20"/>
        </w:rPr>
        <w:t xml:space="preserve"> Sampling locations in Petobo: (a) drainage dike</w:t>
      </w:r>
      <w:r w:rsidR="00D254D7">
        <w:rPr>
          <w:rFonts w:ascii="Arial" w:eastAsia="Times New Roman" w:hAnsi="Arial" w:cs="Arial"/>
          <w:iCs/>
          <w:sz w:val="20"/>
          <w:szCs w:val="20"/>
        </w:rPr>
        <w:t xml:space="preserve"> (Location A)</w:t>
      </w:r>
      <w:r w:rsidRPr="00CC523E">
        <w:rPr>
          <w:rFonts w:ascii="Arial" w:eastAsia="Times New Roman" w:hAnsi="Arial" w:cs="Arial"/>
          <w:iCs/>
          <w:sz w:val="20"/>
          <w:szCs w:val="20"/>
        </w:rPr>
        <w:t>, (b) area affected by massive ground flow</w:t>
      </w:r>
      <w:r w:rsidR="00D254D7">
        <w:rPr>
          <w:rFonts w:ascii="Arial" w:eastAsia="Times New Roman" w:hAnsi="Arial" w:cs="Arial"/>
          <w:iCs/>
          <w:sz w:val="20"/>
          <w:szCs w:val="20"/>
        </w:rPr>
        <w:t xml:space="preserve"> (Location B)</w:t>
      </w:r>
      <w:r w:rsidRPr="00CC523E">
        <w:rPr>
          <w:rFonts w:ascii="Arial" w:eastAsia="Times New Roman" w:hAnsi="Arial" w:cs="Arial"/>
          <w:iCs/>
          <w:sz w:val="20"/>
          <w:szCs w:val="20"/>
        </w:rPr>
        <w:t xml:space="preserve">, (c) overview of the flow liquefaction-affected </w:t>
      </w:r>
      <w:r w:rsidR="00D254D7">
        <w:rPr>
          <w:rFonts w:ascii="Arial" w:eastAsia="Times New Roman" w:hAnsi="Arial" w:cs="Arial"/>
          <w:iCs/>
          <w:sz w:val="20"/>
          <w:szCs w:val="20"/>
        </w:rPr>
        <w:t>zone</w:t>
      </w:r>
    </w:p>
    <w:p w14:paraId="3FE9B8B1" w14:textId="77777777" w:rsidR="001242FC" w:rsidRDefault="001242FC" w:rsidP="001242FC">
      <w:pPr>
        <w:spacing w:before="240" w:after="0" w:line="240" w:lineRule="auto"/>
        <w:ind w:left="0" w:hanging="2"/>
        <w:jc w:val="center"/>
        <w:rPr>
          <w:rFonts w:ascii="Arial" w:eastAsia="Times New Roman" w:hAnsi="Arial" w:cs="Arial"/>
          <w:b/>
          <w:bCs/>
          <w:color w:val="1F4E79"/>
          <w:sz w:val="20"/>
          <w:szCs w:val="20"/>
        </w:rPr>
      </w:pPr>
    </w:p>
    <w:p w14:paraId="045F2E1A" w14:textId="77777777" w:rsidR="00E86F04" w:rsidRDefault="00E86F04" w:rsidP="001B5121">
      <w:pPr>
        <w:spacing w:before="100" w:beforeAutospacing="1" w:after="0" w:line="240" w:lineRule="auto"/>
        <w:ind w:left="0" w:hanging="2"/>
        <w:outlineLvl w:val="2"/>
        <w:rPr>
          <w:rFonts w:ascii="Arial" w:eastAsia="Times New Roman" w:hAnsi="Arial" w:cs="Arial"/>
          <w:b/>
          <w:bCs/>
          <w:color w:val="1F4E79"/>
          <w:sz w:val="20"/>
          <w:szCs w:val="20"/>
        </w:rPr>
        <w:sectPr w:rsidR="00E86F04" w:rsidSect="001B5121">
          <w:type w:val="continuous"/>
          <w:pgSz w:w="11907" w:h="16840"/>
          <w:pgMar w:top="1701" w:right="1134" w:bottom="1701" w:left="1701" w:header="680" w:footer="680" w:gutter="0"/>
          <w:cols w:space="284"/>
          <w:titlePg/>
        </w:sectPr>
      </w:pPr>
    </w:p>
    <w:p w14:paraId="52786014" w14:textId="77777777" w:rsidR="008D7808" w:rsidRPr="008D7808" w:rsidRDefault="008D7808" w:rsidP="00AC5305">
      <w:pPr>
        <w:spacing w:after="60" w:line="240" w:lineRule="auto"/>
        <w:ind w:left="0" w:hanging="2"/>
        <w:outlineLvl w:val="2"/>
        <w:rPr>
          <w:rFonts w:ascii="Arial" w:eastAsia="Times New Roman" w:hAnsi="Arial" w:cs="Arial"/>
          <w:b/>
          <w:bCs/>
          <w:color w:val="1F4E79"/>
          <w:sz w:val="20"/>
          <w:szCs w:val="20"/>
        </w:rPr>
      </w:pPr>
      <w:r w:rsidRPr="008D7808">
        <w:rPr>
          <w:rFonts w:ascii="Arial" w:eastAsia="Times New Roman" w:hAnsi="Arial" w:cs="Arial"/>
          <w:b/>
          <w:bCs/>
          <w:color w:val="1F4E79"/>
          <w:sz w:val="20"/>
          <w:szCs w:val="20"/>
        </w:rPr>
        <w:t>Soil Characterization</w:t>
      </w:r>
    </w:p>
    <w:p w14:paraId="6F0AC7CA" w14:textId="77777777" w:rsidR="00D254D7" w:rsidRDefault="008D7808" w:rsidP="00E86F04">
      <w:pPr>
        <w:spacing w:beforeLines="60" w:before="144" w:afterLines="60" w:after="144" w:line="240" w:lineRule="auto"/>
        <w:ind w:left="0" w:hanging="2"/>
        <w:jc w:val="both"/>
        <w:outlineLvl w:val="2"/>
        <w:rPr>
          <w:rFonts w:ascii="Arial" w:eastAsia="Times New Roman" w:hAnsi="Arial" w:cs="Arial"/>
          <w:bCs/>
          <w:sz w:val="20"/>
          <w:szCs w:val="20"/>
        </w:rPr>
      </w:pPr>
      <w:r w:rsidRPr="00642264">
        <w:rPr>
          <w:rFonts w:ascii="Arial" w:eastAsia="Times New Roman" w:hAnsi="Arial" w:cs="Arial"/>
          <w:bCs/>
          <w:sz w:val="20"/>
          <w:szCs w:val="20"/>
        </w:rPr>
        <w:t>The index properties of the soil were determined through standard ASTM and SNI procedures, including grain size distribution (</w:t>
      </w:r>
      <w:r w:rsidR="00E24915" w:rsidRPr="00E24915">
        <w:rPr>
          <w:rFonts w:ascii="Arial" w:eastAsia="Times New Roman" w:hAnsi="Arial" w:cs="Arial"/>
          <w:bCs/>
          <w:sz w:val="20"/>
          <w:szCs w:val="20"/>
        </w:rPr>
        <w:t>ASTM D6913 for sieve analysis; ASTM D7928 for hydrometer; SNI 3423:2008</w:t>
      </w:r>
      <w:r w:rsidRPr="00642264">
        <w:rPr>
          <w:rFonts w:ascii="Arial" w:eastAsia="Times New Roman" w:hAnsi="Arial" w:cs="Arial"/>
          <w:bCs/>
          <w:sz w:val="20"/>
          <w:szCs w:val="20"/>
        </w:rPr>
        <w:t>), specific gravity (</w:t>
      </w:r>
      <w:r w:rsidR="00E24915" w:rsidRPr="00E24915">
        <w:rPr>
          <w:rFonts w:ascii="Arial" w:eastAsia="Times New Roman" w:hAnsi="Arial" w:cs="Arial"/>
          <w:bCs/>
          <w:sz w:val="20"/>
          <w:szCs w:val="20"/>
        </w:rPr>
        <w:t>ASTM D854</w:t>
      </w:r>
      <w:r w:rsidR="00E24915" w:rsidRPr="00E24915">
        <w:t xml:space="preserve"> </w:t>
      </w:r>
      <w:r w:rsidR="00E24915" w:rsidRPr="00E24915">
        <w:rPr>
          <w:rFonts w:ascii="Arial" w:eastAsia="Times New Roman" w:hAnsi="Arial" w:cs="Arial"/>
          <w:bCs/>
          <w:sz w:val="20"/>
          <w:szCs w:val="20"/>
        </w:rPr>
        <w:t>maximum and minimum index densities (ASTM D4253 and ASTM D4254), Atterberg limits (ASTM D4318), and natural water content (ASTM D2216)</w:t>
      </w:r>
      <w:r w:rsidR="00E24915">
        <w:rPr>
          <w:rFonts w:ascii="Arial" w:eastAsia="Times New Roman" w:hAnsi="Arial" w:cs="Arial"/>
          <w:bCs/>
          <w:sz w:val="20"/>
          <w:szCs w:val="20"/>
        </w:rPr>
        <w:t>.</w:t>
      </w:r>
    </w:p>
    <w:p w14:paraId="0B9F7923" w14:textId="77777777" w:rsidR="008D7808" w:rsidRPr="00642264" w:rsidRDefault="00D254D7" w:rsidP="00E86F04">
      <w:pPr>
        <w:spacing w:beforeLines="60" w:before="144" w:afterLines="60" w:after="144" w:line="240" w:lineRule="auto"/>
        <w:ind w:left="0" w:hanging="2"/>
        <w:jc w:val="both"/>
        <w:outlineLvl w:val="2"/>
        <w:rPr>
          <w:rFonts w:ascii="Arial" w:eastAsia="Times New Roman" w:hAnsi="Arial" w:cs="Arial"/>
          <w:bCs/>
          <w:sz w:val="20"/>
          <w:szCs w:val="20"/>
        </w:rPr>
      </w:pPr>
      <w:r w:rsidRPr="00D254D7">
        <w:rPr>
          <w:rFonts w:ascii="Arial" w:eastAsia="Times New Roman" w:hAnsi="Arial" w:cs="Arial"/>
          <w:bCs/>
          <w:sz w:val="20"/>
          <w:szCs w:val="20"/>
        </w:rPr>
        <w:t>The grain size curves are presented in Figure 2, and the index properties are summarized in Table 1.</w:t>
      </w:r>
    </w:p>
    <w:p w14:paraId="7FF6E4CA" w14:textId="77777777" w:rsidR="008D7808" w:rsidRPr="00642264" w:rsidRDefault="008D7808" w:rsidP="004841C9">
      <w:pPr>
        <w:spacing w:before="60" w:after="60" w:line="240" w:lineRule="auto"/>
        <w:ind w:left="0" w:hanging="2"/>
        <w:jc w:val="both"/>
        <w:outlineLvl w:val="2"/>
        <w:rPr>
          <w:rFonts w:ascii="Arial" w:eastAsia="Times New Roman" w:hAnsi="Arial" w:cs="Arial"/>
          <w:bCs/>
          <w:sz w:val="20"/>
          <w:szCs w:val="20"/>
        </w:rPr>
      </w:pPr>
      <w:r w:rsidRPr="00642264">
        <w:rPr>
          <w:rFonts w:ascii="Arial" w:eastAsia="Times New Roman" w:hAnsi="Arial" w:cs="Arial"/>
          <w:bCs/>
          <w:sz w:val="20"/>
          <w:szCs w:val="20"/>
        </w:rPr>
        <w:lastRenderedPageBreak/>
        <w:t>Two groups of soils were identified:</w:t>
      </w:r>
    </w:p>
    <w:p w14:paraId="3DB4189D" w14:textId="77777777" w:rsidR="008D7808" w:rsidRPr="008D7808" w:rsidRDefault="008D7808" w:rsidP="004841C9">
      <w:pPr>
        <w:pStyle w:val="ListParagraph"/>
        <w:numPr>
          <w:ilvl w:val="0"/>
          <w:numId w:val="4"/>
        </w:numPr>
        <w:suppressAutoHyphens w:val="0"/>
        <w:spacing w:before="60" w:after="60" w:line="240" w:lineRule="auto"/>
        <w:ind w:leftChars="0" w:left="283" w:firstLineChars="0" w:hanging="215"/>
        <w:contextualSpacing w:val="0"/>
        <w:jc w:val="both"/>
        <w:textDirection w:val="lrTb"/>
        <w:textAlignment w:val="auto"/>
        <w:outlineLvl w:val="2"/>
        <w:rPr>
          <w:rFonts w:ascii="Arial" w:eastAsia="Times New Roman" w:hAnsi="Arial" w:cs="Arial"/>
          <w:bCs/>
          <w:sz w:val="20"/>
          <w:szCs w:val="20"/>
        </w:rPr>
      </w:pPr>
      <w:r w:rsidRPr="008D7808">
        <w:rPr>
          <w:rFonts w:ascii="Arial" w:eastAsia="Times New Roman" w:hAnsi="Arial" w:cs="Arial"/>
          <w:bCs/>
          <w:sz w:val="20"/>
          <w:szCs w:val="20"/>
        </w:rPr>
        <w:t>Low-fines sand (9%), approaching clean sand, obtained from Location A (Figures 1a and 1c).</w:t>
      </w:r>
    </w:p>
    <w:p w14:paraId="412102FF" w14:textId="77777777" w:rsidR="004841C9" w:rsidRPr="004841C9" w:rsidRDefault="008D7808" w:rsidP="004841C9">
      <w:pPr>
        <w:pStyle w:val="ListParagraph"/>
        <w:numPr>
          <w:ilvl w:val="0"/>
          <w:numId w:val="4"/>
        </w:numPr>
        <w:suppressAutoHyphens w:val="0"/>
        <w:spacing w:before="60" w:after="60" w:line="240" w:lineRule="auto"/>
        <w:ind w:leftChars="0" w:left="283" w:firstLineChars="0" w:hanging="215"/>
        <w:contextualSpacing w:val="0"/>
        <w:jc w:val="both"/>
        <w:textDirection w:val="lrTb"/>
        <w:textAlignment w:val="auto"/>
        <w:outlineLvl w:val="2"/>
        <w:rPr>
          <w:rFonts w:ascii="Arial" w:eastAsia="Times New Roman" w:hAnsi="Arial" w:cs="Arial"/>
          <w:b/>
          <w:bCs/>
          <w:sz w:val="20"/>
          <w:szCs w:val="20"/>
        </w:rPr>
      </w:pPr>
      <w:r w:rsidRPr="008D7808">
        <w:rPr>
          <w:rFonts w:ascii="Arial" w:eastAsia="Times New Roman" w:hAnsi="Arial" w:cs="Arial"/>
          <w:bCs/>
          <w:sz w:val="20"/>
          <w:szCs w:val="20"/>
        </w:rPr>
        <w:t>High-fines sand (26</w:t>
      </w:r>
      <w:r w:rsidR="001F2DC3">
        <w:rPr>
          <w:rFonts w:ascii="Arial" w:eastAsia="Times New Roman" w:hAnsi="Arial" w:cs="Arial"/>
          <w:bCs/>
          <w:sz w:val="20"/>
          <w:szCs w:val="20"/>
        </w:rPr>
        <w:t>.4</w:t>
      </w:r>
      <w:r w:rsidRPr="008D7808">
        <w:rPr>
          <w:rFonts w:ascii="Arial" w:eastAsia="Times New Roman" w:hAnsi="Arial" w:cs="Arial"/>
          <w:bCs/>
          <w:sz w:val="20"/>
          <w:szCs w:val="20"/>
        </w:rPr>
        <w:t xml:space="preserve">%), classified as SC according to the Unified Soil Classification </w:t>
      </w:r>
    </w:p>
    <w:p w14:paraId="2A7CC0D0" w14:textId="77777777" w:rsidR="008D7808" w:rsidRDefault="008D7808" w:rsidP="004841C9">
      <w:pPr>
        <w:pStyle w:val="ListParagraph"/>
        <w:numPr>
          <w:ilvl w:val="0"/>
          <w:numId w:val="4"/>
        </w:numPr>
        <w:suppressAutoHyphens w:val="0"/>
        <w:spacing w:before="60" w:after="60" w:line="240" w:lineRule="auto"/>
        <w:ind w:leftChars="0" w:left="283" w:firstLineChars="0" w:hanging="215"/>
        <w:contextualSpacing w:val="0"/>
        <w:jc w:val="both"/>
        <w:textDirection w:val="lrTb"/>
        <w:textAlignment w:val="auto"/>
        <w:outlineLvl w:val="2"/>
        <w:rPr>
          <w:rFonts w:ascii="Arial" w:eastAsia="Times New Roman" w:hAnsi="Arial" w:cs="Arial"/>
          <w:b/>
          <w:bCs/>
          <w:sz w:val="20"/>
          <w:szCs w:val="20"/>
        </w:rPr>
      </w:pPr>
      <w:r w:rsidRPr="008D7808">
        <w:rPr>
          <w:rFonts w:ascii="Arial" w:eastAsia="Times New Roman" w:hAnsi="Arial" w:cs="Arial"/>
          <w:bCs/>
          <w:sz w:val="20"/>
          <w:szCs w:val="20"/>
        </w:rPr>
        <w:t>System (USCS). However, based on visual observation and mechanical behavior, this soil more closely resembles silty sand. It was obtained from Location B (Figures 1b and 1c</w:t>
      </w:r>
      <w:r w:rsidRPr="008D7808">
        <w:rPr>
          <w:rFonts w:ascii="Arial" w:eastAsia="Times New Roman" w:hAnsi="Arial" w:cs="Arial"/>
          <w:b/>
          <w:bCs/>
          <w:sz w:val="20"/>
          <w:szCs w:val="20"/>
        </w:rPr>
        <w:t>).</w:t>
      </w:r>
    </w:p>
    <w:p w14:paraId="0EFDACAE" w14:textId="77777777" w:rsidR="004841C9" w:rsidRDefault="004841C9" w:rsidP="004841C9">
      <w:pPr>
        <w:suppressAutoHyphens w:val="0"/>
        <w:spacing w:before="60" w:after="60" w:line="240" w:lineRule="auto"/>
        <w:ind w:leftChars="0" w:left="0" w:firstLineChars="0" w:firstLine="0"/>
        <w:jc w:val="both"/>
        <w:textDirection w:val="lrTb"/>
        <w:textAlignment w:val="auto"/>
        <w:outlineLvl w:val="2"/>
        <w:rPr>
          <w:rFonts w:ascii="Arial" w:eastAsia="Times New Roman" w:hAnsi="Arial" w:cs="Arial"/>
          <w:b/>
          <w:bCs/>
          <w:sz w:val="20"/>
          <w:szCs w:val="20"/>
        </w:rPr>
      </w:pPr>
    </w:p>
    <w:p w14:paraId="34D63CC5" w14:textId="77777777" w:rsidR="004841C9" w:rsidRPr="004841C9" w:rsidRDefault="004841C9" w:rsidP="004841C9">
      <w:pPr>
        <w:suppressAutoHyphens w:val="0"/>
        <w:spacing w:before="60" w:after="60" w:line="240" w:lineRule="auto"/>
        <w:ind w:leftChars="0" w:left="0" w:firstLineChars="0" w:firstLine="0"/>
        <w:jc w:val="both"/>
        <w:textDirection w:val="lrTb"/>
        <w:textAlignment w:val="auto"/>
        <w:outlineLvl w:val="2"/>
        <w:rPr>
          <w:rFonts w:ascii="Arial" w:eastAsia="Times New Roman" w:hAnsi="Arial" w:cs="Arial"/>
          <w:b/>
          <w:bCs/>
          <w:sz w:val="20"/>
          <w:szCs w:val="20"/>
        </w:rPr>
      </w:pPr>
    </w:p>
    <w:p w14:paraId="19E615D4" w14:textId="77777777" w:rsidR="006241FB" w:rsidRDefault="006241FB">
      <w:pPr>
        <w:spacing w:after="0" w:line="240" w:lineRule="auto"/>
        <w:ind w:left="0" w:hanging="2"/>
        <w:jc w:val="both"/>
        <w:rPr>
          <w:rFonts w:ascii="Arial" w:eastAsia="Arial" w:hAnsi="Arial" w:cs="Arial"/>
          <w:b/>
          <w:color w:val="1F4E79"/>
          <w:sz w:val="20"/>
          <w:szCs w:val="20"/>
        </w:rPr>
        <w:sectPr w:rsidR="006241FB" w:rsidSect="00FD660B">
          <w:type w:val="continuous"/>
          <w:pgSz w:w="11907" w:h="16840"/>
          <w:pgMar w:top="1701" w:right="1134" w:bottom="1701" w:left="1701" w:header="680" w:footer="680" w:gutter="0"/>
          <w:cols w:num="2" w:space="720" w:equalWidth="0">
            <w:col w:w="4394" w:space="284"/>
            <w:col w:w="4394" w:space="0"/>
          </w:cols>
          <w:titlePg/>
        </w:sectPr>
      </w:pPr>
    </w:p>
    <w:p w14:paraId="2AE02BB3" w14:textId="77777777" w:rsidR="000953EF" w:rsidRDefault="00E86F04" w:rsidP="00150E37">
      <w:pPr>
        <w:pStyle w:val="ListParagraph"/>
        <w:spacing w:after="0" w:line="240" w:lineRule="auto"/>
        <w:ind w:left="0" w:hanging="2"/>
        <w:jc w:val="center"/>
        <w:rPr>
          <w:rFonts w:ascii="Arial" w:eastAsia="Times New Roman" w:hAnsi="Arial" w:cs="Arial"/>
          <w:b/>
          <w:bCs/>
          <w:iCs/>
          <w:sz w:val="20"/>
          <w:szCs w:val="20"/>
        </w:rPr>
      </w:pPr>
      <w:r w:rsidRPr="00E86F04">
        <w:rPr>
          <w:rFonts w:ascii="Arial" w:eastAsia="Times New Roman" w:hAnsi="Arial" w:cs="Arial"/>
          <w:b/>
          <w:bCs/>
          <w:iCs/>
          <w:noProof/>
          <w:sz w:val="20"/>
          <w:szCs w:val="20"/>
        </w:rPr>
        <w:drawing>
          <wp:inline distT="0" distB="0" distL="0" distR="0" wp14:anchorId="684E4CDB" wp14:editId="1EE76C6A">
            <wp:extent cx="5035550" cy="2543553"/>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131" t="1526" r="909" b="1700"/>
                    <a:stretch/>
                  </pic:blipFill>
                  <pic:spPr bwMode="auto">
                    <a:xfrm>
                      <a:off x="0" y="0"/>
                      <a:ext cx="5035550" cy="2543553"/>
                    </a:xfrm>
                    <a:prstGeom prst="rect">
                      <a:avLst/>
                    </a:prstGeom>
                    <a:noFill/>
                    <a:ln>
                      <a:noFill/>
                    </a:ln>
                    <a:extLst>
                      <a:ext uri="{53640926-AAD7-44D8-BBD7-CCE9431645EC}">
                        <a14:shadowObscured xmlns:a14="http://schemas.microsoft.com/office/drawing/2010/main"/>
                      </a:ext>
                    </a:extLst>
                  </pic:spPr>
                </pic:pic>
              </a:graphicData>
            </a:graphic>
          </wp:inline>
        </w:drawing>
      </w:r>
    </w:p>
    <w:p w14:paraId="74F94904" w14:textId="77777777" w:rsidR="008D7808" w:rsidRDefault="008D7808" w:rsidP="00150E37">
      <w:pPr>
        <w:pStyle w:val="ListParagraph"/>
        <w:spacing w:after="0" w:line="240" w:lineRule="auto"/>
        <w:ind w:left="0" w:hanging="2"/>
        <w:jc w:val="center"/>
        <w:rPr>
          <w:rFonts w:ascii="Arial" w:eastAsia="Times New Roman" w:hAnsi="Arial" w:cs="Arial"/>
          <w:iCs/>
          <w:sz w:val="20"/>
          <w:szCs w:val="20"/>
        </w:rPr>
      </w:pPr>
      <w:r w:rsidRPr="00CC523E">
        <w:rPr>
          <w:rFonts w:ascii="Arial" w:eastAsia="Times New Roman" w:hAnsi="Arial" w:cs="Arial"/>
          <w:b/>
          <w:bCs/>
          <w:iCs/>
          <w:sz w:val="20"/>
          <w:szCs w:val="20"/>
        </w:rPr>
        <w:t>Figure 2.</w:t>
      </w:r>
      <w:r w:rsidRPr="00CC523E">
        <w:rPr>
          <w:rFonts w:ascii="Arial" w:eastAsia="Times New Roman" w:hAnsi="Arial" w:cs="Arial"/>
          <w:iCs/>
          <w:sz w:val="20"/>
          <w:szCs w:val="20"/>
        </w:rPr>
        <w:t xml:space="preserve"> Grain size distribution of soil samples with fines content of 9% and 26.4%.</w:t>
      </w:r>
    </w:p>
    <w:p w14:paraId="1A731A3D" w14:textId="77777777" w:rsidR="006241FB" w:rsidRDefault="006241FB" w:rsidP="00150E37">
      <w:pPr>
        <w:pStyle w:val="ListParagraph"/>
        <w:spacing w:after="0" w:line="240" w:lineRule="auto"/>
        <w:ind w:left="0" w:hanging="2"/>
        <w:jc w:val="center"/>
        <w:rPr>
          <w:rFonts w:ascii="Arial" w:eastAsia="Times New Roman" w:hAnsi="Arial" w:cs="Arial"/>
          <w:iCs/>
          <w:sz w:val="20"/>
          <w:szCs w:val="20"/>
        </w:rPr>
      </w:pPr>
    </w:p>
    <w:p w14:paraId="4CC24C55" w14:textId="77777777" w:rsidR="006241FB" w:rsidRDefault="006241FB" w:rsidP="00150E37">
      <w:pPr>
        <w:pStyle w:val="ListParagraph"/>
        <w:spacing w:after="0" w:line="240" w:lineRule="auto"/>
        <w:ind w:left="0" w:hanging="2"/>
        <w:jc w:val="center"/>
        <w:rPr>
          <w:rFonts w:ascii="Arial" w:eastAsia="Times New Roman" w:hAnsi="Arial" w:cs="Arial"/>
          <w:iCs/>
          <w:sz w:val="20"/>
          <w:szCs w:val="20"/>
        </w:rPr>
      </w:pPr>
    </w:p>
    <w:p w14:paraId="54F73F3B" w14:textId="77777777" w:rsidR="006241FB" w:rsidRDefault="006241FB" w:rsidP="00150E37">
      <w:pPr>
        <w:pStyle w:val="ListParagraph"/>
        <w:spacing w:after="0" w:line="240" w:lineRule="auto"/>
        <w:ind w:left="0" w:hanging="2"/>
        <w:jc w:val="center"/>
        <w:rPr>
          <w:rFonts w:ascii="Arial" w:eastAsia="Times New Roman" w:hAnsi="Arial" w:cs="Arial"/>
          <w:iCs/>
          <w:sz w:val="20"/>
          <w:szCs w:val="20"/>
        </w:rPr>
        <w:sectPr w:rsidR="006241FB" w:rsidSect="006241FB">
          <w:type w:val="continuous"/>
          <w:pgSz w:w="11907" w:h="16840"/>
          <w:pgMar w:top="1701" w:right="1134" w:bottom="1701" w:left="1701" w:header="680" w:footer="680" w:gutter="0"/>
          <w:cols w:space="284"/>
          <w:titlePg/>
        </w:sectPr>
      </w:pPr>
    </w:p>
    <w:p w14:paraId="2C4198EB" w14:textId="77777777" w:rsidR="00150E37" w:rsidRPr="00EA74CA" w:rsidRDefault="00150E37" w:rsidP="006241FB">
      <w:pPr>
        <w:suppressAutoHyphens w:val="0"/>
        <w:spacing w:before="60" w:after="60" w:line="240" w:lineRule="auto"/>
        <w:ind w:leftChars="0" w:left="0" w:firstLineChars="0" w:firstLine="0"/>
        <w:jc w:val="center"/>
        <w:textDirection w:val="lrTb"/>
        <w:textAlignment w:val="auto"/>
        <w:outlineLvl w:val="9"/>
        <w:rPr>
          <w:rFonts w:ascii="Arial" w:eastAsia="Times New Roman" w:hAnsi="Arial" w:cs="Arial"/>
          <w:position w:val="0"/>
          <w:sz w:val="20"/>
          <w:szCs w:val="20"/>
        </w:rPr>
      </w:pPr>
      <w:r w:rsidRPr="00EA74CA">
        <w:rPr>
          <w:rFonts w:ascii="Arial" w:eastAsia="Times New Roman" w:hAnsi="Arial" w:cs="Arial"/>
          <w:bCs/>
          <w:position w:val="0"/>
          <w:sz w:val="20"/>
          <w:szCs w:val="20"/>
        </w:rPr>
        <w:t>Table 1.</w:t>
      </w:r>
      <w:r w:rsidRPr="00EA74CA">
        <w:rPr>
          <w:rFonts w:ascii="Arial" w:eastAsia="Times New Roman" w:hAnsi="Arial" w:cs="Arial"/>
          <w:position w:val="0"/>
          <w:sz w:val="20"/>
          <w:szCs w:val="20"/>
        </w:rPr>
        <w:t xml:space="preserve"> Index properties of Petobo sand samples with fines contents of 9% and 26.4%</w:t>
      </w:r>
    </w:p>
    <w:tbl>
      <w:tblPr>
        <w:tblStyle w:val="TableGrid2"/>
        <w:tblW w:w="45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352"/>
        <w:gridCol w:w="1352"/>
      </w:tblGrid>
      <w:tr w:rsidR="00CA746B" w:rsidRPr="00CA746B" w14:paraId="7B3D8E97" w14:textId="77777777" w:rsidTr="00923100">
        <w:trPr>
          <w:jc w:val="center"/>
        </w:trPr>
        <w:tc>
          <w:tcPr>
            <w:tcW w:w="1843" w:type="dxa"/>
            <w:tcBorders>
              <w:top w:val="single" w:sz="4" w:space="0" w:color="auto"/>
              <w:bottom w:val="single" w:sz="4" w:space="0" w:color="auto"/>
            </w:tcBorders>
            <w:vAlign w:val="center"/>
          </w:tcPr>
          <w:p w14:paraId="6B944B15" w14:textId="1B8DACA9" w:rsidR="00CA746B" w:rsidRPr="00D56EB9" w:rsidRDefault="00B80428" w:rsidP="00F22606">
            <w:pPr>
              <w:suppressAutoHyphens w:val="0"/>
              <w:ind w:leftChars="0" w:left="26" w:right="281" w:firstLineChars="0" w:firstLine="0"/>
              <w:jc w:val="center"/>
              <w:textDirection w:val="lrTb"/>
              <w:textAlignment w:val="auto"/>
              <w:outlineLvl w:val="9"/>
              <w:rPr>
                <w:rFonts w:ascii="Arial" w:hAnsi="Arial" w:cs="Arial"/>
                <w:b/>
                <w:color w:val="000000"/>
                <w:position w:val="0"/>
                <w:sz w:val="20"/>
                <w:szCs w:val="20"/>
              </w:rPr>
            </w:pPr>
            <w:r w:rsidRPr="00B80428">
              <w:rPr>
                <w:rFonts w:ascii="Arial" w:hAnsi="Arial" w:cs="Arial"/>
                <w:b/>
                <w:color w:val="000000"/>
                <w:position w:val="0"/>
                <w:sz w:val="20"/>
                <w:szCs w:val="20"/>
              </w:rPr>
              <w:t>Index Properties</w:t>
            </w:r>
          </w:p>
        </w:tc>
        <w:tc>
          <w:tcPr>
            <w:tcW w:w="1352" w:type="dxa"/>
            <w:tcBorders>
              <w:top w:val="single" w:sz="4" w:space="0" w:color="auto"/>
              <w:bottom w:val="single" w:sz="4" w:space="0" w:color="auto"/>
            </w:tcBorders>
            <w:vAlign w:val="center"/>
          </w:tcPr>
          <w:p w14:paraId="33114B0F" w14:textId="2CCF6307" w:rsidR="00CA746B" w:rsidRPr="00D56EB9" w:rsidRDefault="00CA746B" w:rsidP="00F22606">
            <w:pPr>
              <w:suppressAutoHyphens w:val="0"/>
              <w:ind w:leftChars="0" w:left="26" w:right="281" w:firstLineChars="0" w:firstLine="0"/>
              <w:jc w:val="center"/>
              <w:textDirection w:val="lrTb"/>
              <w:textAlignment w:val="auto"/>
              <w:outlineLvl w:val="9"/>
              <w:rPr>
                <w:rFonts w:ascii="Arial" w:hAnsi="Arial" w:cs="Arial"/>
                <w:b/>
                <w:color w:val="000000"/>
                <w:position w:val="0"/>
                <w:sz w:val="20"/>
                <w:szCs w:val="20"/>
              </w:rPr>
            </w:pPr>
            <w:r w:rsidRPr="00D56EB9">
              <w:rPr>
                <w:rFonts w:ascii="Arial" w:hAnsi="Arial" w:cs="Arial"/>
                <w:b/>
                <w:color w:val="000000"/>
                <w:position w:val="0"/>
                <w:sz w:val="20"/>
                <w:szCs w:val="20"/>
              </w:rPr>
              <w:t>Samp</w:t>
            </w:r>
            <w:r w:rsidR="00B80428">
              <w:rPr>
                <w:rFonts w:ascii="Arial" w:hAnsi="Arial" w:cs="Arial"/>
                <w:b/>
                <w:color w:val="000000"/>
                <w:position w:val="0"/>
                <w:sz w:val="20"/>
                <w:szCs w:val="20"/>
              </w:rPr>
              <w:t>l</w:t>
            </w:r>
            <w:r w:rsidRPr="00D56EB9">
              <w:rPr>
                <w:rFonts w:ascii="Arial" w:hAnsi="Arial" w:cs="Arial"/>
                <w:b/>
                <w:color w:val="000000"/>
                <w:position w:val="0"/>
                <w:sz w:val="20"/>
                <w:szCs w:val="20"/>
              </w:rPr>
              <w:t>e A</w:t>
            </w:r>
          </w:p>
        </w:tc>
        <w:tc>
          <w:tcPr>
            <w:tcW w:w="0" w:type="auto"/>
            <w:tcBorders>
              <w:top w:val="single" w:sz="4" w:space="0" w:color="auto"/>
              <w:bottom w:val="single" w:sz="4" w:space="0" w:color="auto"/>
            </w:tcBorders>
            <w:vAlign w:val="center"/>
          </w:tcPr>
          <w:p w14:paraId="39793D9D" w14:textId="2543A0C7" w:rsidR="00CA746B" w:rsidRPr="00D56EB9" w:rsidRDefault="00CA746B" w:rsidP="00F22606">
            <w:pPr>
              <w:suppressAutoHyphens w:val="0"/>
              <w:ind w:leftChars="0" w:left="26" w:right="281" w:firstLineChars="0" w:firstLine="0"/>
              <w:jc w:val="center"/>
              <w:textDirection w:val="lrTb"/>
              <w:textAlignment w:val="auto"/>
              <w:outlineLvl w:val="9"/>
              <w:rPr>
                <w:rFonts w:ascii="Arial" w:hAnsi="Arial" w:cs="Arial"/>
                <w:b/>
                <w:color w:val="000000"/>
                <w:position w:val="0"/>
                <w:sz w:val="20"/>
                <w:szCs w:val="20"/>
              </w:rPr>
            </w:pPr>
            <w:r w:rsidRPr="00D56EB9">
              <w:rPr>
                <w:rFonts w:ascii="Arial" w:hAnsi="Arial" w:cs="Arial"/>
                <w:b/>
                <w:color w:val="000000"/>
                <w:position w:val="0"/>
                <w:sz w:val="20"/>
                <w:szCs w:val="20"/>
              </w:rPr>
              <w:t>Samp</w:t>
            </w:r>
            <w:r w:rsidR="00B80428">
              <w:rPr>
                <w:rFonts w:ascii="Arial" w:hAnsi="Arial" w:cs="Arial"/>
                <w:b/>
                <w:color w:val="000000"/>
                <w:position w:val="0"/>
                <w:sz w:val="20"/>
                <w:szCs w:val="20"/>
              </w:rPr>
              <w:t>l</w:t>
            </w:r>
            <w:r w:rsidRPr="00D56EB9">
              <w:rPr>
                <w:rFonts w:ascii="Arial" w:hAnsi="Arial" w:cs="Arial"/>
                <w:b/>
                <w:color w:val="000000"/>
                <w:position w:val="0"/>
                <w:sz w:val="20"/>
                <w:szCs w:val="20"/>
              </w:rPr>
              <w:t>e B</w:t>
            </w:r>
          </w:p>
        </w:tc>
      </w:tr>
      <w:tr w:rsidR="00CA746B" w:rsidRPr="00CA746B" w14:paraId="3BE668B6" w14:textId="77777777" w:rsidTr="00923100">
        <w:trPr>
          <w:jc w:val="center"/>
        </w:trPr>
        <w:tc>
          <w:tcPr>
            <w:tcW w:w="1843" w:type="dxa"/>
            <w:tcBorders>
              <w:top w:val="single" w:sz="4" w:space="0" w:color="auto"/>
            </w:tcBorders>
          </w:tcPr>
          <w:p w14:paraId="03943FE7" w14:textId="77777777" w:rsidR="00CA746B" w:rsidRPr="00923100" w:rsidRDefault="00D56EB9" w:rsidP="00F22606">
            <w:pPr>
              <w:tabs>
                <w:tab w:val="left" w:pos="1177"/>
              </w:tabs>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i/>
                <w:color w:val="000000"/>
                <w:position w:val="0"/>
                <w:sz w:val="18"/>
                <w:szCs w:val="18"/>
              </w:rPr>
              <w:t>Gs</w:t>
            </w:r>
          </w:p>
        </w:tc>
        <w:tc>
          <w:tcPr>
            <w:tcW w:w="1352" w:type="dxa"/>
            <w:tcBorders>
              <w:top w:val="single" w:sz="4" w:space="0" w:color="auto"/>
            </w:tcBorders>
          </w:tcPr>
          <w:p w14:paraId="69643CEF"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2,7</w:t>
            </w:r>
          </w:p>
        </w:tc>
        <w:tc>
          <w:tcPr>
            <w:tcW w:w="0" w:type="auto"/>
            <w:tcBorders>
              <w:top w:val="single" w:sz="4" w:space="0" w:color="auto"/>
            </w:tcBorders>
          </w:tcPr>
          <w:p w14:paraId="4582899F" w14:textId="77777777" w:rsidR="00CA746B" w:rsidRPr="00923100" w:rsidRDefault="00923100"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2,69</w:t>
            </w:r>
          </w:p>
        </w:tc>
      </w:tr>
      <w:tr w:rsidR="00CA746B" w:rsidRPr="00CA746B" w14:paraId="64E4C7B7" w14:textId="77777777" w:rsidTr="00923100">
        <w:trPr>
          <w:jc w:val="center"/>
        </w:trPr>
        <w:tc>
          <w:tcPr>
            <w:tcW w:w="1843" w:type="dxa"/>
          </w:tcPr>
          <w:p w14:paraId="114BE0B1" w14:textId="77777777" w:rsidR="00CA746B" w:rsidRPr="00923100" w:rsidRDefault="00CA746B" w:rsidP="00F22606">
            <w:pPr>
              <w:tabs>
                <w:tab w:val="left" w:pos="1177"/>
              </w:tabs>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Gravel (%)</w:t>
            </w:r>
          </w:p>
        </w:tc>
        <w:tc>
          <w:tcPr>
            <w:tcW w:w="1352" w:type="dxa"/>
          </w:tcPr>
          <w:p w14:paraId="26F7A039"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0</w:t>
            </w:r>
          </w:p>
        </w:tc>
        <w:tc>
          <w:tcPr>
            <w:tcW w:w="0" w:type="auto"/>
          </w:tcPr>
          <w:p w14:paraId="04CA6DD9"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0</w:t>
            </w:r>
          </w:p>
        </w:tc>
      </w:tr>
      <w:tr w:rsidR="00CA746B" w:rsidRPr="00CA746B" w14:paraId="784E49F6" w14:textId="77777777" w:rsidTr="00923100">
        <w:trPr>
          <w:jc w:val="center"/>
        </w:trPr>
        <w:tc>
          <w:tcPr>
            <w:tcW w:w="1843" w:type="dxa"/>
          </w:tcPr>
          <w:p w14:paraId="37CEA5ED" w14:textId="77777777" w:rsidR="00CA746B" w:rsidRPr="00923100" w:rsidRDefault="00CA746B" w:rsidP="00F22606">
            <w:pPr>
              <w:suppressAutoHyphens w:val="0"/>
              <w:ind w:leftChars="0" w:left="26" w:right="160"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Coarse Sand (%)</w:t>
            </w:r>
          </w:p>
        </w:tc>
        <w:tc>
          <w:tcPr>
            <w:tcW w:w="1352" w:type="dxa"/>
          </w:tcPr>
          <w:p w14:paraId="0DC044E6"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1,17</w:t>
            </w:r>
          </w:p>
        </w:tc>
        <w:tc>
          <w:tcPr>
            <w:tcW w:w="0" w:type="auto"/>
          </w:tcPr>
          <w:p w14:paraId="241FF031" w14:textId="77777777" w:rsidR="00CA746B" w:rsidRPr="00923100" w:rsidRDefault="00923100"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0,09</w:t>
            </w:r>
          </w:p>
        </w:tc>
      </w:tr>
      <w:tr w:rsidR="00CA746B" w:rsidRPr="00CA746B" w14:paraId="7620DCA3" w14:textId="77777777" w:rsidTr="00923100">
        <w:trPr>
          <w:jc w:val="center"/>
        </w:trPr>
        <w:tc>
          <w:tcPr>
            <w:tcW w:w="1843" w:type="dxa"/>
          </w:tcPr>
          <w:p w14:paraId="6E784B1D" w14:textId="77777777" w:rsidR="00CA746B" w:rsidRPr="00923100" w:rsidRDefault="00CA746B" w:rsidP="00F22606">
            <w:pPr>
              <w:suppressAutoHyphens w:val="0"/>
              <w:ind w:leftChars="0" w:left="26" w:right="160"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Medium Sand (%)</w:t>
            </w:r>
          </w:p>
        </w:tc>
        <w:tc>
          <w:tcPr>
            <w:tcW w:w="1352" w:type="dxa"/>
          </w:tcPr>
          <w:p w14:paraId="17E69558"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39,58</w:t>
            </w:r>
          </w:p>
        </w:tc>
        <w:tc>
          <w:tcPr>
            <w:tcW w:w="0" w:type="auto"/>
          </w:tcPr>
          <w:p w14:paraId="03FC038D"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13</w:t>
            </w:r>
          </w:p>
        </w:tc>
      </w:tr>
      <w:tr w:rsidR="00CA746B" w:rsidRPr="00CA746B" w14:paraId="21E7118F" w14:textId="77777777" w:rsidTr="00923100">
        <w:trPr>
          <w:jc w:val="center"/>
        </w:trPr>
        <w:tc>
          <w:tcPr>
            <w:tcW w:w="1843" w:type="dxa"/>
          </w:tcPr>
          <w:p w14:paraId="65BD3DB1" w14:textId="77777777" w:rsidR="00CA746B" w:rsidRPr="00923100" w:rsidRDefault="00CA746B" w:rsidP="00F22606">
            <w:pPr>
              <w:tabs>
                <w:tab w:val="left" w:pos="1177"/>
              </w:tabs>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Fine Sand (%)</w:t>
            </w:r>
          </w:p>
        </w:tc>
        <w:tc>
          <w:tcPr>
            <w:tcW w:w="1352" w:type="dxa"/>
          </w:tcPr>
          <w:p w14:paraId="27F49F78"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50,25</w:t>
            </w:r>
          </w:p>
        </w:tc>
        <w:tc>
          <w:tcPr>
            <w:tcW w:w="0" w:type="auto"/>
          </w:tcPr>
          <w:p w14:paraId="6E969535"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59</w:t>
            </w:r>
          </w:p>
        </w:tc>
      </w:tr>
      <w:tr w:rsidR="00CA746B" w:rsidRPr="00CA746B" w14:paraId="7B49AB10" w14:textId="77777777" w:rsidTr="00923100">
        <w:trPr>
          <w:jc w:val="center"/>
        </w:trPr>
        <w:tc>
          <w:tcPr>
            <w:tcW w:w="1843" w:type="dxa"/>
          </w:tcPr>
          <w:p w14:paraId="389965CE" w14:textId="77777777" w:rsidR="00CA746B" w:rsidRPr="00923100" w:rsidRDefault="00CA746B" w:rsidP="00F22606">
            <w:pPr>
              <w:tabs>
                <w:tab w:val="left" w:pos="1177"/>
              </w:tabs>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Fines Content</w:t>
            </w:r>
          </w:p>
        </w:tc>
        <w:tc>
          <w:tcPr>
            <w:tcW w:w="1352" w:type="dxa"/>
          </w:tcPr>
          <w:p w14:paraId="6FE354EB"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9,01</w:t>
            </w:r>
          </w:p>
        </w:tc>
        <w:tc>
          <w:tcPr>
            <w:tcW w:w="0" w:type="auto"/>
          </w:tcPr>
          <w:p w14:paraId="7F3DA757"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26</w:t>
            </w:r>
          </w:p>
        </w:tc>
      </w:tr>
      <w:tr w:rsidR="00CA746B" w:rsidRPr="00CA746B" w14:paraId="6C8590D1" w14:textId="77777777" w:rsidTr="00923100">
        <w:trPr>
          <w:jc w:val="center"/>
        </w:trPr>
        <w:tc>
          <w:tcPr>
            <w:tcW w:w="1843" w:type="dxa"/>
          </w:tcPr>
          <w:p w14:paraId="54348BC2" w14:textId="77777777" w:rsidR="00CA746B" w:rsidRPr="00923100" w:rsidRDefault="00CA746B" w:rsidP="00F22606">
            <w:pPr>
              <w:tabs>
                <w:tab w:val="left" w:pos="1177"/>
              </w:tabs>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i/>
                <w:color w:val="000000"/>
                <w:position w:val="0"/>
                <w:sz w:val="18"/>
                <w:szCs w:val="18"/>
              </w:rPr>
              <w:t>D</w:t>
            </w:r>
            <w:r w:rsidRPr="00923100">
              <w:rPr>
                <w:rFonts w:ascii="Arial" w:hAnsi="Arial" w:cs="Arial"/>
                <w:i/>
                <w:color w:val="000000"/>
                <w:position w:val="0"/>
                <w:sz w:val="18"/>
                <w:szCs w:val="18"/>
                <w:vertAlign w:val="subscript"/>
              </w:rPr>
              <w:t>50</w:t>
            </w:r>
            <w:r w:rsidRPr="00923100">
              <w:rPr>
                <w:rFonts w:ascii="Arial" w:hAnsi="Arial" w:cs="Arial"/>
                <w:color w:val="000000"/>
                <w:position w:val="0"/>
                <w:sz w:val="18"/>
                <w:szCs w:val="18"/>
                <w:vertAlign w:val="subscript"/>
              </w:rPr>
              <w:t xml:space="preserve"> </w:t>
            </w:r>
            <w:r w:rsidRPr="00923100">
              <w:rPr>
                <w:rFonts w:ascii="Arial" w:hAnsi="Arial" w:cs="Arial"/>
                <w:color w:val="000000"/>
                <w:position w:val="0"/>
                <w:sz w:val="18"/>
                <w:szCs w:val="18"/>
              </w:rPr>
              <w:t>(mm)</w:t>
            </w:r>
          </w:p>
        </w:tc>
        <w:tc>
          <w:tcPr>
            <w:tcW w:w="1352" w:type="dxa"/>
          </w:tcPr>
          <w:p w14:paraId="7EE2708F" w14:textId="77777777" w:rsidR="00CA746B" w:rsidRPr="00923100" w:rsidRDefault="00923100"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0,32</w:t>
            </w:r>
          </w:p>
        </w:tc>
        <w:tc>
          <w:tcPr>
            <w:tcW w:w="0" w:type="auto"/>
          </w:tcPr>
          <w:p w14:paraId="50050B0B"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0,15</w:t>
            </w:r>
          </w:p>
        </w:tc>
      </w:tr>
      <w:tr w:rsidR="00CA746B" w:rsidRPr="00CA746B" w14:paraId="586FB1BF" w14:textId="77777777" w:rsidTr="00923100">
        <w:trPr>
          <w:jc w:val="center"/>
        </w:trPr>
        <w:tc>
          <w:tcPr>
            <w:tcW w:w="1843" w:type="dxa"/>
          </w:tcPr>
          <w:p w14:paraId="5B118A60" w14:textId="77777777" w:rsidR="00CA746B" w:rsidRPr="00923100" w:rsidRDefault="00CA746B" w:rsidP="00F22606">
            <w:pPr>
              <w:tabs>
                <w:tab w:val="left" w:pos="1177"/>
              </w:tabs>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i/>
                <w:color w:val="000000"/>
                <w:position w:val="0"/>
                <w:sz w:val="18"/>
                <w:szCs w:val="18"/>
              </w:rPr>
              <w:t>D</w:t>
            </w:r>
            <w:r w:rsidRPr="00923100">
              <w:rPr>
                <w:rFonts w:ascii="Arial" w:hAnsi="Arial" w:cs="Arial"/>
                <w:i/>
                <w:color w:val="000000"/>
                <w:position w:val="0"/>
                <w:sz w:val="18"/>
                <w:szCs w:val="18"/>
                <w:vertAlign w:val="subscript"/>
              </w:rPr>
              <w:t>10</w:t>
            </w:r>
            <w:r w:rsidRPr="00923100">
              <w:rPr>
                <w:rFonts w:ascii="Arial" w:hAnsi="Arial" w:cs="Arial"/>
                <w:color w:val="000000"/>
                <w:position w:val="0"/>
                <w:sz w:val="18"/>
                <w:szCs w:val="18"/>
                <w:vertAlign w:val="subscript"/>
              </w:rPr>
              <w:t xml:space="preserve"> </w:t>
            </w:r>
            <w:r w:rsidRPr="00923100">
              <w:rPr>
                <w:rFonts w:ascii="Arial" w:hAnsi="Arial" w:cs="Arial"/>
                <w:color w:val="000000"/>
                <w:position w:val="0"/>
                <w:sz w:val="18"/>
                <w:szCs w:val="18"/>
              </w:rPr>
              <w:t>(mm)</w:t>
            </w:r>
          </w:p>
        </w:tc>
        <w:tc>
          <w:tcPr>
            <w:tcW w:w="1352" w:type="dxa"/>
          </w:tcPr>
          <w:p w14:paraId="4AF666CE" w14:textId="77777777" w:rsidR="00CA746B" w:rsidRPr="00923100" w:rsidRDefault="00923100"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0,08</w:t>
            </w:r>
          </w:p>
        </w:tc>
        <w:tc>
          <w:tcPr>
            <w:tcW w:w="0" w:type="auto"/>
          </w:tcPr>
          <w:p w14:paraId="69D2D62F" w14:textId="77777777" w:rsidR="00CA746B" w:rsidRPr="00923100" w:rsidRDefault="00923100"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0,02</w:t>
            </w:r>
          </w:p>
        </w:tc>
      </w:tr>
      <w:tr w:rsidR="00CA746B" w:rsidRPr="00CA746B" w14:paraId="20AB08CD" w14:textId="77777777" w:rsidTr="00923100">
        <w:trPr>
          <w:jc w:val="center"/>
        </w:trPr>
        <w:tc>
          <w:tcPr>
            <w:tcW w:w="1843" w:type="dxa"/>
          </w:tcPr>
          <w:p w14:paraId="5002E313" w14:textId="77777777" w:rsidR="00CA746B" w:rsidRPr="00923100" w:rsidRDefault="00CA746B" w:rsidP="00F22606">
            <w:pPr>
              <w:tabs>
                <w:tab w:val="left" w:pos="1177"/>
              </w:tabs>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i/>
                <w:color w:val="000000"/>
                <w:position w:val="0"/>
                <w:sz w:val="18"/>
                <w:szCs w:val="18"/>
              </w:rPr>
              <w:t>D</w:t>
            </w:r>
            <w:r w:rsidRPr="00923100">
              <w:rPr>
                <w:rFonts w:ascii="Arial" w:hAnsi="Arial" w:cs="Arial"/>
                <w:i/>
                <w:color w:val="000000"/>
                <w:position w:val="0"/>
                <w:sz w:val="18"/>
                <w:szCs w:val="18"/>
                <w:vertAlign w:val="subscript"/>
              </w:rPr>
              <w:t>30</w:t>
            </w:r>
            <w:r w:rsidRPr="00923100">
              <w:rPr>
                <w:rFonts w:ascii="Arial" w:hAnsi="Arial" w:cs="Arial"/>
                <w:color w:val="000000"/>
                <w:position w:val="0"/>
                <w:sz w:val="18"/>
                <w:szCs w:val="18"/>
                <w:vertAlign w:val="subscript"/>
              </w:rPr>
              <w:t xml:space="preserve"> </w:t>
            </w:r>
            <w:r w:rsidRPr="00923100">
              <w:rPr>
                <w:rFonts w:ascii="Arial" w:hAnsi="Arial" w:cs="Arial"/>
                <w:color w:val="000000"/>
                <w:position w:val="0"/>
                <w:sz w:val="18"/>
                <w:szCs w:val="18"/>
              </w:rPr>
              <w:t>(mm)</w:t>
            </w:r>
          </w:p>
        </w:tc>
        <w:tc>
          <w:tcPr>
            <w:tcW w:w="1352" w:type="dxa"/>
          </w:tcPr>
          <w:p w14:paraId="19CE1EF4" w14:textId="77777777" w:rsidR="00CA746B" w:rsidRPr="00923100" w:rsidRDefault="00923100"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0,18</w:t>
            </w:r>
          </w:p>
        </w:tc>
        <w:tc>
          <w:tcPr>
            <w:tcW w:w="0" w:type="auto"/>
          </w:tcPr>
          <w:p w14:paraId="13864252"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0,09</w:t>
            </w:r>
          </w:p>
        </w:tc>
      </w:tr>
      <w:tr w:rsidR="00CA746B" w:rsidRPr="00CA746B" w14:paraId="0EE96590" w14:textId="77777777" w:rsidTr="00923100">
        <w:trPr>
          <w:jc w:val="center"/>
        </w:trPr>
        <w:tc>
          <w:tcPr>
            <w:tcW w:w="1843" w:type="dxa"/>
          </w:tcPr>
          <w:p w14:paraId="5C7D5F1C" w14:textId="77777777" w:rsidR="00CA746B" w:rsidRPr="00923100" w:rsidRDefault="00CA746B" w:rsidP="00F22606">
            <w:pPr>
              <w:tabs>
                <w:tab w:val="left" w:pos="1177"/>
              </w:tabs>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i/>
                <w:color w:val="000000"/>
                <w:position w:val="0"/>
                <w:sz w:val="18"/>
                <w:szCs w:val="18"/>
              </w:rPr>
              <w:t>D</w:t>
            </w:r>
            <w:r w:rsidRPr="00923100">
              <w:rPr>
                <w:rFonts w:ascii="Arial" w:hAnsi="Arial" w:cs="Arial"/>
                <w:i/>
                <w:color w:val="000000"/>
                <w:position w:val="0"/>
                <w:sz w:val="18"/>
                <w:szCs w:val="18"/>
                <w:vertAlign w:val="subscript"/>
              </w:rPr>
              <w:t>60</w:t>
            </w:r>
            <w:r w:rsidRPr="00923100">
              <w:rPr>
                <w:rFonts w:ascii="Arial" w:hAnsi="Arial" w:cs="Arial"/>
                <w:color w:val="000000"/>
                <w:position w:val="0"/>
                <w:sz w:val="18"/>
                <w:szCs w:val="18"/>
                <w:vertAlign w:val="subscript"/>
              </w:rPr>
              <w:t xml:space="preserve"> </w:t>
            </w:r>
            <w:r w:rsidRPr="00923100">
              <w:rPr>
                <w:rFonts w:ascii="Arial" w:hAnsi="Arial" w:cs="Arial"/>
                <w:color w:val="000000"/>
                <w:position w:val="0"/>
                <w:sz w:val="18"/>
                <w:szCs w:val="18"/>
              </w:rPr>
              <w:t>(mm)</w:t>
            </w:r>
          </w:p>
        </w:tc>
        <w:tc>
          <w:tcPr>
            <w:tcW w:w="1352" w:type="dxa"/>
          </w:tcPr>
          <w:p w14:paraId="50B6AFAE" w14:textId="77777777" w:rsidR="00CA746B" w:rsidRPr="00923100" w:rsidRDefault="00923100"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0,35</w:t>
            </w:r>
          </w:p>
        </w:tc>
        <w:tc>
          <w:tcPr>
            <w:tcW w:w="0" w:type="auto"/>
          </w:tcPr>
          <w:p w14:paraId="0B7E7F61"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0,18</w:t>
            </w:r>
          </w:p>
        </w:tc>
      </w:tr>
      <w:tr w:rsidR="00CA746B" w:rsidRPr="00CA746B" w14:paraId="31BFB308" w14:textId="77777777" w:rsidTr="00923100">
        <w:trPr>
          <w:jc w:val="center"/>
        </w:trPr>
        <w:tc>
          <w:tcPr>
            <w:tcW w:w="1843" w:type="dxa"/>
          </w:tcPr>
          <w:p w14:paraId="2AE9F711" w14:textId="77777777" w:rsidR="00CA746B" w:rsidRPr="00923100" w:rsidRDefault="00CA746B" w:rsidP="00F22606">
            <w:pPr>
              <w:tabs>
                <w:tab w:val="left" w:pos="1177"/>
              </w:tabs>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m:oMathPara>
              <m:oMath>
                <m:r>
                  <w:rPr>
                    <w:rFonts w:ascii="Cambria Math" w:hAnsi="Cambria Math" w:cs="Arial"/>
                    <w:color w:val="000000"/>
                    <w:position w:val="0"/>
                    <w:sz w:val="18"/>
                    <w:szCs w:val="18"/>
                  </w:rPr>
                  <m:t>Cc</m:t>
                </m:r>
              </m:oMath>
            </m:oMathPara>
          </w:p>
        </w:tc>
        <w:tc>
          <w:tcPr>
            <w:tcW w:w="1352" w:type="dxa"/>
          </w:tcPr>
          <w:p w14:paraId="6CB81207" w14:textId="77777777" w:rsidR="00CA746B" w:rsidRPr="00923100" w:rsidRDefault="00923100"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1,23</w:t>
            </w:r>
          </w:p>
        </w:tc>
        <w:tc>
          <w:tcPr>
            <w:tcW w:w="0" w:type="auto"/>
          </w:tcPr>
          <w:p w14:paraId="6C9881FD" w14:textId="77777777" w:rsidR="00CA746B" w:rsidRPr="00923100" w:rsidRDefault="00923100"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2,05</w:t>
            </w:r>
          </w:p>
        </w:tc>
      </w:tr>
      <w:tr w:rsidR="00CA746B" w:rsidRPr="00CA746B" w14:paraId="240D61B0" w14:textId="77777777" w:rsidTr="00923100">
        <w:trPr>
          <w:jc w:val="center"/>
        </w:trPr>
        <w:tc>
          <w:tcPr>
            <w:tcW w:w="1843" w:type="dxa"/>
          </w:tcPr>
          <w:p w14:paraId="224417F2" w14:textId="77777777" w:rsidR="00CA746B" w:rsidRPr="00923100" w:rsidRDefault="00CA746B" w:rsidP="00F22606">
            <w:pPr>
              <w:tabs>
                <w:tab w:val="left" w:pos="1177"/>
              </w:tabs>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m:oMathPara>
              <m:oMath>
                <m:r>
                  <w:rPr>
                    <w:rFonts w:ascii="Cambria Math" w:hAnsi="Cambria Math" w:cs="Arial"/>
                    <w:color w:val="000000"/>
                    <w:position w:val="0"/>
                    <w:sz w:val="18"/>
                    <w:szCs w:val="18"/>
                  </w:rPr>
                  <m:t>Cu</m:t>
                </m:r>
              </m:oMath>
            </m:oMathPara>
          </w:p>
        </w:tc>
        <w:tc>
          <w:tcPr>
            <w:tcW w:w="1352" w:type="dxa"/>
          </w:tcPr>
          <w:p w14:paraId="295750D1" w14:textId="77777777" w:rsidR="00CA746B" w:rsidRPr="00923100" w:rsidRDefault="00923100"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4,67</w:t>
            </w:r>
          </w:p>
        </w:tc>
        <w:tc>
          <w:tcPr>
            <w:tcW w:w="0" w:type="auto"/>
          </w:tcPr>
          <w:p w14:paraId="15C43AB8" w14:textId="77777777" w:rsidR="00CA746B" w:rsidRPr="00923100" w:rsidRDefault="00923100"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8,18</w:t>
            </w:r>
          </w:p>
        </w:tc>
      </w:tr>
      <w:tr w:rsidR="00CA746B" w:rsidRPr="00CA746B" w14:paraId="0D8B90C5" w14:textId="77777777" w:rsidTr="00923100">
        <w:trPr>
          <w:jc w:val="center"/>
        </w:trPr>
        <w:tc>
          <w:tcPr>
            <w:tcW w:w="1843" w:type="dxa"/>
          </w:tcPr>
          <w:p w14:paraId="3069634C" w14:textId="77777777" w:rsidR="00CA746B" w:rsidRPr="00923100" w:rsidRDefault="00CA746B" w:rsidP="006929DA">
            <w:pPr>
              <w:tabs>
                <w:tab w:val="left" w:pos="1177"/>
              </w:tabs>
              <w:suppressAutoHyphens w:val="0"/>
              <w:ind w:leftChars="0" w:left="26" w:right="180"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i/>
                <w:color w:val="000000"/>
                <w:position w:val="0"/>
                <w:sz w:val="18"/>
                <w:szCs w:val="18"/>
              </w:rPr>
              <w:t>PL</w:t>
            </w:r>
            <w:r w:rsidRPr="00923100">
              <w:rPr>
                <w:rFonts w:ascii="Arial" w:hAnsi="Arial" w:cs="Arial"/>
                <w:color w:val="000000"/>
                <w:position w:val="0"/>
                <w:sz w:val="18"/>
                <w:szCs w:val="18"/>
              </w:rPr>
              <w:t xml:space="preserve"> (%)</w:t>
            </w:r>
          </w:p>
        </w:tc>
        <w:tc>
          <w:tcPr>
            <w:tcW w:w="1352" w:type="dxa"/>
          </w:tcPr>
          <w:p w14:paraId="56132397"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NP</w:t>
            </w:r>
          </w:p>
        </w:tc>
        <w:tc>
          <w:tcPr>
            <w:tcW w:w="0" w:type="auto"/>
          </w:tcPr>
          <w:p w14:paraId="37492E8C"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20,65</w:t>
            </w:r>
          </w:p>
        </w:tc>
      </w:tr>
      <w:tr w:rsidR="00CA746B" w:rsidRPr="00CA746B" w14:paraId="64D2B4B9" w14:textId="77777777" w:rsidTr="00923100">
        <w:trPr>
          <w:jc w:val="center"/>
        </w:trPr>
        <w:tc>
          <w:tcPr>
            <w:tcW w:w="1843" w:type="dxa"/>
          </w:tcPr>
          <w:p w14:paraId="3E3D9C39" w14:textId="77777777" w:rsidR="00CA746B" w:rsidRPr="00923100" w:rsidRDefault="00CA746B" w:rsidP="006929DA">
            <w:pPr>
              <w:tabs>
                <w:tab w:val="left" w:pos="1450"/>
              </w:tabs>
              <w:suppressAutoHyphens w:val="0"/>
              <w:ind w:leftChars="0" w:left="26" w:right="180"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i/>
                <w:color w:val="000000"/>
                <w:position w:val="0"/>
                <w:sz w:val="18"/>
                <w:szCs w:val="18"/>
              </w:rPr>
              <w:t>PI</w:t>
            </w:r>
            <w:r w:rsidRPr="00923100">
              <w:rPr>
                <w:rFonts w:ascii="Arial" w:hAnsi="Arial" w:cs="Arial"/>
                <w:color w:val="000000"/>
                <w:position w:val="0"/>
                <w:sz w:val="18"/>
                <w:szCs w:val="18"/>
              </w:rPr>
              <w:t xml:space="preserve"> (%)</w:t>
            </w:r>
          </w:p>
        </w:tc>
        <w:tc>
          <w:tcPr>
            <w:tcW w:w="1352" w:type="dxa"/>
          </w:tcPr>
          <w:p w14:paraId="5C9F1B8F"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0</w:t>
            </w:r>
          </w:p>
        </w:tc>
        <w:tc>
          <w:tcPr>
            <w:tcW w:w="0" w:type="auto"/>
          </w:tcPr>
          <w:p w14:paraId="5EF12985"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13,65</w:t>
            </w:r>
          </w:p>
        </w:tc>
      </w:tr>
      <w:tr w:rsidR="00CA746B" w:rsidRPr="00CA746B" w14:paraId="4A73D39E" w14:textId="77777777" w:rsidTr="00923100">
        <w:trPr>
          <w:jc w:val="center"/>
        </w:trPr>
        <w:tc>
          <w:tcPr>
            <w:tcW w:w="1843" w:type="dxa"/>
          </w:tcPr>
          <w:p w14:paraId="026BFC25" w14:textId="77777777" w:rsidR="00CA746B" w:rsidRPr="00923100" w:rsidRDefault="00CA746B" w:rsidP="00F22606">
            <w:pPr>
              <w:suppressAutoHyphens w:val="0"/>
              <w:ind w:leftChars="0" w:left="26" w:right="162"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Soil Cla</w:t>
            </w:r>
            <w:r w:rsidR="00035193" w:rsidRPr="00923100">
              <w:rPr>
                <w:rFonts w:ascii="Arial" w:hAnsi="Arial" w:cs="Arial"/>
                <w:color w:val="000000"/>
                <w:position w:val="0"/>
                <w:sz w:val="18"/>
                <w:szCs w:val="18"/>
              </w:rPr>
              <w:t>s</w:t>
            </w:r>
            <w:r w:rsidRPr="00923100">
              <w:rPr>
                <w:rFonts w:ascii="Arial" w:hAnsi="Arial" w:cs="Arial"/>
                <w:color w:val="000000"/>
                <w:position w:val="0"/>
                <w:sz w:val="18"/>
                <w:szCs w:val="18"/>
              </w:rPr>
              <w:t>sification (USCS)</w:t>
            </w:r>
          </w:p>
        </w:tc>
        <w:tc>
          <w:tcPr>
            <w:tcW w:w="1352" w:type="dxa"/>
          </w:tcPr>
          <w:p w14:paraId="03B4D03E"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SP - SM</w:t>
            </w:r>
          </w:p>
        </w:tc>
        <w:tc>
          <w:tcPr>
            <w:tcW w:w="0" w:type="auto"/>
          </w:tcPr>
          <w:p w14:paraId="4AA581DD"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SC</w:t>
            </w:r>
          </w:p>
        </w:tc>
      </w:tr>
      <w:tr w:rsidR="00CA746B" w:rsidRPr="00CA746B" w14:paraId="6103A172" w14:textId="77777777" w:rsidTr="00923100">
        <w:trPr>
          <w:jc w:val="center"/>
        </w:trPr>
        <w:tc>
          <w:tcPr>
            <w:tcW w:w="1843" w:type="dxa"/>
          </w:tcPr>
          <w:p w14:paraId="588A24DF" w14:textId="77777777" w:rsidR="00CA746B" w:rsidRPr="00923100" w:rsidRDefault="00000000" w:rsidP="00F22606">
            <w:pPr>
              <w:tabs>
                <w:tab w:val="left" w:pos="1177"/>
              </w:tabs>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m:oMath>
              <m:sSub>
                <m:sSubPr>
                  <m:ctrlPr>
                    <w:rPr>
                      <w:rFonts w:ascii="Cambria Math" w:hAnsi="Cambria Math" w:cs="Arial"/>
                      <w:i/>
                      <w:color w:val="000000"/>
                      <w:position w:val="0"/>
                      <w:sz w:val="18"/>
                      <w:szCs w:val="18"/>
                    </w:rPr>
                  </m:ctrlPr>
                </m:sSubPr>
                <m:e>
                  <m:r>
                    <w:rPr>
                      <w:rFonts w:ascii="Cambria Math" w:hAnsi="Cambria Math" w:cs="Arial"/>
                      <w:color w:val="000000"/>
                      <w:position w:val="0"/>
                      <w:sz w:val="18"/>
                      <w:szCs w:val="18"/>
                    </w:rPr>
                    <m:t>ρ</m:t>
                  </m:r>
                </m:e>
                <m:sub>
                  <m:r>
                    <w:rPr>
                      <w:rFonts w:ascii="Cambria Math" w:hAnsi="Cambria Math" w:cs="Arial"/>
                      <w:color w:val="000000"/>
                      <w:position w:val="0"/>
                      <w:sz w:val="18"/>
                      <w:szCs w:val="18"/>
                    </w:rPr>
                    <m:t>d max</m:t>
                  </m:r>
                </m:sub>
              </m:sSub>
            </m:oMath>
            <w:r w:rsidR="00CA746B" w:rsidRPr="00923100">
              <w:rPr>
                <w:rFonts w:ascii="Arial" w:hAnsi="Arial" w:cs="Arial"/>
                <w:i/>
                <w:color w:val="000000"/>
                <w:position w:val="0"/>
                <w:sz w:val="18"/>
                <w:szCs w:val="18"/>
                <w:vertAlign w:val="subscript"/>
              </w:rPr>
              <w:t xml:space="preserve"> </w:t>
            </w:r>
            <w:r w:rsidR="00CA746B" w:rsidRPr="00923100">
              <w:rPr>
                <w:rFonts w:ascii="Arial" w:hAnsi="Arial" w:cs="Arial"/>
                <w:color w:val="000000"/>
                <w:position w:val="0"/>
                <w:sz w:val="18"/>
                <w:szCs w:val="18"/>
                <w:vertAlign w:val="subscript"/>
              </w:rPr>
              <w:t>(</w:t>
            </w:r>
            <w:r w:rsidR="00923100" w:rsidRPr="00923100">
              <w:rPr>
                <w:rFonts w:ascii="Arial" w:hAnsi="Arial" w:cs="Arial"/>
                <w:color w:val="000000"/>
                <w:position w:val="0"/>
                <w:sz w:val="18"/>
                <w:szCs w:val="18"/>
              </w:rPr>
              <w:t>M</w:t>
            </w:r>
            <w:r w:rsidR="00CA746B" w:rsidRPr="00923100">
              <w:rPr>
                <w:rFonts w:ascii="Arial" w:hAnsi="Arial" w:cs="Arial"/>
                <w:color w:val="000000"/>
                <w:position w:val="0"/>
                <w:sz w:val="18"/>
                <w:szCs w:val="18"/>
              </w:rPr>
              <w:t>gr/cm</w:t>
            </w:r>
            <w:r w:rsidR="00CA746B" w:rsidRPr="00923100">
              <w:rPr>
                <w:rFonts w:ascii="Arial" w:hAnsi="Arial" w:cs="Arial"/>
                <w:color w:val="000000"/>
                <w:position w:val="0"/>
                <w:sz w:val="18"/>
                <w:szCs w:val="18"/>
                <w:vertAlign w:val="superscript"/>
              </w:rPr>
              <w:t>3</w:t>
            </w:r>
            <w:r w:rsidR="00CA746B" w:rsidRPr="00923100">
              <w:rPr>
                <w:rFonts w:ascii="Arial" w:hAnsi="Arial" w:cs="Arial"/>
                <w:color w:val="000000"/>
                <w:position w:val="0"/>
                <w:sz w:val="18"/>
                <w:szCs w:val="18"/>
              </w:rPr>
              <w:t>)</w:t>
            </w:r>
          </w:p>
        </w:tc>
        <w:tc>
          <w:tcPr>
            <w:tcW w:w="1352" w:type="dxa"/>
          </w:tcPr>
          <w:p w14:paraId="46B55BFF" w14:textId="77777777" w:rsidR="00CA746B" w:rsidRPr="00923100" w:rsidRDefault="00923100"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1,48</w:t>
            </w:r>
          </w:p>
        </w:tc>
        <w:tc>
          <w:tcPr>
            <w:tcW w:w="0" w:type="auto"/>
          </w:tcPr>
          <w:p w14:paraId="36972F70" w14:textId="77777777" w:rsidR="00CA746B" w:rsidRPr="00923100" w:rsidRDefault="00923100" w:rsidP="006929DA">
            <w:pPr>
              <w:suppressAutoHyphens w:val="0"/>
              <w:ind w:leftChars="0" w:left="26" w:right="294"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1,60</w:t>
            </w:r>
          </w:p>
        </w:tc>
      </w:tr>
      <w:tr w:rsidR="00CA746B" w:rsidRPr="00CA746B" w14:paraId="7E635C05" w14:textId="77777777" w:rsidTr="00923100">
        <w:trPr>
          <w:jc w:val="center"/>
        </w:trPr>
        <w:tc>
          <w:tcPr>
            <w:tcW w:w="1843" w:type="dxa"/>
          </w:tcPr>
          <w:p w14:paraId="6355705F" w14:textId="77777777" w:rsidR="00CA746B" w:rsidRPr="00923100" w:rsidRDefault="00000000" w:rsidP="00F22606">
            <w:pPr>
              <w:tabs>
                <w:tab w:val="left" w:pos="1177"/>
              </w:tabs>
              <w:suppressAutoHyphens w:val="0"/>
              <w:ind w:leftChars="0" w:left="26" w:right="281" w:firstLineChars="0" w:firstLine="0"/>
              <w:jc w:val="center"/>
              <w:textDirection w:val="lrTb"/>
              <w:textAlignment w:val="auto"/>
              <w:outlineLvl w:val="9"/>
              <w:rPr>
                <w:rFonts w:ascii="Arial" w:hAnsi="Arial" w:cs="Arial"/>
                <w:i/>
                <w:color w:val="000000"/>
                <w:position w:val="0"/>
                <w:sz w:val="18"/>
                <w:szCs w:val="18"/>
                <w:vertAlign w:val="subscript"/>
              </w:rPr>
            </w:pPr>
            <m:oMath>
              <m:sSub>
                <m:sSubPr>
                  <m:ctrlPr>
                    <w:rPr>
                      <w:rFonts w:ascii="Cambria Math" w:hAnsi="Cambria Math" w:cs="Arial"/>
                      <w:i/>
                      <w:color w:val="000000"/>
                      <w:position w:val="0"/>
                      <w:sz w:val="18"/>
                      <w:szCs w:val="18"/>
                    </w:rPr>
                  </m:ctrlPr>
                </m:sSubPr>
                <m:e>
                  <m:r>
                    <w:rPr>
                      <w:rFonts w:ascii="Cambria Math" w:hAnsi="Cambria Math" w:cs="Arial"/>
                      <w:color w:val="000000"/>
                      <w:position w:val="0"/>
                      <w:sz w:val="18"/>
                      <w:szCs w:val="18"/>
                    </w:rPr>
                    <m:t>ρ</m:t>
                  </m:r>
                </m:e>
                <m:sub>
                  <m:r>
                    <w:rPr>
                      <w:rFonts w:ascii="Cambria Math" w:hAnsi="Cambria Math" w:cs="Arial"/>
                      <w:color w:val="000000"/>
                      <w:position w:val="0"/>
                      <w:sz w:val="18"/>
                      <w:szCs w:val="18"/>
                    </w:rPr>
                    <m:t>d min</m:t>
                  </m:r>
                </m:sub>
              </m:sSub>
            </m:oMath>
            <w:r w:rsidR="00CA746B" w:rsidRPr="00923100">
              <w:rPr>
                <w:rFonts w:ascii="Arial" w:hAnsi="Arial" w:cs="Arial"/>
                <w:i/>
                <w:color w:val="000000"/>
                <w:position w:val="0"/>
                <w:sz w:val="18"/>
                <w:szCs w:val="18"/>
                <w:vertAlign w:val="subscript"/>
              </w:rPr>
              <w:t xml:space="preserve"> </w:t>
            </w:r>
            <w:r w:rsidR="00CA746B" w:rsidRPr="00923100">
              <w:rPr>
                <w:rFonts w:ascii="Arial" w:hAnsi="Arial" w:cs="Arial"/>
                <w:color w:val="000000"/>
                <w:position w:val="0"/>
                <w:sz w:val="18"/>
                <w:szCs w:val="18"/>
                <w:vertAlign w:val="subscript"/>
              </w:rPr>
              <w:t>(</w:t>
            </w:r>
            <w:r w:rsidR="00923100" w:rsidRPr="00923100">
              <w:rPr>
                <w:rFonts w:ascii="Arial" w:hAnsi="Arial" w:cs="Arial"/>
                <w:color w:val="000000"/>
                <w:position w:val="0"/>
                <w:sz w:val="18"/>
                <w:szCs w:val="18"/>
              </w:rPr>
              <w:t>M</w:t>
            </w:r>
            <w:r w:rsidR="00CA746B" w:rsidRPr="00923100">
              <w:rPr>
                <w:rFonts w:ascii="Arial" w:hAnsi="Arial" w:cs="Arial"/>
                <w:color w:val="000000"/>
                <w:position w:val="0"/>
                <w:sz w:val="18"/>
                <w:szCs w:val="18"/>
              </w:rPr>
              <w:t>gr/cm</w:t>
            </w:r>
            <w:r w:rsidR="00CA746B" w:rsidRPr="00923100">
              <w:rPr>
                <w:rFonts w:ascii="Arial" w:hAnsi="Arial" w:cs="Arial"/>
                <w:color w:val="000000"/>
                <w:position w:val="0"/>
                <w:sz w:val="18"/>
                <w:szCs w:val="18"/>
                <w:vertAlign w:val="superscript"/>
              </w:rPr>
              <w:t>3</w:t>
            </w:r>
            <w:r w:rsidR="00CA746B" w:rsidRPr="00923100">
              <w:rPr>
                <w:rFonts w:ascii="Arial" w:hAnsi="Arial" w:cs="Arial"/>
                <w:color w:val="000000"/>
                <w:position w:val="0"/>
                <w:sz w:val="18"/>
                <w:szCs w:val="18"/>
              </w:rPr>
              <w:t>)</w:t>
            </w:r>
          </w:p>
        </w:tc>
        <w:tc>
          <w:tcPr>
            <w:tcW w:w="1352" w:type="dxa"/>
          </w:tcPr>
          <w:p w14:paraId="5FC4E42C" w14:textId="77777777" w:rsidR="00CA746B" w:rsidRPr="00923100" w:rsidRDefault="00923100"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1,20</w:t>
            </w:r>
          </w:p>
        </w:tc>
        <w:tc>
          <w:tcPr>
            <w:tcW w:w="0" w:type="auto"/>
          </w:tcPr>
          <w:p w14:paraId="1F7248E6" w14:textId="77777777" w:rsidR="00CA746B" w:rsidRPr="00923100" w:rsidRDefault="00923100" w:rsidP="006929DA">
            <w:pPr>
              <w:suppressAutoHyphens w:val="0"/>
              <w:ind w:leftChars="0" w:left="26" w:right="294" w:firstLineChars="0" w:firstLine="0"/>
              <w:jc w:val="center"/>
              <w:textDirection w:val="lrTb"/>
              <w:textAlignment w:val="auto"/>
              <w:outlineLvl w:val="9"/>
              <w:rPr>
                <w:rFonts w:ascii="Arial" w:hAnsi="Arial" w:cs="Arial"/>
                <w:color w:val="000000"/>
                <w:position w:val="0"/>
                <w:sz w:val="18"/>
                <w:szCs w:val="18"/>
              </w:rPr>
            </w:pPr>
            <w:r>
              <w:rPr>
                <w:rFonts w:ascii="Arial" w:hAnsi="Arial" w:cs="Arial"/>
                <w:color w:val="000000"/>
                <w:position w:val="0"/>
                <w:sz w:val="18"/>
                <w:szCs w:val="18"/>
              </w:rPr>
              <w:t>1,22</w:t>
            </w:r>
          </w:p>
        </w:tc>
      </w:tr>
      <w:tr w:rsidR="00CA746B" w:rsidRPr="00CA746B" w14:paraId="62C5184A" w14:textId="77777777" w:rsidTr="00923100">
        <w:trPr>
          <w:jc w:val="center"/>
        </w:trPr>
        <w:tc>
          <w:tcPr>
            <w:tcW w:w="1843" w:type="dxa"/>
          </w:tcPr>
          <w:p w14:paraId="44CE1C0F" w14:textId="77777777" w:rsidR="00CA746B" w:rsidRPr="00923100" w:rsidRDefault="00000000" w:rsidP="00F22606">
            <w:pPr>
              <w:suppressAutoHyphens w:val="0"/>
              <w:ind w:leftChars="0" w:left="26" w:right="281" w:firstLineChars="0" w:firstLine="0"/>
              <w:jc w:val="center"/>
              <w:textDirection w:val="lrTb"/>
              <w:textAlignment w:val="auto"/>
              <w:outlineLvl w:val="9"/>
              <w:rPr>
                <w:rFonts w:ascii="Arial" w:hAnsi="Arial" w:cs="Arial"/>
                <w:i/>
                <w:color w:val="000000"/>
                <w:position w:val="0"/>
                <w:sz w:val="18"/>
                <w:szCs w:val="18"/>
                <w:vertAlign w:val="subscript"/>
              </w:rPr>
            </w:pPr>
            <m:oMathPara>
              <m:oMath>
                <m:sSub>
                  <m:sSubPr>
                    <m:ctrlPr>
                      <w:rPr>
                        <w:rFonts w:ascii="Cambria Math" w:hAnsi="Cambria Math" w:cs="Arial"/>
                        <w:i/>
                        <w:color w:val="000000"/>
                        <w:position w:val="0"/>
                        <w:sz w:val="18"/>
                        <w:szCs w:val="18"/>
                      </w:rPr>
                    </m:ctrlPr>
                  </m:sSubPr>
                  <m:e>
                    <m:r>
                      <w:rPr>
                        <w:rFonts w:ascii="Cambria Math" w:hAnsi="Cambria Math" w:cs="Arial"/>
                        <w:color w:val="000000"/>
                        <w:position w:val="0"/>
                        <w:sz w:val="18"/>
                        <w:szCs w:val="18"/>
                      </w:rPr>
                      <m:t>e</m:t>
                    </m:r>
                  </m:e>
                  <m:sub>
                    <m:r>
                      <w:rPr>
                        <w:rFonts w:ascii="Cambria Math" w:hAnsi="Cambria Math" w:cs="Arial"/>
                        <w:color w:val="000000"/>
                        <w:position w:val="0"/>
                        <w:sz w:val="18"/>
                        <w:szCs w:val="18"/>
                      </w:rPr>
                      <m:t>max</m:t>
                    </m:r>
                  </m:sub>
                </m:sSub>
              </m:oMath>
            </m:oMathPara>
          </w:p>
        </w:tc>
        <w:tc>
          <w:tcPr>
            <w:tcW w:w="1352" w:type="dxa"/>
          </w:tcPr>
          <w:p w14:paraId="32174930"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1,250</w:t>
            </w:r>
          </w:p>
        </w:tc>
        <w:tc>
          <w:tcPr>
            <w:tcW w:w="0" w:type="auto"/>
          </w:tcPr>
          <w:p w14:paraId="425F72D4"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1,209</w:t>
            </w:r>
          </w:p>
        </w:tc>
      </w:tr>
      <w:tr w:rsidR="00CA746B" w:rsidRPr="00CA746B" w14:paraId="626F924B" w14:textId="77777777" w:rsidTr="00923100">
        <w:trPr>
          <w:jc w:val="center"/>
        </w:trPr>
        <w:tc>
          <w:tcPr>
            <w:tcW w:w="1843" w:type="dxa"/>
            <w:tcBorders>
              <w:bottom w:val="single" w:sz="4" w:space="0" w:color="auto"/>
            </w:tcBorders>
          </w:tcPr>
          <w:p w14:paraId="3E41B097" w14:textId="77777777" w:rsidR="00CA746B" w:rsidRPr="00923100" w:rsidRDefault="00000000" w:rsidP="00F22606">
            <w:pPr>
              <w:suppressAutoHyphens w:val="0"/>
              <w:ind w:leftChars="0" w:left="26" w:right="281" w:firstLineChars="0" w:firstLine="0"/>
              <w:jc w:val="center"/>
              <w:textDirection w:val="lrTb"/>
              <w:textAlignment w:val="auto"/>
              <w:outlineLvl w:val="9"/>
              <w:rPr>
                <w:rFonts w:ascii="Arial" w:hAnsi="Arial" w:cs="Arial"/>
                <w:i/>
                <w:color w:val="000000"/>
                <w:position w:val="0"/>
                <w:sz w:val="18"/>
                <w:szCs w:val="18"/>
                <w:vertAlign w:val="subscript"/>
              </w:rPr>
            </w:pPr>
            <m:oMathPara>
              <m:oMath>
                <m:sSub>
                  <m:sSubPr>
                    <m:ctrlPr>
                      <w:rPr>
                        <w:rFonts w:ascii="Cambria Math" w:hAnsi="Cambria Math" w:cs="Arial"/>
                        <w:i/>
                        <w:color w:val="000000"/>
                        <w:position w:val="0"/>
                        <w:sz w:val="18"/>
                        <w:szCs w:val="18"/>
                      </w:rPr>
                    </m:ctrlPr>
                  </m:sSubPr>
                  <m:e>
                    <m:r>
                      <w:rPr>
                        <w:rFonts w:ascii="Cambria Math" w:hAnsi="Cambria Math" w:cs="Arial"/>
                        <w:color w:val="000000"/>
                        <w:position w:val="0"/>
                        <w:sz w:val="18"/>
                        <w:szCs w:val="18"/>
                      </w:rPr>
                      <m:t>e</m:t>
                    </m:r>
                  </m:e>
                  <m:sub>
                    <m:r>
                      <w:rPr>
                        <w:rFonts w:ascii="Cambria Math" w:hAnsi="Cambria Math" w:cs="Arial"/>
                        <w:color w:val="000000"/>
                        <w:position w:val="0"/>
                        <w:sz w:val="18"/>
                        <w:szCs w:val="18"/>
                      </w:rPr>
                      <m:t>min</m:t>
                    </m:r>
                  </m:sub>
                </m:sSub>
              </m:oMath>
            </m:oMathPara>
          </w:p>
        </w:tc>
        <w:tc>
          <w:tcPr>
            <w:tcW w:w="1352" w:type="dxa"/>
            <w:tcBorders>
              <w:bottom w:val="single" w:sz="4" w:space="0" w:color="auto"/>
            </w:tcBorders>
          </w:tcPr>
          <w:p w14:paraId="7920654C" w14:textId="77777777" w:rsidR="00CA746B" w:rsidRPr="00923100"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0,821</w:t>
            </w:r>
          </w:p>
        </w:tc>
        <w:tc>
          <w:tcPr>
            <w:tcW w:w="0" w:type="auto"/>
            <w:tcBorders>
              <w:bottom w:val="single" w:sz="4" w:space="0" w:color="auto"/>
            </w:tcBorders>
          </w:tcPr>
          <w:p w14:paraId="6ADB09A5" w14:textId="77777777" w:rsidR="00CA746B" w:rsidRDefault="00CA746B"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r w:rsidRPr="00923100">
              <w:rPr>
                <w:rFonts w:ascii="Arial" w:hAnsi="Arial" w:cs="Arial"/>
                <w:color w:val="000000"/>
                <w:position w:val="0"/>
                <w:sz w:val="18"/>
                <w:szCs w:val="18"/>
              </w:rPr>
              <w:t>0,680</w:t>
            </w:r>
          </w:p>
          <w:p w14:paraId="700DF4A7" w14:textId="77777777" w:rsidR="00F22606" w:rsidRPr="00923100" w:rsidRDefault="00F22606" w:rsidP="00F22606">
            <w:pPr>
              <w:suppressAutoHyphens w:val="0"/>
              <w:ind w:leftChars="0" w:left="26" w:right="281" w:firstLineChars="0" w:firstLine="0"/>
              <w:jc w:val="center"/>
              <w:textDirection w:val="lrTb"/>
              <w:textAlignment w:val="auto"/>
              <w:outlineLvl w:val="9"/>
              <w:rPr>
                <w:rFonts w:ascii="Arial" w:hAnsi="Arial" w:cs="Arial"/>
                <w:color w:val="000000"/>
                <w:position w:val="0"/>
                <w:sz w:val="18"/>
                <w:szCs w:val="18"/>
              </w:rPr>
            </w:pPr>
          </w:p>
        </w:tc>
      </w:tr>
    </w:tbl>
    <w:p w14:paraId="6D4C292D" w14:textId="77777777" w:rsidR="00E82FE0" w:rsidRDefault="00E82FE0" w:rsidP="00FD660B">
      <w:pPr>
        <w:spacing w:after="0" w:line="240" w:lineRule="auto"/>
        <w:ind w:left="0" w:hanging="2"/>
        <w:jc w:val="both"/>
        <w:outlineLvl w:val="2"/>
        <w:rPr>
          <w:rFonts w:ascii="Arial" w:eastAsia="Times New Roman" w:hAnsi="Arial" w:cs="Arial"/>
          <w:b/>
          <w:bCs/>
          <w:color w:val="1F4E79"/>
          <w:sz w:val="20"/>
          <w:szCs w:val="20"/>
        </w:rPr>
      </w:pPr>
    </w:p>
    <w:p w14:paraId="1DD48CB3" w14:textId="77777777" w:rsidR="008D7808" w:rsidRPr="006B43BF" w:rsidRDefault="008D7808" w:rsidP="00FD660B">
      <w:pPr>
        <w:spacing w:after="0" w:line="240" w:lineRule="auto"/>
        <w:ind w:left="0" w:hanging="2"/>
        <w:jc w:val="both"/>
        <w:outlineLvl w:val="2"/>
        <w:rPr>
          <w:rFonts w:ascii="Arial" w:eastAsia="Times New Roman" w:hAnsi="Arial" w:cs="Arial"/>
          <w:b/>
          <w:bCs/>
          <w:color w:val="1F4E79"/>
          <w:sz w:val="20"/>
          <w:szCs w:val="20"/>
        </w:rPr>
      </w:pPr>
      <w:r w:rsidRPr="006B43BF">
        <w:rPr>
          <w:rFonts w:ascii="Arial" w:eastAsia="Times New Roman" w:hAnsi="Arial" w:cs="Arial"/>
          <w:b/>
          <w:bCs/>
          <w:color w:val="1F4E79"/>
          <w:sz w:val="20"/>
          <w:szCs w:val="20"/>
        </w:rPr>
        <w:t>Specimen Preparation</w:t>
      </w:r>
    </w:p>
    <w:p w14:paraId="7E26717C" w14:textId="77777777" w:rsidR="00F57C2E" w:rsidRDefault="00D254D7" w:rsidP="000953EF">
      <w:pPr>
        <w:suppressAutoHyphens w:val="0"/>
        <w:spacing w:before="60" w:after="60" w:line="240" w:lineRule="auto"/>
        <w:ind w:leftChars="0" w:left="0" w:firstLineChars="0" w:firstLine="0"/>
        <w:jc w:val="both"/>
        <w:textDirection w:val="lrTb"/>
        <w:textAlignment w:val="auto"/>
        <w:outlineLvl w:val="2"/>
        <w:rPr>
          <w:rFonts w:ascii="Arial" w:eastAsia="Times New Roman" w:hAnsi="Arial" w:cs="Arial"/>
          <w:bCs/>
          <w:position w:val="0"/>
          <w:sz w:val="20"/>
          <w:szCs w:val="20"/>
        </w:rPr>
      </w:pPr>
      <w:r w:rsidRPr="00D254D7">
        <w:rPr>
          <w:rFonts w:ascii="Arial" w:eastAsia="Times New Roman" w:hAnsi="Arial" w:cs="Arial"/>
          <w:bCs/>
          <w:position w:val="0"/>
          <w:sz w:val="20"/>
          <w:szCs w:val="20"/>
        </w:rPr>
        <w:t xml:space="preserve">Six specimens were prepared in total: three with low fines content (9%) and three with high fines content (26.4%). Each set was tested under initial mean effective stresses </w:t>
      </w:r>
      <m:oMath>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r>
          <w:rPr>
            <w:rFonts w:ascii="Cambria Math" w:eastAsia="Times New Roman" w:hAnsi="Cambria Math" w:cs="Arial"/>
            <w:position w:val="0"/>
            <w:sz w:val="20"/>
            <w:szCs w:val="20"/>
          </w:rPr>
          <m:t>)</m:t>
        </m:r>
      </m:oMath>
      <w:r w:rsidR="00AF1954">
        <w:rPr>
          <w:rFonts w:ascii="Arial" w:eastAsia="Times New Roman" w:hAnsi="Arial" w:cs="Arial"/>
          <w:bCs/>
          <w:position w:val="0"/>
          <w:sz w:val="20"/>
          <w:szCs w:val="20"/>
        </w:rPr>
        <w:t xml:space="preserve"> </w:t>
      </w:r>
      <w:r w:rsidRPr="00D254D7">
        <w:rPr>
          <w:rFonts w:ascii="Arial" w:eastAsia="Times New Roman" w:hAnsi="Arial" w:cs="Arial"/>
          <w:bCs/>
          <w:position w:val="0"/>
          <w:sz w:val="20"/>
          <w:szCs w:val="20"/>
        </w:rPr>
        <w:t xml:space="preserve">of 100, 150, and 200 </w:t>
      </w:r>
      <w:r w:rsidRPr="00D254D7">
        <w:rPr>
          <w:rFonts w:ascii="Arial" w:eastAsia="Times New Roman" w:hAnsi="Arial" w:cs="Arial"/>
          <w:bCs/>
          <w:position w:val="0"/>
          <w:sz w:val="20"/>
          <w:szCs w:val="20"/>
        </w:rPr>
        <w:t>kPa. The specimens were cylindrical, 38 mm in diameter and 76 mm in height.</w:t>
      </w:r>
      <w:r w:rsidR="000953EF">
        <w:rPr>
          <w:rFonts w:ascii="Arial" w:eastAsia="Times New Roman" w:hAnsi="Arial" w:cs="Arial"/>
          <w:bCs/>
          <w:position w:val="0"/>
          <w:sz w:val="20"/>
          <w:szCs w:val="20"/>
        </w:rPr>
        <w:t xml:space="preserve"> </w:t>
      </w:r>
    </w:p>
    <w:p w14:paraId="23DCA6AC" w14:textId="77777777" w:rsidR="000953EF" w:rsidRDefault="000953EF" w:rsidP="000953EF">
      <w:pPr>
        <w:suppressAutoHyphens w:val="0"/>
        <w:spacing w:before="60" w:after="60" w:line="240" w:lineRule="auto"/>
        <w:ind w:leftChars="0" w:left="0" w:firstLineChars="0" w:firstLine="0"/>
        <w:jc w:val="both"/>
        <w:textDirection w:val="lrTb"/>
        <w:textAlignment w:val="auto"/>
        <w:outlineLvl w:val="2"/>
        <w:rPr>
          <w:rFonts w:ascii="Arial" w:eastAsia="Times New Roman" w:hAnsi="Arial" w:cs="Arial"/>
          <w:bCs/>
          <w:position w:val="0"/>
          <w:sz w:val="20"/>
          <w:szCs w:val="20"/>
        </w:rPr>
      </w:pPr>
      <w:r w:rsidRPr="000953EF">
        <w:rPr>
          <w:rFonts w:ascii="Arial" w:eastAsia="Times New Roman" w:hAnsi="Arial" w:cs="Arial"/>
          <w:bCs/>
          <w:position w:val="0"/>
          <w:sz w:val="20"/>
          <w:szCs w:val="20"/>
        </w:rPr>
        <w:t xml:space="preserve">All specimens were prepared in a very loose condition (Dr </w:t>
      </w:r>
      <w:r>
        <w:rPr>
          <w:rFonts w:ascii="Arial" w:eastAsia="Times New Roman" w:hAnsi="Arial" w:cs="Arial"/>
          <w:bCs/>
          <w:position w:val="0"/>
          <w:sz w:val="20"/>
          <w:szCs w:val="20"/>
        </w:rPr>
        <w:t>=</w:t>
      </w:r>
      <w:r w:rsidRPr="000953EF">
        <w:rPr>
          <w:rFonts w:ascii="Arial" w:eastAsia="Times New Roman" w:hAnsi="Arial" w:cs="Arial"/>
          <w:bCs/>
          <w:position w:val="0"/>
          <w:sz w:val="20"/>
          <w:szCs w:val="20"/>
        </w:rPr>
        <w:t xml:space="preserve"> 11</w:t>
      </w:r>
      <w:r>
        <w:rPr>
          <w:rFonts w:ascii="Arial" w:eastAsia="Times New Roman" w:hAnsi="Arial" w:cs="Arial"/>
          <w:bCs/>
          <w:position w:val="0"/>
          <w:sz w:val="20"/>
          <w:szCs w:val="20"/>
        </w:rPr>
        <w:t>-</w:t>
      </w:r>
      <w:r w:rsidRPr="000953EF">
        <w:rPr>
          <w:rFonts w:ascii="Arial" w:eastAsia="Times New Roman" w:hAnsi="Arial" w:cs="Arial"/>
          <w:bCs/>
          <w:position w:val="0"/>
          <w:sz w:val="20"/>
          <w:szCs w:val="20"/>
        </w:rPr>
        <w:t>20%), consistent with the natural looseness of the Petobo sand, to ensure a contractive response and convergence toward the critical state during monotonic loading</w:t>
      </w:r>
      <w:r>
        <w:rPr>
          <w:rFonts w:ascii="Arial" w:eastAsia="Times New Roman" w:hAnsi="Arial" w:cs="Arial"/>
          <w:bCs/>
          <w:position w:val="0"/>
          <w:sz w:val="20"/>
          <w:szCs w:val="20"/>
        </w:rPr>
        <w:t>.</w:t>
      </w:r>
    </w:p>
    <w:p w14:paraId="62F2DB71" w14:textId="77777777" w:rsidR="00FD660B" w:rsidRDefault="00FD660B" w:rsidP="00FD660B">
      <w:pPr>
        <w:suppressAutoHyphens w:val="0"/>
        <w:spacing w:before="100" w:beforeAutospacing="1" w:after="0" w:line="240" w:lineRule="auto"/>
        <w:ind w:leftChars="0" w:left="0" w:firstLineChars="0" w:firstLine="0"/>
        <w:jc w:val="center"/>
        <w:textDirection w:val="lrTb"/>
        <w:textAlignment w:val="auto"/>
        <w:outlineLvl w:val="2"/>
        <w:rPr>
          <w:rFonts w:ascii="Arial" w:eastAsia="Times New Roman" w:hAnsi="Arial" w:cs="Arial"/>
          <w:bCs/>
          <w:sz w:val="20"/>
          <w:szCs w:val="20"/>
        </w:rPr>
      </w:pPr>
      <w:r w:rsidRPr="00FD660B">
        <w:rPr>
          <w:rFonts w:ascii="Arial" w:eastAsia="Times New Roman" w:hAnsi="Arial" w:cs="Arial"/>
          <w:bCs/>
          <w:noProof/>
          <w:sz w:val="20"/>
          <w:szCs w:val="20"/>
        </w:rPr>
        <w:drawing>
          <wp:inline distT="0" distB="0" distL="0" distR="0" wp14:anchorId="2F36E5D7" wp14:editId="681C3FF2">
            <wp:extent cx="2729755" cy="147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754542" cy="1486577"/>
                    </a:xfrm>
                    <a:prstGeom prst="rect">
                      <a:avLst/>
                    </a:prstGeom>
                  </pic:spPr>
                </pic:pic>
              </a:graphicData>
            </a:graphic>
          </wp:inline>
        </w:drawing>
      </w:r>
    </w:p>
    <w:p w14:paraId="19D9586B" w14:textId="77777777" w:rsidR="00FD660B" w:rsidRDefault="00FD660B" w:rsidP="00FD660B">
      <w:pPr>
        <w:suppressAutoHyphens w:val="0"/>
        <w:spacing w:after="0" w:line="240" w:lineRule="auto"/>
        <w:ind w:leftChars="0" w:left="0" w:firstLineChars="0" w:firstLine="0"/>
        <w:jc w:val="center"/>
        <w:textDirection w:val="lrTb"/>
        <w:textAlignment w:val="auto"/>
        <w:outlineLvl w:val="2"/>
        <w:rPr>
          <w:rFonts w:ascii="Arial" w:eastAsia="Times New Roman" w:hAnsi="Arial" w:cs="Arial"/>
          <w:bCs/>
          <w:sz w:val="20"/>
          <w:szCs w:val="20"/>
        </w:rPr>
      </w:pPr>
      <w:r w:rsidRPr="00FD660B">
        <w:rPr>
          <w:rFonts w:ascii="Arial" w:eastAsia="Times New Roman" w:hAnsi="Arial" w:cs="Arial"/>
          <w:bCs/>
          <w:noProof/>
          <w:sz w:val="20"/>
          <w:szCs w:val="20"/>
        </w:rPr>
        <w:drawing>
          <wp:inline distT="0" distB="0" distL="0" distR="0" wp14:anchorId="1ECE14C3" wp14:editId="62FF3B41">
            <wp:extent cx="2771753" cy="14605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812550" cy="1481997"/>
                    </a:xfrm>
                    <a:prstGeom prst="rect">
                      <a:avLst/>
                    </a:prstGeom>
                  </pic:spPr>
                </pic:pic>
              </a:graphicData>
            </a:graphic>
          </wp:inline>
        </w:drawing>
      </w:r>
    </w:p>
    <w:p w14:paraId="4221B698" w14:textId="77777777" w:rsidR="008D7808" w:rsidRDefault="008D7808" w:rsidP="00FD660B">
      <w:pPr>
        <w:spacing w:after="100" w:afterAutospacing="1" w:line="240" w:lineRule="auto"/>
        <w:ind w:left="0" w:hanging="2"/>
        <w:jc w:val="center"/>
        <w:rPr>
          <w:rFonts w:ascii="Arial" w:eastAsia="Times New Roman" w:hAnsi="Arial" w:cs="Arial"/>
          <w:iCs/>
          <w:sz w:val="20"/>
          <w:szCs w:val="20"/>
        </w:rPr>
      </w:pPr>
      <w:r w:rsidRPr="00CC523E">
        <w:rPr>
          <w:rFonts w:ascii="Arial" w:eastAsia="Times New Roman" w:hAnsi="Arial" w:cs="Arial"/>
          <w:b/>
          <w:bCs/>
          <w:iCs/>
          <w:sz w:val="20"/>
          <w:szCs w:val="20"/>
        </w:rPr>
        <w:t>Figure 3.</w:t>
      </w:r>
      <w:r w:rsidRPr="00CC523E">
        <w:rPr>
          <w:rFonts w:ascii="Arial" w:eastAsia="Times New Roman" w:hAnsi="Arial" w:cs="Arial"/>
          <w:iCs/>
          <w:sz w:val="20"/>
          <w:szCs w:val="20"/>
        </w:rPr>
        <w:t xml:space="preserve"> Specimen preparation using the moist tamping (undercompaction) method</w:t>
      </w:r>
    </w:p>
    <w:p w14:paraId="2266C820" w14:textId="77777777" w:rsidR="00827FD6" w:rsidRDefault="006241FB" w:rsidP="00827FD6">
      <w:pPr>
        <w:suppressAutoHyphens w:val="0"/>
        <w:spacing w:before="120" w:after="120" w:line="240" w:lineRule="auto"/>
        <w:ind w:leftChars="0" w:left="0" w:firstLineChars="0" w:firstLine="0"/>
        <w:jc w:val="both"/>
        <w:textDirection w:val="lrTb"/>
        <w:textAlignment w:val="auto"/>
        <w:outlineLvl w:val="2"/>
        <w:rPr>
          <w:rFonts w:ascii="Arial" w:eastAsia="Times New Roman" w:hAnsi="Arial" w:cs="Arial"/>
          <w:bCs/>
          <w:sz w:val="20"/>
          <w:szCs w:val="20"/>
        </w:rPr>
      </w:pPr>
      <w:r w:rsidRPr="006B43BF">
        <w:rPr>
          <w:rFonts w:ascii="Arial" w:eastAsia="Times New Roman" w:hAnsi="Arial" w:cs="Arial"/>
          <w:bCs/>
          <w:sz w:val="20"/>
          <w:szCs w:val="20"/>
        </w:rPr>
        <w:lastRenderedPageBreak/>
        <w:t xml:space="preserve">The moist tamping (undercompaction) method (Figure 3) was adopted, </w:t>
      </w:r>
      <w:r w:rsidRPr="0015039B">
        <w:rPr>
          <w:rFonts w:ascii="Arial" w:eastAsia="Times New Roman" w:hAnsi="Arial" w:cs="Arial"/>
          <w:bCs/>
          <w:sz w:val="20"/>
          <w:szCs w:val="20"/>
        </w:rPr>
        <w:t xml:space="preserve">as originally proposed by Ladd </w:t>
      </w:r>
      <w:r w:rsidRPr="00D254D7">
        <w:rPr>
          <w:rFonts w:ascii="Arial" w:eastAsia="Times New Roman" w:hAnsi="Arial" w:cs="Arial"/>
          <w:bCs/>
          <w:sz w:val="20"/>
          <w:szCs w:val="20"/>
        </w:rPr>
        <w:t>and widely recommended in recent studies on silty sands</w:t>
      </w:r>
      <w:r>
        <w:rPr>
          <w:rFonts w:ascii="Arial" w:eastAsia="Times New Roman" w:hAnsi="Arial" w:cs="Arial"/>
          <w:bCs/>
          <w:sz w:val="20"/>
          <w:szCs w:val="20"/>
        </w:rPr>
        <w:fldChar w:fldCharType="begin" w:fldLock="1"/>
      </w:r>
      <w:r w:rsidR="001242FC">
        <w:rPr>
          <w:rFonts w:ascii="Arial" w:eastAsia="Times New Roman" w:hAnsi="Arial" w:cs="Arial"/>
          <w:bCs/>
          <w:sz w:val="20"/>
          <w:szCs w:val="20"/>
        </w:rPr>
        <w:instrText>ADDIN CSL_CITATION {"citationItems":[{"id":"ITEM-1","itemData":{"DOI":"10.1080/19386362.2020.1712532","ISSN":"19397879","abstract":"There are some ambiguities in understanding of the effect of non-plastic fine content (silt) on the liquefaction behaviour of sand in the literature. Reviewing the results of field and laboratory studies suggests that increasing the amount of non-plastic fine content in sand can lead to improvement or deterioration of liquefaction resistance. In this study, the effect of non-plastic silt on liquefaction resistance of Anzali sand is investigated using shaking table tests. According to the results, for the relative density of 30%, liquefaction resistance was found to be initially decreasing by increasing the silt content until the limiting fine content (LFC) as 15% and increasing thereafter. However, for the relative density of 60%, liquefaction resistance showed a continuously decreasing trend by increasing the silt content. Finally, comparison of the result through the limiting bounds of pore pressure obtained in this study with that of other researchers showed an appropriate consistency.","author":[{"dropping-particle":"","family":"Ghorbani","given":"Ali","non-dropping-particle":"","parse-names":false,"suffix":""},{"dropping-particle":"","family":"Eslami","given":"Amin","non-dropping-particle":"","parse-names":false,"suffix":""},{"dropping-particle":"","family":"Nezhad Moghadam","given":"Masoumeh","non-dropping-particle":"","parse-names":false,"suffix":""}],"container-title":"International Journal of Geotechnical Engineering","id":"ITEM-1","issue":"00","issued":{"date-parts":[["2020"]]},"page":"1-13","publisher":"Taylor &amp; Francis","title":"Effect of non-plastic silt on liquefaction susceptibility of marine sand by transparent laminar shear box in shaking table","type":"article-journal","volume":"00"},"uris":["http://www.mendeley.com/documents/?uuid=033445ee-b125-43c1-94b8-309ef51ece1b"]},{"id":"ITEM-2","itemData":{"DOI":"10.1080/19648189.2021.1927195","ISSN":"19648189","abstract":"This paper presents a study of the influence of plastic and non-plastic fines on the resistance of sands to liquefaction. The study is carried out with the aid of a triaxial apparatus on reconstituted sand-fines mixtures at low fines content (≤ 5%). A description of the soils used in this study is first presented followed by the presentation of results of undrained monotonic liquefaction tests performed on sand specimens containing different fines fractions. Experimental results show that the increase in non-plastic fines content up to 5% increases the resistance of sand to liquefaction. Whereas the increase in plastic fines content reveals a decrease in the latter. This result is due to the contribution of the non-plastic fine particles to the overall chain forces and therefore they increase the resistance against liquefaction, however the decrease in the resistance with plastic fines could be attributed to their nature that lead to the sliding between the sand grains and therefore favour the contractancy of the whole specimen.","author":[{"dropping-particle":"","family":"Jradi","given":"Layal","non-dropping-particle":"","parse-names":false,"suffix":""},{"dropping-particle":"","family":"Dine","given":"Bassel Seif","non-dropping-particle":"El","parse-names":false,"suffix":""},{"dropping-particle":"","family":"Dupla","given":"Jean Claude","non-dropping-particle":"","parse-names":false,"suffix":""},{"dropping-particle":"","family":"Canou","given":"Jean","non-dropping-particle":"","parse-names":false,"suffix":""}],"container-title":"European Journal of Environmental and Civil Engineering","id":"ITEM-2","issue":"12","issued":{"date-parts":[["2022"]]},"page":"6012-6031","publisher":"Taylor &amp; Francis","title":"Influence of low fines content on the liquefaction resistance of sands","type":"article-journal","volume":"26"},"uris":["http://www.mendeley.com/documents/?uuid=e7416bdd-b6ef-4f6d-b2d4-6107ec7b6912"]},{"id":"ITEM-3","itemData":{"DOI":"10.1007/s11440-021-01262-1","ISBN":"1144002101262","ISSN":"18611133","abstract":"During recent seismic events, such as 2010 Darfield and 2016 Ecuador earthquakes, widespread liquefaction has been observed in sand deposits with silt content. Nevertheless, the presence of non-plastic fines implies variable liquefaction resistance of sands. The goal of this research is the assessment of the influence of non-plastic fines and mixture-packing conditions on liquefaction triggering. A series of monotonic and cyclic consolidated undrained triaxial as well as resonant column tests is carried out on reconstituted soil specimens. The behavior of loose, medium and dense silty sands is analyzed, using different fine contents and confining pressures. The results show that the behavior of mixtures strongly depends on the packing configuration of coarse and fine particles. The experimental results are analyzed in terms of equivalent intergranular void ratio, which is identified in the literature as an adequate state parameter to characterize the global effect of fine particles. The estimation of the equivalent intergranular void ratio requires the determination of the active fine fraction b participating in the force transfer. An original formula is proposed for the parameter b based on packing configuration. The validation of the proposed formula is undertaken through comparisons with the present experimental results but also with results reported in the literature. The proposed expression to estimate the active fine fraction b allows a satisfactory prediction of liquefaction triggering in sand-fines mixtures independently from the fine content.","author":[{"dropping-particle":"","family":"Gobbi","given":"Stefania","non-dropping-particle":"","parse-names":false,"suffix":""},{"dropping-particle":"","family":"Reiffsteck","given":"Philippe","non-dropping-particle":"","parse-names":false,"suffix":""},{"dropping-particle":"","family":"Lenti","given":"Luca","non-dropping-particle":"","parse-names":false,"suffix":""},{"dropping-particle":"","family":"d’Avila","given":"Maria Paola Santisi","non-dropping-particle":"","parse-names":false,"suffix":""},{"dropping-particle":"","family":"Semblat","given":"Jean François","non-dropping-particle":"","parse-names":false,"suffix":""}],"container-title":"Acta Geotechnica","id":"ITEM-3","issue":"2","issued":{"date-parts":[["2022"]]},"page":"391-410","publisher":"Springer Berlin Heidelberg","title":"Liquefaction triggering in silty sands: effects of non-plastic fines and mixture-packing conditions","type":"article-journal","volume":"17"},"uris":["http://www.mendeley.com/documents/?uuid=7d209443-d29e-43c1-97b4-f7c43ddf66df"]}],"mendeley":{"formattedCitation":"[9], [10], [12]","plainTextFormattedCitation":"[9], [10], [12]","previouslyFormattedCitation":"[9], [10], [12]"},"properties":{"noteIndex":0},"schema":"https://github.com/citation-style-language/schema/raw/master/csl-citation.json"}</w:instrText>
      </w:r>
      <w:r>
        <w:rPr>
          <w:rFonts w:ascii="Arial" w:eastAsia="Times New Roman" w:hAnsi="Arial" w:cs="Arial"/>
          <w:bCs/>
          <w:sz w:val="20"/>
          <w:szCs w:val="20"/>
        </w:rPr>
        <w:fldChar w:fldCharType="separate"/>
      </w:r>
      <w:r w:rsidR="00E63233" w:rsidRPr="00E63233">
        <w:rPr>
          <w:rFonts w:ascii="Arial" w:eastAsia="Times New Roman" w:hAnsi="Arial" w:cs="Arial"/>
          <w:bCs/>
          <w:noProof/>
          <w:sz w:val="20"/>
          <w:szCs w:val="20"/>
        </w:rPr>
        <w:t>[9], [10], [12]</w:t>
      </w:r>
      <w:r>
        <w:rPr>
          <w:rFonts w:ascii="Arial" w:eastAsia="Times New Roman" w:hAnsi="Arial" w:cs="Arial"/>
          <w:bCs/>
          <w:sz w:val="20"/>
          <w:szCs w:val="20"/>
        </w:rPr>
        <w:fldChar w:fldCharType="end"/>
      </w:r>
      <w:r>
        <w:rPr>
          <w:rFonts w:ascii="Arial" w:eastAsia="Times New Roman" w:hAnsi="Arial" w:cs="Arial"/>
          <w:bCs/>
          <w:sz w:val="20"/>
          <w:szCs w:val="20"/>
        </w:rPr>
        <w:t xml:space="preserve">. </w:t>
      </w:r>
      <w:r w:rsidRPr="006B43BF">
        <w:rPr>
          <w:rFonts w:ascii="Arial" w:eastAsia="Times New Roman" w:hAnsi="Arial" w:cs="Arial"/>
          <w:bCs/>
          <w:sz w:val="20"/>
          <w:szCs w:val="20"/>
        </w:rPr>
        <w:t xml:space="preserve"> </w:t>
      </w:r>
      <w:r w:rsidRPr="00D254D7">
        <w:rPr>
          <w:rFonts w:ascii="Arial" w:eastAsia="Times New Roman" w:hAnsi="Arial" w:cs="Arial"/>
          <w:bCs/>
          <w:sz w:val="20"/>
          <w:szCs w:val="20"/>
        </w:rPr>
        <w:t>This method was selected because it:</w:t>
      </w:r>
    </w:p>
    <w:p w14:paraId="5C184479" w14:textId="77777777" w:rsidR="00827FD6" w:rsidRDefault="00827FD6" w:rsidP="00827FD6">
      <w:pPr>
        <w:pStyle w:val="ListParagraph"/>
        <w:numPr>
          <w:ilvl w:val="0"/>
          <w:numId w:val="18"/>
        </w:numPr>
        <w:suppressAutoHyphens w:val="0"/>
        <w:spacing w:before="120" w:after="120" w:line="240" w:lineRule="auto"/>
        <w:ind w:leftChars="0" w:left="426" w:firstLineChars="0"/>
        <w:jc w:val="both"/>
        <w:textDirection w:val="lrTb"/>
        <w:textAlignment w:val="auto"/>
        <w:outlineLvl w:val="2"/>
        <w:rPr>
          <w:rFonts w:ascii="Arial" w:eastAsia="Times New Roman" w:hAnsi="Arial" w:cs="Arial"/>
          <w:bCs/>
          <w:sz w:val="20"/>
          <w:szCs w:val="20"/>
        </w:rPr>
      </w:pPr>
      <w:r w:rsidRPr="00827FD6">
        <w:rPr>
          <w:rFonts w:ascii="Arial" w:eastAsia="Times New Roman" w:hAnsi="Arial" w:cs="Arial"/>
          <w:bCs/>
          <w:sz w:val="20"/>
          <w:szCs w:val="20"/>
        </w:rPr>
        <w:t>enables the preparation of specimens in a very loose state, representative of post-liquefaction conditions</w:t>
      </w:r>
      <w:r w:rsidR="006241FB" w:rsidRPr="00827FD6">
        <w:rPr>
          <w:rFonts w:ascii="Arial" w:eastAsia="Times New Roman" w:hAnsi="Arial" w:cs="Arial"/>
          <w:bCs/>
          <w:sz w:val="20"/>
          <w:szCs w:val="20"/>
        </w:rPr>
        <w:t>,</w:t>
      </w:r>
    </w:p>
    <w:p w14:paraId="2A07AF6C" w14:textId="77777777" w:rsidR="00827FD6" w:rsidRDefault="006241FB" w:rsidP="00827FD6">
      <w:pPr>
        <w:pStyle w:val="ListParagraph"/>
        <w:numPr>
          <w:ilvl w:val="0"/>
          <w:numId w:val="18"/>
        </w:numPr>
        <w:suppressAutoHyphens w:val="0"/>
        <w:spacing w:before="120" w:after="120" w:line="240" w:lineRule="auto"/>
        <w:ind w:leftChars="0" w:left="426" w:firstLineChars="0"/>
        <w:jc w:val="both"/>
        <w:textDirection w:val="lrTb"/>
        <w:textAlignment w:val="auto"/>
        <w:outlineLvl w:val="2"/>
        <w:rPr>
          <w:rFonts w:ascii="Arial" w:eastAsia="Times New Roman" w:hAnsi="Arial" w:cs="Arial"/>
          <w:bCs/>
          <w:sz w:val="20"/>
          <w:szCs w:val="20"/>
        </w:rPr>
      </w:pPr>
      <w:r w:rsidRPr="00827FD6">
        <w:rPr>
          <w:rFonts w:ascii="Arial" w:eastAsia="Times New Roman" w:hAnsi="Arial" w:cs="Arial"/>
          <w:bCs/>
          <w:sz w:val="20"/>
          <w:szCs w:val="20"/>
        </w:rPr>
        <w:t>minimizes segregation of fine particles during sample assembly, and</w:t>
      </w:r>
    </w:p>
    <w:p w14:paraId="03E1976F" w14:textId="77777777" w:rsidR="006241FB" w:rsidRPr="00827FD6" w:rsidRDefault="006241FB" w:rsidP="00827FD6">
      <w:pPr>
        <w:pStyle w:val="ListParagraph"/>
        <w:numPr>
          <w:ilvl w:val="0"/>
          <w:numId w:val="18"/>
        </w:numPr>
        <w:suppressAutoHyphens w:val="0"/>
        <w:spacing w:before="120" w:after="120" w:line="240" w:lineRule="auto"/>
        <w:ind w:leftChars="0" w:left="426" w:firstLineChars="0"/>
        <w:jc w:val="both"/>
        <w:textDirection w:val="lrTb"/>
        <w:textAlignment w:val="auto"/>
        <w:outlineLvl w:val="2"/>
        <w:rPr>
          <w:rFonts w:ascii="Arial" w:eastAsia="Times New Roman" w:hAnsi="Arial" w:cs="Arial"/>
          <w:bCs/>
          <w:sz w:val="20"/>
          <w:szCs w:val="20"/>
        </w:rPr>
      </w:pPr>
      <w:r w:rsidRPr="00827FD6">
        <w:rPr>
          <w:rFonts w:ascii="Arial" w:eastAsia="Times New Roman" w:hAnsi="Arial" w:cs="Arial"/>
          <w:bCs/>
          <w:sz w:val="20"/>
          <w:szCs w:val="20"/>
        </w:rPr>
        <w:t>is more practical than alternative methods such as air pluviation or slurry deposition.</w:t>
      </w:r>
    </w:p>
    <w:p w14:paraId="007B1E99" w14:textId="77777777" w:rsidR="006241FB" w:rsidRPr="006241FB" w:rsidRDefault="006241FB" w:rsidP="006241FB">
      <w:pPr>
        <w:pStyle w:val="ListParagraph"/>
        <w:suppressAutoHyphens w:val="0"/>
        <w:spacing w:before="120" w:after="120" w:line="240" w:lineRule="auto"/>
        <w:ind w:leftChars="0" w:left="426" w:firstLineChars="0" w:firstLine="0"/>
        <w:jc w:val="both"/>
        <w:textDirection w:val="lrTb"/>
        <w:textAlignment w:val="auto"/>
        <w:outlineLvl w:val="2"/>
        <w:rPr>
          <w:rFonts w:ascii="Arial" w:eastAsia="Times New Roman" w:hAnsi="Arial" w:cs="Arial"/>
          <w:bCs/>
          <w:sz w:val="20"/>
          <w:szCs w:val="20"/>
        </w:rPr>
      </w:pPr>
    </w:p>
    <w:p w14:paraId="0E517993" w14:textId="77777777" w:rsidR="009D030F" w:rsidRPr="00642264" w:rsidRDefault="009D030F" w:rsidP="005E6F5C">
      <w:pPr>
        <w:spacing w:beforeLines="60" w:before="144" w:after="60" w:line="240" w:lineRule="auto"/>
        <w:ind w:left="0" w:hanging="2"/>
        <w:jc w:val="both"/>
        <w:outlineLvl w:val="2"/>
        <w:rPr>
          <w:rFonts w:ascii="Arial" w:eastAsia="Times New Roman" w:hAnsi="Arial" w:cs="Arial"/>
          <w:b/>
          <w:bCs/>
          <w:sz w:val="20"/>
          <w:szCs w:val="20"/>
        </w:rPr>
      </w:pPr>
      <w:r w:rsidRPr="00642264">
        <w:rPr>
          <w:rFonts w:ascii="Arial" w:eastAsia="Times New Roman" w:hAnsi="Arial" w:cs="Arial"/>
          <w:b/>
          <w:bCs/>
          <w:sz w:val="20"/>
          <w:szCs w:val="20"/>
        </w:rPr>
        <w:t>Consolidated Undrained (CU) Triaxial Test Procedure</w:t>
      </w:r>
    </w:p>
    <w:p w14:paraId="66B1B366" w14:textId="77777777" w:rsidR="005E6F5C" w:rsidRDefault="005E6F5C" w:rsidP="005E6F5C">
      <w:pPr>
        <w:spacing w:beforeLines="60" w:before="144" w:after="60" w:line="240" w:lineRule="auto"/>
        <w:ind w:left="0" w:hanging="2"/>
        <w:jc w:val="both"/>
        <w:outlineLvl w:val="2"/>
        <w:rPr>
          <w:rFonts w:ascii="Arial" w:eastAsia="Times New Roman" w:hAnsi="Arial" w:cs="Arial"/>
          <w:bCs/>
          <w:sz w:val="20"/>
          <w:szCs w:val="20"/>
        </w:rPr>
      </w:pPr>
      <w:r w:rsidRPr="005E6F5C">
        <w:rPr>
          <w:rFonts w:ascii="Arial" w:eastAsia="Times New Roman" w:hAnsi="Arial" w:cs="Arial"/>
          <w:bCs/>
          <w:sz w:val="20"/>
          <w:szCs w:val="20"/>
        </w:rPr>
        <w:t xml:space="preserve">Monotonic Consolidated Undrained (CU) triaxial compression tests were conducted in accordance with ASTM D4767 (2011) and SNI 03-2455:1991 </w:t>
      </w:r>
      <w:r w:rsidR="009D030F" w:rsidRPr="00642264">
        <w:rPr>
          <w:rFonts w:ascii="Arial" w:eastAsia="Times New Roman" w:hAnsi="Arial" w:cs="Arial"/>
          <w:bCs/>
          <w:sz w:val="20"/>
          <w:szCs w:val="20"/>
        </w:rPr>
        <w:t>(Figure 4). The CU test</w:t>
      </w:r>
      <w:r w:rsidR="003303C8">
        <w:rPr>
          <w:rFonts w:ascii="Arial" w:eastAsia="Times New Roman" w:hAnsi="Arial" w:cs="Arial"/>
          <w:bCs/>
          <w:sz w:val="20"/>
          <w:szCs w:val="20"/>
        </w:rPr>
        <w:t xml:space="preserve"> was selected because it </w:t>
      </w:r>
      <w:r w:rsidRPr="005E6F5C">
        <w:rPr>
          <w:rFonts w:ascii="Arial" w:eastAsia="Times New Roman" w:hAnsi="Arial" w:cs="Arial"/>
          <w:bCs/>
          <w:sz w:val="20"/>
          <w:szCs w:val="20"/>
        </w:rPr>
        <w:t xml:space="preserve"> simulates the undrained behavior of saturated soils under axial loading and allows measurement of excess pore water pressure </w:t>
      </w:r>
      <m:oMath>
        <m:r>
          <w:rPr>
            <w:rFonts w:ascii="Cambria Math" w:hAnsi="Cambria Math" w:cs="Arial"/>
            <w:sz w:val="20"/>
            <w:szCs w:val="20"/>
          </w:rPr>
          <m:t>(Δu),</m:t>
        </m:r>
      </m:oMath>
      <w:r w:rsidRPr="005E6F5C">
        <w:rPr>
          <w:rFonts w:ascii="Arial" w:hAnsi="Arial" w:cs="Arial"/>
          <w:sz w:val="20"/>
          <w:szCs w:val="20"/>
        </w:rPr>
        <w:t xml:space="preserve"> deformation, and the effective stress path </w:t>
      </w:r>
      <m:oMath>
        <m:r>
          <w:rPr>
            <w:rFonts w:ascii="Cambria Math" w:hAnsi="Cambria Math" w:cs="Arial"/>
            <w:sz w:val="20"/>
            <w:szCs w:val="20"/>
          </w:rPr>
          <m:t>(p'-q).</m:t>
        </m:r>
      </m:oMath>
    </w:p>
    <w:p w14:paraId="4A3C41D5" w14:textId="77777777" w:rsidR="009D030F" w:rsidRPr="00642264" w:rsidRDefault="009D030F" w:rsidP="005E6F5C">
      <w:pPr>
        <w:spacing w:beforeLines="60" w:before="144" w:after="60" w:line="240" w:lineRule="auto"/>
        <w:ind w:left="0" w:hanging="2"/>
        <w:jc w:val="both"/>
        <w:outlineLvl w:val="2"/>
        <w:rPr>
          <w:rFonts w:ascii="Arial" w:eastAsia="Times New Roman" w:hAnsi="Arial" w:cs="Arial"/>
          <w:bCs/>
          <w:sz w:val="20"/>
          <w:szCs w:val="20"/>
        </w:rPr>
      </w:pPr>
      <w:r w:rsidRPr="00642264">
        <w:rPr>
          <w:rFonts w:ascii="Arial" w:eastAsia="Times New Roman" w:hAnsi="Arial" w:cs="Arial"/>
          <w:bCs/>
          <w:sz w:val="20"/>
          <w:szCs w:val="20"/>
        </w:rPr>
        <w:t>The testing procedure consisted of the following stages:</w:t>
      </w:r>
    </w:p>
    <w:p w14:paraId="04B66E96" w14:textId="77777777" w:rsidR="000953EF" w:rsidRDefault="009D030F" w:rsidP="000953EF">
      <w:pPr>
        <w:pStyle w:val="ListParagraph"/>
        <w:numPr>
          <w:ilvl w:val="0"/>
          <w:numId w:val="15"/>
        </w:numPr>
        <w:tabs>
          <w:tab w:val="clear" w:pos="720"/>
          <w:tab w:val="num" w:pos="426"/>
        </w:tabs>
        <w:suppressAutoHyphens w:val="0"/>
        <w:spacing w:before="60" w:after="60" w:line="240" w:lineRule="auto"/>
        <w:ind w:leftChars="0" w:left="284" w:firstLineChars="0" w:hanging="284"/>
        <w:contextualSpacing w:val="0"/>
        <w:jc w:val="both"/>
        <w:textDirection w:val="lrTb"/>
        <w:textAlignment w:val="auto"/>
        <w:outlineLvl w:val="2"/>
        <w:rPr>
          <w:rFonts w:ascii="Arial" w:eastAsia="Times New Roman" w:hAnsi="Arial" w:cs="Arial"/>
          <w:bCs/>
          <w:sz w:val="20"/>
          <w:szCs w:val="20"/>
        </w:rPr>
      </w:pPr>
      <w:r w:rsidRPr="005209EB">
        <w:rPr>
          <w:rFonts w:ascii="Arial" w:eastAsia="Times New Roman" w:hAnsi="Arial" w:cs="Arial"/>
          <w:bCs/>
          <w:sz w:val="20"/>
          <w:szCs w:val="20"/>
        </w:rPr>
        <w:t>Saturation stage. The specimens were saturated by applying back pressure until the Skempton par</w:t>
      </w:r>
      <w:r w:rsidR="00BF469A" w:rsidRPr="005209EB">
        <w:rPr>
          <w:rFonts w:ascii="Arial" w:eastAsia="Times New Roman" w:hAnsi="Arial" w:cs="Arial"/>
          <w:bCs/>
          <w:sz w:val="20"/>
          <w:szCs w:val="20"/>
        </w:rPr>
        <w:t>ameter (B-value) reached ≥ 0.95.</w:t>
      </w:r>
      <w:r w:rsidRPr="005209EB">
        <w:rPr>
          <w:rFonts w:ascii="Arial" w:eastAsia="Times New Roman" w:hAnsi="Arial" w:cs="Arial"/>
          <w:bCs/>
          <w:sz w:val="20"/>
          <w:szCs w:val="20"/>
        </w:rPr>
        <w:t xml:space="preserve"> This step was essential to ensure full saturation so that any volume change would be entirely governed by pore water pressure.</w:t>
      </w:r>
      <w:r w:rsidR="005209EB" w:rsidRPr="005209EB">
        <w:rPr>
          <w:rFonts w:ascii="Arial" w:eastAsia="Times New Roman" w:hAnsi="Arial" w:cs="Arial"/>
          <w:bCs/>
          <w:sz w:val="20"/>
          <w:szCs w:val="20"/>
        </w:rPr>
        <w:t xml:space="preserve"> Ensuring full saturation and consistent test repeatability aligns with the recommended laboratory procedures for obtaining reliable critical-state behavior in triaxial testing</w:t>
      </w:r>
      <w:r w:rsidR="003303C8">
        <w:rPr>
          <w:rFonts w:ascii="Arial" w:eastAsia="Times New Roman" w:hAnsi="Arial" w:cs="Arial"/>
          <w:bCs/>
          <w:sz w:val="20"/>
          <w:szCs w:val="20"/>
        </w:rPr>
        <w:t xml:space="preserve"> </w:t>
      </w:r>
      <w:r w:rsidR="005209EB">
        <w:rPr>
          <w:rFonts w:ascii="Arial" w:eastAsia="Times New Roman" w:hAnsi="Arial" w:cs="Arial"/>
          <w:bCs/>
          <w:sz w:val="20"/>
          <w:szCs w:val="20"/>
        </w:rPr>
        <w:fldChar w:fldCharType="begin" w:fldLock="1"/>
      </w:r>
      <w:r w:rsidR="005052C4">
        <w:rPr>
          <w:rFonts w:ascii="Arial" w:eastAsia="Times New Roman" w:hAnsi="Arial" w:cs="Arial"/>
          <w:bCs/>
          <w:sz w:val="20"/>
          <w:szCs w:val="20"/>
        </w:rPr>
        <w:instrText>ADDIN CSL_CITATION {"citationItems":[{"id":"ITEM-1","itemData":{"DOI":"10.3390/geotechnics1010006","ISSN":"26737094","abstract":"The critical state theory is a robust conceptual framework for the characterisation of soil behaviour. In the laboratory, triaxial tests are used to assess the critical state locus. In the last decades, the equipment and testing procedures for soil characterisation, within the critical state framework, have advanced to obtain accurate and reliable results. This review paper summarises and describes a series of recommended laboratory procedures to assess the critical state locus in cohesionless soils. For this purpose, results obtained in the laboratory from different cohesionless soils and triaxial equipment configurations are compiled, analysed and discussed in detail. The procedures presented in this paper reinforce the use of triaxial cells with lubricated end platens and an embedded connection piston into the top-cap, together with the verification of the full saturation condition and the measurement end-of-test water content—preferable using the soil freezing technique. The experimental evidence and comparison between equipment configurations provide relevant insights about the laboratory procedures for obtaining a reliable characterisation of the critical state locus of cohesionless geomaterials. All the procedures recommended herein can be easily implemented in academic and commercial geotechnical laboratories.","author":[{"dropping-particle":"","family":"Fonseca","given":"António Viana","non-dropping-particle":"da","parse-names":false,"suffix":""},{"dropping-particle":"","family":"Cordeiro","given":"Diana","non-dropping-particle":"","parse-names":false,"suffix":""},{"dropping-particle":"","family":"Molina-Gómez","given":"Fausto","non-dropping-particle":"","parse-names":false,"suffix":""}],"container-title":"Geotechnics","id":"ITEM-1","issue":"1","issued":{"date-parts":[["2021"]]},"page":"95-127","title":"Recommended Procedures to Assess Critical State Locus from Triaxial Tests in Cohesionless Remoulded Samples","type":"article-journal","volume":"1"},"uris":["http://www.mendeley.com/documents/?uuid=a0a7bfb8-8c33-462c-9fbc-01dd1ad6854a"]}],"mendeley":{"formattedCitation":"[23]","plainTextFormattedCitation":"[23]","previouslyFormattedCitation":"[24]"},"properties":{"noteIndex":0},"schema":"https://github.com/citation-style-language/schema/raw/master/csl-citation.json"}</w:instrText>
      </w:r>
      <w:r w:rsidR="005209EB">
        <w:rPr>
          <w:rFonts w:ascii="Arial" w:eastAsia="Times New Roman" w:hAnsi="Arial" w:cs="Arial"/>
          <w:bCs/>
          <w:sz w:val="20"/>
          <w:szCs w:val="20"/>
        </w:rPr>
        <w:fldChar w:fldCharType="separate"/>
      </w:r>
      <w:r w:rsidR="005052C4" w:rsidRPr="005052C4">
        <w:rPr>
          <w:rFonts w:ascii="Arial" w:eastAsia="Times New Roman" w:hAnsi="Arial" w:cs="Arial"/>
          <w:bCs/>
          <w:noProof/>
          <w:sz w:val="20"/>
          <w:szCs w:val="20"/>
        </w:rPr>
        <w:t>[23]</w:t>
      </w:r>
      <w:r w:rsidR="005209EB">
        <w:rPr>
          <w:rFonts w:ascii="Arial" w:eastAsia="Times New Roman" w:hAnsi="Arial" w:cs="Arial"/>
          <w:bCs/>
          <w:sz w:val="20"/>
          <w:szCs w:val="20"/>
        </w:rPr>
        <w:fldChar w:fldCharType="end"/>
      </w:r>
      <w:r w:rsidR="005209EB">
        <w:rPr>
          <w:rFonts w:ascii="Arial" w:eastAsia="Times New Roman" w:hAnsi="Arial" w:cs="Arial"/>
          <w:bCs/>
          <w:sz w:val="20"/>
          <w:szCs w:val="20"/>
        </w:rPr>
        <w:t>.</w:t>
      </w:r>
    </w:p>
    <w:p w14:paraId="65BD1AAD" w14:textId="77777777" w:rsidR="005209EB" w:rsidRPr="000953EF" w:rsidRDefault="009D030F" w:rsidP="000953EF">
      <w:pPr>
        <w:pStyle w:val="ListParagraph"/>
        <w:numPr>
          <w:ilvl w:val="0"/>
          <w:numId w:val="15"/>
        </w:numPr>
        <w:tabs>
          <w:tab w:val="clear" w:pos="720"/>
          <w:tab w:val="num" w:pos="426"/>
        </w:tabs>
        <w:suppressAutoHyphens w:val="0"/>
        <w:spacing w:before="60" w:after="60" w:line="240" w:lineRule="auto"/>
        <w:ind w:leftChars="0" w:left="284" w:firstLineChars="0" w:hanging="284"/>
        <w:contextualSpacing w:val="0"/>
        <w:jc w:val="both"/>
        <w:textDirection w:val="lrTb"/>
        <w:textAlignment w:val="auto"/>
        <w:outlineLvl w:val="2"/>
        <w:rPr>
          <w:rFonts w:ascii="Arial" w:eastAsia="Times New Roman" w:hAnsi="Arial" w:cs="Arial"/>
          <w:bCs/>
          <w:sz w:val="20"/>
          <w:szCs w:val="20"/>
        </w:rPr>
      </w:pPr>
      <w:r w:rsidRPr="000953EF">
        <w:rPr>
          <w:rFonts w:ascii="Arial" w:eastAsia="Times New Roman" w:hAnsi="Arial" w:cs="Arial"/>
          <w:bCs/>
          <w:sz w:val="20"/>
          <w:szCs w:val="20"/>
        </w:rPr>
        <w:t xml:space="preserve">Isotropic consolidation stage. Once saturation was achieved, the specimens were isotropically consolidated under initial mean effective stresses </w:t>
      </w:r>
      <w:r w:rsidR="00D56EB9" w:rsidRPr="000953EF">
        <w:rPr>
          <w:rFonts w:ascii="Arial" w:eastAsia="Times New Roman" w:hAnsi="Arial" w:cs="Arial"/>
          <w:bCs/>
          <w:position w:val="0"/>
          <w:sz w:val="20"/>
          <w:szCs w:val="20"/>
        </w:rPr>
        <w:t>(</w:t>
      </w:r>
      <m:oMath>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oMath>
      <w:r w:rsidR="00D56EB9" w:rsidRPr="000953EF">
        <w:rPr>
          <w:rFonts w:ascii="Arial" w:eastAsia="Times New Roman" w:hAnsi="Arial" w:cs="Arial"/>
          <w:bCs/>
          <w:position w:val="0"/>
          <w:sz w:val="20"/>
          <w:szCs w:val="20"/>
        </w:rPr>
        <w:t xml:space="preserve">) </w:t>
      </w:r>
      <w:r w:rsidRPr="000953EF">
        <w:rPr>
          <w:rFonts w:ascii="Arial" w:eastAsia="Times New Roman" w:hAnsi="Arial" w:cs="Arial"/>
          <w:bCs/>
          <w:sz w:val="20"/>
          <w:szCs w:val="20"/>
        </w:rPr>
        <w:t>of 1</w:t>
      </w:r>
      <w:r w:rsidR="00923100" w:rsidRPr="000953EF">
        <w:rPr>
          <w:rFonts w:ascii="Arial" w:eastAsia="Times New Roman" w:hAnsi="Arial" w:cs="Arial"/>
          <w:bCs/>
          <w:sz w:val="20"/>
          <w:szCs w:val="20"/>
        </w:rPr>
        <w:t>00</w:t>
      </w:r>
      <w:r w:rsidRPr="000953EF">
        <w:rPr>
          <w:rFonts w:ascii="Arial" w:eastAsia="Times New Roman" w:hAnsi="Arial" w:cs="Arial"/>
          <w:bCs/>
          <w:sz w:val="20"/>
          <w:szCs w:val="20"/>
        </w:rPr>
        <w:t>, 1</w:t>
      </w:r>
      <w:r w:rsidR="00923100" w:rsidRPr="000953EF">
        <w:rPr>
          <w:rFonts w:ascii="Arial" w:eastAsia="Times New Roman" w:hAnsi="Arial" w:cs="Arial"/>
          <w:bCs/>
          <w:sz w:val="20"/>
          <w:szCs w:val="20"/>
        </w:rPr>
        <w:t>50</w:t>
      </w:r>
      <w:r w:rsidRPr="000953EF">
        <w:rPr>
          <w:rFonts w:ascii="Arial" w:eastAsia="Times New Roman" w:hAnsi="Arial" w:cs="Arial"/>
          <w:bCs/>
          <w:sz w:val="20"/>
          <w:szCs w:val="20"/>
        </w:rPr>
        <w:t>, and 2</w:t>
      </w:r>
      <w:r w:rsidR="00923100" w:rsidRPr="000953EF">
        <w:rPr>
          <w:rFonts w:ascii="Arial" w:eastAsia="Times New Roman" w:hAnsi="Arial" w:cs="Arial"/>
          <w:bCs/>
          <w:sz w:val="20"/>
          <w:szCs w:val="20"/>
        </w:rPr>
        <w:t>00</w:t>
      </w:r>
      <w:r w:rsidRPr="000953EF">
        <w:rPr>
          <w:rFonts w:ascii="Arial" w:eastAsia="Times New Roman" w:hAnsi="Arial" w:cs="Arial"/>
          <w:bCs/>
          <w:sz w:val="20"/>
          <w:szCs w:val="20"/>
        </w:rPr>
        <w:t xml:space="preserve"> </w:t>
      </w:r>
      <w:r w:rsidR="00923100" w:rsidRPr="000953EF">
        <w:rPr>
          <w:rFonts w:ascii="Arial" w:eastAsia="Times New Roman" w:hAnsi="Arial" w:cs="Arial"/>
          <w:bCs/>
          <w:sz w:val="20"/>
          <w:szCs w:val="20"/>
        </w:rPr>
        <w:t>kPa</w:t>
      </w:r>
      <w:r w:rsidRPr="000953EF">
        <w:rPr>
          <w:rFonts w:ascii="Arial" w:eastAsia="Times New Roman" w:hAnsi="Arial" w:cs="Arial"/>
          <w:bCs/>
          <w:sz w:val="20"/>
          <w:szCs w:val="20"/>
        </w:rPr>
        <w:t>. These stress levels simulated different in-situ effective stress conditions corresponding to soil depth.</w:t>
      </w:r>
      <w:r w:rsidR="000953EF" w:rsidRPr="000953EF">
        <w:rPr>
          <w:rFonts w:ascii="Arial" w:eastAsia="Times New Roman" w:hAnsi="Arial" w:cs="Arial"/>
          <w:bCs/>
          <w:sz w:val="20"/>
          <w:szCs w:val="20"/>
        </w:rPr>
        <w:t xml:space="preserve"> This stress range reflects the effective stress conditions of the upper 5</w:t>
      </w:r>
      <w:r w:rsidR="000953EF">
        <w:rPr>
          <w:rFonts w:ascii="Arial" w:eastAsia="Times New Roman" w:hAnsi="Arial" w:cs="Arial"/>
          <w:bCs/>
          <w:sz w:val="20"/>
          <w:szCs w:val="20"/>
        </w:rPr>
        <w:t>-</w:t>
      </w:r>
      <w:r w:rsidR="000953EF" w:rsidRPr="000953EF">
        <w:rPr>
          <w:rFonts w:ascii="Arial" w:eastAsia="Times New Roman" w:hAnsi="Arial" w:cs="Arial"/>
          <w:bCs/>
          <w:sz w:val="20"/>
          <w:szCs w:val="20"/>
        </w:rPr>
        <w:t>10 m of the Petobo deposit, which correspond to the zone where liquefaction triggering and flow deformation were observed during the 2018 Palu event</w:t>
      </w:r>
      <w:r w:rsidR="000953EF">
        <w:rPr>
          <w:rFonts w:ascii="Arial" w:eastAsia="Times New Roman" w:hAnsi="Arial" w:cs="Arial"/>
          <w:bCs/>
          <w:sz w:val="20"/>
          <w:szCs w:val="20"/>
        </w:rPr>
        <w:t>.</w:t>
      </w:r>
    </w:p>
    <w:p w14:paraId="22B542CE" w14:textId="77777777" w:rsidR="008D7808" w:rsidRPr="005209EB" w:rsidRDefault="009D030F" w:rsidP="005209EB">
      <w:pPr>
        <w:pStyle w:val="ListParagraph"/>
        <w:numPr>
          <w:ilvl w:val="0"/>
          <w:numId w:val="15"/>
        </w:numPr>
        <w:tabs>
          <w:tab w:val="clear" w:pos="720"/>
          <w:tab w:val="num" w:pos="426"/>
        </w:tabs>
        <w:suppressAutoHyphens w:val="0"/>
        <w:spacing w:before="60" w:after="60" w:line="240" w:lineRule="auto"/>
        <w:ind w:leftChars="0" w:left="284" w:firstLineChars="0" w:hanging="284"/>
        <w:contextualSpacing w:val="0"/>
        <w:jc w:val="both"/>
        <w:textDirection w:val="lrTb"/>
        <w:textAlignment w:val="auto"/>
        <w:outlineLvl w:val="2"/>
        <w:rPr>
          <w:rFonts w:ascii="Arial" w:eastAsia="Times New Roman" w:hAnsi="Arial" w:cs="Arial"/>
          <w:bCs/>
          <w:sz w:val="20"/>
          <w:szCs w:val="20"/>
        </w:rPr>
      </w:pPr>
      <w:r w:rsidRPr="005209EB">
        <w:rPr>
          <w:rFonts w:ascii="Arial" w:eastAsia="Times New Roman" w:hAnsi="Arial" w:cs="Arial"/>
          <w:bCs/>
          <w:sz w:val="20"/>
          <w:szCs w:val="20"/>
        </w:rPr>
        <w:t>Monotonic shearing stage. The specimens were axially loaded under strain-controlled conditions at a constant rate of 0.05 mm/min. The tests were continued until axial strains exceeded 20% to ensure that the soil specimens reached the critical state</w:t>
      </w:r>
    </w:p>
    <w:p w14:paraId="1ED09827" w14:textId="77777777" w:rsidR="009D030F" w:rsidRPr="009D030F" w:rsidRDefault="009D030F" w:rsidP="005E6F5C">
      <w:pPr>
        <w:pStyle w:val="ListParagraph"/>
        <w:spacing w:after="0" w:line="240" w:lineRule="auto"/>
        <w:ind w:leftChars="0" w:left="0" w:firstLineChars="0" w:firstLine="0"/>
        <w:jc w:val="center"/>
        <w:rPr>
          <w:rFonts w:ascii="Arial" w:eastAsia="Arial" w:hAnsi="Arial" w:cs="Arial"/>
          <w:b/>
          <w:color w:val="1F4E79"/>
          <w:sz w:val="20"/>
          <w:szCs w:val="20"/>
        </w:rPr>
      </w:pPr>
      <w:r>
        <w:rPr>
          <w:noProof/>
        </w:rPr>
        <w:drawing>
          <wp:inline distT="0" distB="0" distL="0" distR="0" wp14:anchorId="74911237" wp14:editId="7C74AD81">
            <wp:extent cx="2710289" cy="3549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92577" cy="3657423"/>
                    </a:xfrm>
                    <a:prstGeom prst="rect">
                      <a:avLst/>
                    </a:prstGeom>
                  </pic:spPr>
                </pic:pic>
              </a:graphicData>
            </a:graphic>
          </wp:inline>
        </w:drawing>
      </w:r>
    </w:p>
    <w:p w14:paraId="4369D64D" w14:textId="77777777" w:rsidR="009D030F" w:rsidRDefault="009D030F" w:rsidP="009D030F">
      <w:pPr>
        <w:spacing w:after="0" w:line="240" w:lineRule="auto"/>
        <w:ind w:leftChars="0" w:left="0" w:firstLineChars="0" w:firstLine="0"/>
        <w:jc w:val="both"/>
        <w:rPr>
          <w:rFonts w:ascii="Arial" w:eastAsia="Arial" w:hAnsi="Arial" w:cs="Arial"/>
          <w:b/>
          <w:color w:val="1F4E79"/>
          <w:sz w:val="20"/>
          <w:szCs w:val="20"/>
        </w:rPr>
      </w:pPr>
    </w:p>
    <w:p w14:paraId="4E4F2269" w14:textId="77777777" w:rsidR="009D030F" w:rsidRDefault="009D030F" w:rsidP="00FA67FF">
      <w:pPr>
        <w:spacing w:after="0" w:line="240" w:lineRule="auto"/>
        <w:ind w:leftChars="0" w:left="0" w:firstLineChars="0" w:firstLine="0"/>
        <w:jc w:val="center"/>
        <w:rPr>
          <w:rFonts w:ascii="Arial" w:eastAsia="Times New Roman" w:hAnsi="Arial" w:cs="Arial"/>
          <w:iCs/>
          <w:sz w:val="20"/>
          <w:szCs w:val="20"/>
        </w:rPr>
      </w:pPr>
      <w:r w:rsidRPr="00CC523E">
        <w:rPr>
          <w:rFonts w:ascii="Arial" w:eastAsia="Times New Roman" w:hAnsi="Arial" w:cs="Arial"/>
          <w:b/>
          <w:bCs/>
          <w:iCs/>
          <w:sz w:val="20"/>
          <w:szCs w:val="20"/>
        </w:rPr>
        <w:t>Figure 4.</w:t>
      </w:r>
      <w:r w:rsidRPr="00CC523E">
        <w:rPr>
          <w:rFonts w:ascii="Arial" w:eastAsia="Times New Roman" w:hAnsi="Arial" w:cs="Arial"/>
          <w:iCs/>
          <w:sz w:val="20"/>
          <w:szCs w:val="20"/>
        </w:rPr>
        <w:t xml:space="preserve"> Consolidated Undrained (CU) triaxial compression test apparatus</w:t>
      </w:r>
    </w:p>
    <w:p w14:paraId="4CE7F933" w14:textId="77777777" w:rsidR="005209EB" w:rsidRDefault="005209EB" w:rsidP="00FA67FF">
      <w:pPr>
        <w:spacing w:after="0" w:line="240" w:lineRule="auto"/>
        <w:ind w:leftChars="0" w:left="0" w:firstLineChars="0" w:firstLine="0"/>
        <w:jc w:val="center"/>
        <w:rPr>
          <w:rFonts w:ascii="Arial" w:eastAsia="Times New Roman" w:hAnsi="Arial" w:cs="Arial"/>
          <w:iCs/>
          <w:sz w:val="20"/>
          <w:szCs w:val="20"/>
        </w:rPr>
      </w:pPr>
    </w:p>
    <w:p w14:paraId="7A4FF84F" w14:textId="77777777" w:rsidR="005E6F5C" w:rsidRPr="005E6F5C" w:rsidRDefault="005E6F5C" w:rsidP="005E6F5C">
      <w:pPr>
        <w:spacing w:before="60" w:after="60" w:line="240" w:lineRule="auto"/>
        <w:ind w:leftChars="0" w:left="0" w:firstLineChars="0" w:firstLine="0"/>
        <w:jc w:val="both"/>
        <w:rPr>
          <w:rFonts w:ascii="Arial" w:eastAsia="Times New Roman" w:hAnsi="Arial" w:cs="Arial"/>
          <w:b/>
          <w:iCs/>
          <w:sz w:val="20"/>
          <w:szCs w:val="20"/>
        </w:rPr>
      </w:pPr>
      <w:r w:rsidRPr="005E6F5C">
        <w:rPr>
          <w:rFonts w:ascii="Arial" w:eastAsia="Times New Roman" w:hAnsi="Arial" w:cs="Arial"/>
          <w:b/>
          <w:iCs/>
          <w:sz w:val="20"/>
          <w:szCs w:val="20"/>
        </w:rPr>
        <w:t>Repeatability and Error Control</w:t>
      </w:r>
    </w:p>
    <w:p w14:paraId="68F5E648" w14:textId="77777777" w:rsidR="005209EB" w:rsidRDefault="007240C7" w:rsidP="005209EB">
      <w:pPr>
        <w:spacing w:before="60" w:after="60" w:line="240" w:lineRule="auto"/>
        <w:ind w:leftChars="0" w:left="0" w:firstLineChars="0" w:firstLine="0"/>
        <w:jc w:val="both"/>
        <w:rPr>
          <w:rFonts w:ascii="Arial" w:eastAsia="Times New Roman" w:hAnsi="Arial" w:cs="Arial"/>
          <w:iCs/>
          <w:sz w:val="20"/>
          <w:szCs w:val="20"/>
        </w:rPr>
      </w:pPr>
      <w:r w:rsidRPr="007240C7">
        <w:rPr>
          <w:rFonts w:ascii="Arial" w:eastAsia="Times New Roman" w:hAnsi="Arial" w:cs="Arial"/>
          <w:iCs/>
          <w:sz w:val="20"/>
          <w:szCs w:val="20"/>
        </w:rPr>
        <w:t>Each test condition was performed at least twice to verify repeatability. Differences in peak and residual deviator stresses remained within ±5%, which is within the acceptable tolerance for manually controlled triaxial tests on natural sands as established in classical laboratory guidelines (Head, 1998) and confirmed in more recent studies on silty sands</w:t>
      </w:r>
      <w:r>
        <w:rPr>
          <w:rFonts w:ascii="Arial" w:eastAsia="Times New Roman" w:hAnsi="Arial" w:cs="Arial"/>
          <w:iCs/>
          <w:sz w:val="20"/>
          <w:szCs w:val="20"/>
        </w:rPr>
        <w:t xml:space="preserve"> </w:t>
      </w:r>
      <w:r w:rsidR="009631FC">
        <w:rPr>
          <w:rFonts w:ascii="Arial" w:eastAsia="Times New Roman" w:hAnsi="Arial" w:cs="Arial"/>
          <w:iCs/>
          <w:sz w:val="20"/>
          <w:szCs w:val="20"/>
        </w:rPr>
        <w:fldChar w:fldCharType="begin" w:fldLock="1"/>
      </w:r>
      <w:r w:rsidR="005052C4">
        <w:rPr>
          <w:rFonts w:ascii="Arial" w:eastAsia="Times New Roman" w:hAnsi="Arial" w:cs="Arial"/>
          <w:iCs/>
          <w:sz w:val="20"/>
          <w:szCs w:val="20"/>
        </w:rPr>
        <w:instrText>ADDIN CSL_CITATION {"citationItems":[{"id":"ITEM-1","itemData":{"DOI":"https://doi.org/10.1155/2020/8886781","abstract":"The residual shear strength of liquefied soil is critical to estimating the displacement of lateral spreading. In the paper, an Artificial Neural Network model was trained to predict the residual shear strength ratio based on the case histories of lateral spreading. High-quality case histories were analyzed with Newmark sliding block method. The Artificial Neural Network model was used to predict the residual shear strength of liquefied soil, and the post-liquefaction yield acceleration corresponding with the residual shear strength was obtained by conducting limit equilibrium analysis. Comparing the predicted residual shear strength ratios to the recorded values for different case histories, the correlation coefficient, R, was 0.92 and the mean squared error (MSE) was 0.001 for the predictions by the Artificial Neural Network model. Comparison between the predicted and reported lateral spreading for each high-quality case history was made. The results showed that the probability of the lateral spreading calculated with the Newmark sliding block method using the residual shear strength was 98% if a lateral spreading ratio of 2.0 was expected and a truncated distribution was used. An exponential relationship was proposed to correlate the residual shear strength ratio to the equivalent clean sand corrected SPT blow count of the liquefied soil.","author":[{"dropping-particle":"","family":"Yang","given":"Yanxin","non-dropping-particle":"","parse-names":false,"suffix":""},{"dropping-particle":"","family":"Yang","given":"Bai","non-dropping-particle":"","parse-names":false,"suffix":""},{"dropping-particle":"","family":"Su","given":"Chunhui","non-dropping-particle":"","parse-names":false,"suffix":""},{"dropping-particle":"","family":"Ma","given":"Jianlin","non-dropping-particle":"","parse-names":false,"suffix":""}],"container-title":"Advances in Civil Engineering","id":"ITEM-1","issued":{"date-parts":[["2020"]]},"title":"Application of Residual Shear Strength Predicted by Artificial Neural Network Model for Evaluating Liquefaction-Induced Lateral Spreading","type":"article-journal","volume":"2020"},"uris":["http://www.mendeley.com/documents/?uuid=7b965bab-554c-4380-af35-0c053c5dd3ae"]}],"mendeley":{"formattedCitation":"[29]","plainTextFormattedCitation":"[29]","previouslyFormattedCitation":"[30]"},"properties":{"noteIndex":0},"schema":"https://github.com/citation-style-language/schema/raw/master/csl-citation.json"}</w:instrText>
      </w:r>
      <w:r w:rsidR="009631FC">
        <w:rPr>
          <w:rFonts w:ascii="Arial" w:eastAsia="Times New Roman" w:hAnsi="Arial" w:cs="Arial"/>
          <w:iCs/>
          <w:sz w:val="20"/>
          <w:szCs w:val="20"/>
        </w:rPr>
        <w:fldChar w:fldCharType="separate"/>
      </w:r>
      <w:r w:rsidR="005052C4" w:rsidRPr="005052C4">
        <w:rPr>
          <w:rFonts w:ascii="Arial" w:eastAsia="Times New Roman" w:hAnsi="Arial" w:cs="Arial"/>
          <w:iCs/>
          <w:noProof/>
          <w:sz w:val="20"/>
          <w:szCs w:val="20"/>
        </w:rPr>
        <w:t>[29]</w:t>
      </w:r>
      <w:r w:rsidR="009631FC">
        <w:rPr>
          <w:rFonts w:ascii="Arial" w:eastAsia="Times New Roman" w:hAnsi="Arial" w:cs="Arial"/>
          <w:iCs/>
          <w:sz w:val="20"/>
          <w:szCs w:val="20"/>
        </w:rPr>
        <w:fldChar w:fldCharType="end"/>
      </w:r>
      <w:r w:rsidR="009631FC">
        <w:rPr>
          <w:rFonts w:ascii="Arial" w:eastAsia="Times New Roman" w:hAnsi="Arial" w:cs="Arial"/>
          <w:iCs/>
          <w:sz w:val="20"/>
          <w:szCs w:val="20"/>
        </w:rPr>
        <w:t>.</w:t>
      </w:r>
    </w:p>
    <w:p w14:paraId="3C905476" w14:textId="77777777" w:rsidR="005E6F5C" w:rsidRDefault="005E6F5C" w:rsidP="005209EB">
      <w:pPr>
        <w:spacing w:before="60" w:after="60" w:line="240" w:lineRule="auto"/>
        <w:ind w:leftChars="0" w:left="0" w:firstLineChars="0" w:firstLine="0"/>
        <w:jc w:val="both"/>
        <w:rPr>
          <w:rFonts w:ascii="Arial" w:eastAsia="Times New Roman" w:hAnsi="Arial" w:cs="Arial"/>
          <w:iCs/>
          <w:sz w:val="20"/>
          <w:szCs w:val="20"/>
        </w:rPr>
      </w:pPr>
      <w:r w:rsidRPr="005E6F5C">
        <w:rPr>
          <w:rFonts w:ascii="Arial" w:eastAsia="Times New Roman" w:hAnsi="Arial" w:cs="Arial"/>
          <w:iCs/>
          <w:sz w:val="20"/>
          <w:szCs w:val="20"/>
        </w:rPr>
        <w:t>Average values from the repeated tests were used in analysis, and any test showing deviations beyond this threshold was excluded.</w:t>
      </w:r>
      <w:r w:rsidR="00D0557F">
        <w:rPr>
          <w:rFonts w:ascii="Arial" w:eastAsia="Times New Roman" w:hAnsi="Arial" w:cs="Arial"/>
          <w:iCs/>
          <w:sz w:val="20"/>
          <w:szCs w:val="20"/>
        </w:rPr>
        <w:t xml:space="preserve"> </w:t>
      </w:r>
      <w:r w:rsidRPr="005E6F5C">
        <w:rPr>
          <w:rFonts w:ascii="Arial" w:eastAsia="Times New Roman" w:hAnsi="Arial" w:cs="Arial"/>
          <w:iCs/>
          <w:sz w:val="20"/>
          <w:szCs w:val="20"/>
        </w:rPr>
        <w:t>The consistent trends confirm that the measured stress</w:t>
      </w:r>
      <w:r w:rsidR="00D0557F">
        <w:rPr>
          <w:rFonts w:ascii="Arial" w:eastAsia="Times New Roman" w:hAnsi="Arial" w:cs="Arial"/>
          <w:iCs/>
          <w:sz w:val="20"/>
          <w:szCs w:val="20"/>
        </w:rPr>
        <w:t>-</w:t>
      </w:r>
      <w:r w:rsidRPr="005E6F5C">
        <w:rPr>
          <w:rFonts w:ascii="Arial" w:eastAsia="Times New Roman" w:hAnsi="Arial" w:cs="Arial"/>
          <w:iCs/>
          <w:sz w:val="20"/>
          <w:szCs w:val="20"/>
        </w:rPr>
        <w:t>strain response and residual strength are representative and reliable.</w:t>
      </w:r>
    </w:p>
    <w:p w14:paraId="080519D3" w14:textId="77777777" w:rsidR="009D030F" w:rsidRPr="00464308" w:rsidRDefault="009D030F" w:rsidP="005209EB">
      <w:pPr>
        <w:spacing w:beforeLines="60" w:before="144" w:after="60" w:line="240" w:lineRule="auto"/>
        <w:ind w:leftChars="0" w:left="0" w:firstLineChars="0" w:firstLine="0"/>
        <w:rPr>
          <w:rFonts w:ascii="Arial" w:eastAsia="Times New Roman" w:hAnsi="Arial" w:cs="Arial"/>
          <w:b/>
          <w:bCs/>
          <w:sz w:val="20"/>
          <w:szCs w:val="20"/>
        </w:rPr>
      </w:pPr>
      <w:r w:rsidRPr="00464308">
        <w:rPr>
          <w:rFonts w:ascii="Arial" w:eastAsia="Times New Roman" w:hAnsi="Arial" w:cs="Arial"/>
          <w:b/>
          <w:bCs/>
          <w:sz w:val="20"/>
          <w:szCs w:val="20"/>
        </w:rPr>
        <w:t>Test Data and Graphical Results</w:t>
      </w:r>
    </w:p>
    <w:p w14:paraId="46BC56CB" w14:textId="77777777" w:rsidR="005209EB" w:rsidRPr="00464308" w:rsidRDefault="009D030F" w:rsidP="005209EB">
      <w:pPr>
        <w:spacing w:beforeLines="60" w:before="144" w:after="60" w:line="240" w:lineRule="auto"/>
        <w:ind w:leftChars="0" w:left="0" w:firstLineChars="0" w:firstLine="0"/>
        <w:rPr>
          <w:rFonts w:ascii="Arial" w:eastAsia="Times New Roman" w:hAnsi="Arial" w:cs="Arial"/>
          <w:bCs/>
          <w:sz w:val="20"/>
          <w:szCs w:val="20"/>
        </w:rPr>
      </w:pPr>
      <w:r w:rsidRPr="00464308">
        <w:rPr>
          <w:rFonts w:ascii="Arial" w:eastAsia="Times New Roman" w:hAnsi="Arial" w:cs="Arial"/>
          <w:bCs/>
          <w:sz w:val="20"/>
          <w:szCs w:val="20"/>
        </w:rPr>
        <w:t xml:space="preserve">The CU tests produced </w:t>
      </w:r>
      <w:r w:rsidR="005209EB" w:rsidRPr="005209EB">
        <w:rPr>
          <w:rFonts w:ascii="Arial" w:eastAsia="Times New Roman" w:hAnsi="Arial" w:cs="Arial"/>
          <w:bCs/>
          <w:sz w:val="20"/>
          <w:szCs w:val="20"/>
        </w:rPr>
        <w:t>the following curves</w:t>
      </w:r>
      <w:r w:rsidR="005209EB">
        <w:rPr>
          <w:rFonts w:ascii="Arial" w:eastAsia="Times New Roman" w:hAnsi="Arial" w:cs="Arial"/>
          <w:bCs/>
          <w:sz w:val="20"/>
          <w:szCs w:val="20"/>
        </w:rPr>
        <w:t>:</w:t>
      </w:r>
    </w:p>
    <w:p w14:paraId="425A8ADA" w14:textId="77777777" w:rsidR="009D030F" w:rsidRPr="009D030F" w:rsidRDefault="009D030F" w:rsidP="00FA67FF">
      <w:pPr>
        <w:numPr>
          <w:ilvl w:val="0"/>
          <w:numId w:val="8"/>
        </w:numPr>
        <w:tabs>
          <w:tab w:val="clear" w:pos="720"/>
        </w:tabs>
        <w:suppressAutoHyphens w:val="0"/>
        <w:spacing w:after="0" w:line="240" w:lineRule="auto"/>
        <w:ind w:leftChars="0" w:left="426" w:firstLineChars="0" w:hanging="284"/>
        <w:textDirection w:val="lrTb"/>
        <w:textAlignment w:val="auto"/>
        <w:outlineLvl w:val="9"/>
        <w:rPr>
          <w:rFonts w:ascii="Arial" w:eastAsia="Times New Roman" w:hAnsi="Arial" w:cs="Arial"/>
          <w:bCs/>
          <w:position w:val="0"/>
          <w:sz w:val="20"/>
          <w:szCs w:val="20"/>
        </w:rPr>
      </w:pPr>
      <w:r w:rsidRPr="009D030F">
        <w:rPr>
          <w:rFonts w:ascii="Arial" w:eastAsia="Times New Roman" w:hAnsi="Arial" w:cs="Arial"/>
          <w:bCs/>
          <w:position w:val="0"/>
          <w:sz w:val="20"/>
          <w:szCs w:val="20"/>
        </w:rPr>
        <w:t xml:space="preserve">stress–strain curves </w:t>
      </w:r>
      <m:oMath>
        <m:r>
          <w:rPr>
            <w:rFonts w:ascii="Cambria Math" w:eastAsia="Times New Roman" w:hAnsi="Cambria Math" w:cs="Arial"/>
            <w:position w:val="0"/>
            <w:sz w:val="20"/>
            <w:szCs w:val="20"/>
          </w:rPr>
          <m:t>(q-ε),</m:t>
        </m:r>
      </m:oMath>
    </w:p>
    <w:p w14:paraId="268DB69F" w14:textId="77777777" w:rsidR="009D030F" w:rsidRPr="009D030F" w:rsidRDefault="009D030F" w:rsidP="00FA67FF">
      <w:pPr>
        <w:numPr>
          <w:ilvl w:val="0"/>
          <w:numId w:val="8"/>
        </w:numPr>
        <w:tabs>
          <w:tab w:val="clear" w:pos="720"/>
        </w:tabs>
        <w:suppressAutoHyphens w:val="0"/>
        <w:spacing w:before="100" w:beforeAutospacing="1" w:after="0" w:line="240" w:lineRule="auto"/>
        <w:ind w:leftChars="0" w:left="426" w:firstLineChars="0" w:hanging="284"/>
        <w:textDirection w:val="lrTb"/>
        <w:textAlignment w:val="auto"/>
        <w:outlineLvl w:val="9"/>
        <w:rPr>
          <w:rFonts w:ascii="Arial" w:eastAsia="Times New Roman" w:hAnsi="Arial" w:cs="Arial"/>
          <w:bCs/>
          <w:position w:val="0"/>
          <w:sz w:val="20"/>
          <w:szCs w:val="20"/>
        </w:rPr>
      </w:pPr>
      <w:r w:rsidRPr="009D030F">
        <w:rPr>
          <w:rFonts w:ascii="Arial" w:eastAsia="Times New Roman" w:hAnsi="Arial" w:cs="Arial"/>
          <w:bCs/>
          <w:position w:val="0"/>
          <w:sz w:val="20"/>
          <w:szCs w:val="20"/>
        </w:rPr>
        <w:t xml:space="preserve">excess pore water pressure development </w:t>
      </w:r>
      <m:oMath>
        <m:r>
          <w:rPr>
            <w:rFonts w:ascii="Cambria Math" w:eastAsia="Times New Roman" w:hAnsi="Cambria Math" w:cs="Arial"/>
            <w:position w:val="0"/>
            <w:sz w:val="20"/>
            <w:szCs w:val="20"/>
          </w:rPr>
          <m:t>(Δu-ε)</m:t>
        </m:r>
      </m:oMath>
      <w:r w:rsidRPr="009D030F">
        <w:rPr>
          <w:rFonts w:ascii="Arial" w:eastAsia="Times New Roman" w:hAnsi="Arial" w:cs="Arial"/>
          <w:bCs/>
          <w:position w:val="0"/>
          <w:sz w:val="20"/>
          <w:szCs w:val="20"/>
        </w:rPr>
        <w:t>, and</w:t>
      </w:r>
    </w:p>
    <w:p w14:paraId="25A3BB0B" w14:textId="77777777" w:rsidR="009D030F" w:rsidRPr="009D030F" w:rsidRDefault="009D030F" w:rsidP="00FA67FF">
      <w:pPr>
        <w:numPr>
          <w:ilvl w:val="0"/>
          <w:numId w:val="8"/>
        </w:numPr>
        <w:tabs>
          <w:tab w:val="clear" w:pos="720"/>
        </w:tabs>
        <w:suppressAutoHyphens w:val="0"/>
        <w:spacing w:before="100" w:beforeAutospacing="1" w:after="0" w:line="240" w:lineRule="auto"/>
        <w:ind w:leftChars="0" w:left="426" w:firstLineChars="0" w:hanging="284"/>
        <w:textDirection w:val="lrTb"/>
        <w:textAlignment w:val="auto"/>
        <w:outlineLvl w:val="9"/>
        <w:rPr>
          <w:rFonts w:ascii="Arial" w:eastAsia="Times New Roman" w:hAnsi="Arial" w:cs="Arial"/>
          <w:bCs/>
          <w:position w:val="0"/>
          <w:sz w:val="20"/>
          <w:szCs w:val="20"/>
        </w:rPr>
      </w:pPr>
      <w:r w:rsidRPr="009D030F">
        <w:rPr>
          <w:rFonts w:ascii="Arial" w:eastAsia="Times New Roman" w:hAnsi="Arial" w:cs="Arial"/>
          <w:bCs/>
          <w:position w:val="0"/>
          <w:sz w:val="20"/>
          <w:szCs w:val="20"/>
        </w:rPr>
        <w:t xml:space="preserve">effective stress paths </w:t>
      </w:r>
      <m:oMath>
        <m:r>
          <w:rPr>
            <w:rFonts w:ascii="Cambria Math" w:eastAsia="Times New Roman" w:hAnsi="Cambria Math" w:cs="Arial"/>
            <w:position w:val="0"/>
            <w:sz w:val="20"/>
            <w:szCs w:val="20"/>
          </w:rPr>
          <m:t>(p'-q).</m:t>
        </m:r>
      </m:oMath>
    </w:p>
    <w:p w14:paraId="154B6133" w14:textId="77777777" w:rsidR="009D030F" w:rsidRPr="00F04462" w:rsidRDefault="009D030F" w:rsidP="009D030F">
      <w:pPr>
        <w:spacing w:before="100" w:beforeAutospacing="1" w:after="0" w:line="240" w:lineRule="auto"/>
        <w:ind w:left="0" w:hanging="2"/>
        <w:rPr>
          <w:rFonts w:ascii="Arial" w:eastAsia="Times New Roman" w:hAnsi="Arial" w:cs="Arial"/>
          <w:b/>
          <w:bCs/>
          <w:sz w:val="20"/>
          <w:szCs w:val="20"/>
        </w:rPr>
      </w:pPr>
      <w:r w:rsidRPr="00F04462">
        <w:rPr>
          <w:rFonts w:ascii="Arial" w:eastAsia="Times New Roman" w:hAnsi="Arial" w:cs="Arial"/>
          <w:b/>
          <w:bCs/>
          <w:sz w:val="20"/>
          <w:szCs w:val="20"/>
        </w:rPr>
        <w:t>Parameter Calculation</w:t>
      </w:r>
    </w:p>
    <w:p w14:paraId="07DCB0F5" w14:textId="77777777" w:rsidR="005209EB" w:rsidRPr="005209EB" w:rsidRDefault="00764841" w:rsidP="005209EB">
      <w:pPr>
        <w:pStyle w:val="ListParagraph"/>
        <w:numPr>
          <w:ilvl w:val="0"/>
          <w:numId w:val="13"/>
        </w:numPr>
        <w:suppressAutoHyphens w:val="0"/>
        <w:spacing w:before="60" w:after="60" w:line="240" w:lineRule="auto"/>
        <w:ind w:leftChars="0" w:left="426" w:firstLineChars="0" w:hanging="284"/>
        <w:contextualSpacing w:val="0"/>
        <w:textDirection w:val="lrTb"/>
        <w:textAlignment w:val="auto"/>
        <w:outlineLvl w:val="9"/>
        <w:rPr>
          <w:rFonts w:ascii="Arial" w:eastAsia="Times New Roman" w:hAnsi="Arial" w:cs="Arial"/>
          <w:bCs/>
          <w:position w:val="0"/>
          <w:sz w:val="20"/>
          <w:szCs w:val="20"/>
        </w:rPr>
      </w:pPr>
      <w:r w:rsidRPr="00764841">
        <w:rPr>
          <w:rFonts w:ascii="Arial" w:eastAsia="Times New Roman" w:hAnsi="Arial" w:cs="Arial"/>
          <w:bCs/>
          <w:position w:val="0"/>
          <w:sz w:val="20"/>
          <w:szCs w:val="20"/>
        </w:rPr>
        <w:t>Deviator stress (</w:t>
      </w:r>
      <m:oMath>
        <m:r>
          <w:rPr>
            <w:rFonts w:ascii="Cambria Math" w:eastAsia="Times New Roman" w:hAnsi="Cambria Math" w:cs="Arial"/>
            <w:position w:val="0"/>
            <w:sz w:val="20"/>
            <w:szCs w:val="20"/>
          </w:rPr>
          <m:t>q</m:t>
        </m:r>
      </m:oMath>
      <w:r w:rsidRPr="00764841">
        <w:rPr>
          <w:rFonts w:ascii="Arial" w:eastAsia="Times New Roman" w:hAnsi="Arial" w:cs="Arial"/>
          <w:bCs/>
          <w:position w:val="0"/>
          <w:sz w:val="20"/>
          <w:szCs w:val="20"/>
        </w:rPr>
        <w:t>):</w:t>
      </w:r>
      <w:r w:rsidRPr="00764841">
        <w:rPr>
          <w:rFonts w:ascii="Arial" w:eastAsia="Times New Roman" w:hAnsi="Arial" w:cs="Arial"/>
          <w:bCs/>
          <w:position w:val="0"/>
          <w:sz w:val="20"/>
          <w:szCs w:val="20"/>
        </w:rPr>
        <w:br/>
      </w:r>
      <m:oMath>
        <m:r>
          <w:rPr>
            <w:rFonts w:ascii="Cambria Math" w:eastAsia="Times New Roman" w:hAnsi="Cambria Math" w:cs="Arial"/>
            <w:position w:val="0"/>
            <w:sz w:val="20"/>
            <w:szCs w:val="20"/>
          </w:rPr>
          <m:t>q=(</m:t>
        </m:r>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σ'</m:t>
            </m:r>
          </m:e>
          <m:sub>
            <m:r>
              <w:rPr>
                <w:rFonts w:ascii="Cambria Math" w:eastAsia="Times New Roman" w:hAnsi="Cambria Math" w:cs="Arial"/>
                <w:position w:val="0"/>
                <w:sz w:val="20"/>
                <w:szCs w:val="20"/>
              </w:rPr>
              <m:t>1</m:t>
            </m:r>
          </m:sub>
        </m:sSub>
        <m:r>
          <w:rPr>
            <w:rFonts w:ascii="Cambria Math" w:eastAsia="Times New Roman" w:hAnsi="Cambria Math" w:cs="Arial"/>
            <w:position w:val="0"/>
            <w:sz w:val="20"/>
            <w:szCs w:val="20"/>
          </w:rPr>
          <m:t>'​-</m:t>
        </m:r>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σ'</m:t>
            </m:r>
          </m:e>
          <m:sub>
            <m:r>
              <w:rPr>
                <w:rFonts w:ascii="Cambria Math" w:eastAsia="Times New Roman" w:hAnsi="Cambria Math" w:cs="Arial"/>
                <w:position w:val="0"/>
                <w:sz w:val="20"/>
                <w:szCs w:val="20"/>
              </w:rPr>
              <m:t>3</m:t>
            </m:r>
          </m:sub>
        </m:sSub>
        <m:r>
          <w:rPr>
            <w:rFonts w:ascii="Cambria Math" w:eastAsia="Times New Roman" w:hAnsi="Cambria Math" w:cs="Arial"/>
            <w:position w:val="0"/>
            <w:sz w:val="20"/>
            <w:szCs w:val="20"/>
          </w:rPr>
          <m:t>​)=Δσ</m:t>
        </m:r>
      </m:oMath>
      <w:r w:rsidR="00716C24">
        <w:rPr>
          <w:rFonts w:ascii="Arial" w:eastAsia="Times New Roman" w:hAnsi="Arial" w:cs="Arial"/>
          <w:position w:val="0"/>
          <w:sz w:val="20"/>
          <w:szCs w:val="20"/>
        </w:rPr>
        <w:t xml:space="preserve">                    </w:t>
      </w:r>
      <w:r w:rsidR="005209EB">
        <w:rPr>
          <w:rFonts w:ascii="Arial" w:eastAsia="Times New Roman" w:hAnsi="Arial" w:cs="Arial"/>
          <w:position w:val="0"/>
          <w:sz w:val="20"/>
          <w:szCs w:val="20"/>
        </w:rPr>
        <w:t xml:space="preserve">             (1)</w:t>
      </w:r>
    </w:p>
    <w:p w14:paraId="387D48CC" w14:textId="77777777" w:rsidR="00764841" w:rsidRDefault="005209EB" w:rsidP="005209EB">
      <w:pPr>
        <w:pStyle w:val="ListParagraph"/>
        <w:suppressAutoHyphens w:val="0"/>
        <w:spacing w:before="60" w:after="60" w:line="240" w:lineRule="auto"/>
        <w:ind w:leftChars="0" w:left="426" w:firstLineChars="0" w:firstLine="0"/>
        <w:contextualSpacing w:val="0"/>
        <w:jc w:val="both"/>
        <w:textDirection w:val="lrTb"/>
        <w:textAlignment w:val="auto"/>
        <w:outlineLvl w:val="9"/>
        <w:rPr>
          <w:rFonts w:ascii="Arial" w:eastAsia="Times New Roman" w:hAnsi="Arial" w:cs="Arial"/>
          <w:bCs/>
          <w:position w:val="0"/>
          <w:sz w:val="20"/>
          <w:szCs w:val="20"/>
        </w:rPr>
      </w:pPr>
      <w:r w:rsidRPr="005209EB">
        <w:rPr>
          <w:rFonts w:ascii="Arial" w:eastAsia="Times New Roman" w:hAnsi="Arial" w:cs="Arial"/>
          <w:bCs/>
          <w:position w:val="0"/>
          <w:sz w:val="20"/>
          <w:szCs w:val="20"/>
        </w:rPr>
        <w:lastRenderedPageBreak/>
        <w:t>representing the mobilized shear stress in the specimen. This parameter quantifies the magnitude of shear resistance or the additional axial load sustained by the soil during undrained shearing</w:t>
      </w:r>
      <w:r w:rsidR="00764841">
        <w:rPr>
          <w:rFonts w:ascii="Arial" w:eastAsia="Times New Roman" w:hAnsi="Arial" w:cs="Arial"/>
          <w:bCs/>
          <w:position w:val="0"/>
          <w:sz w:val="20"/>
          <w:szCs w:val="20"/>
        </w:rPr>
        <w:t>.</w:t>
      </w:r>
    </w:p>
    <w:p w14:paraId="395E90E1" w14:textId="77777777" w:rsidR="00FD660B" w:rsidRDefault="00764841" w:rsidP="005209EB">
      <w:pPr>
        <w:pStyle w:val="ListParagraph"/>
        <w:numPr>
          <w:ilvl w:val="0"/>
          <w:numId w:val="13"/>
        </w:numPr>
        <w:suppressAutoHyphens w:val="0"/>
        <w:spacing w:before="60" w:after="60" w:line="240" w:lineRule="auto"/>
        <w:ind w:leftChars="0" w:left="425" w:firstLineChars="0"/>
        <w:contextualSpacing w:val="0"/>
        <w:textDirection w:val="lrTb"/>
        <w:textAlignment w:val="auto"/>
        <w:outlineLvl w:val="9"/>
        <w:rPr>
          <w:rFonts w:ascii="Arial" w:eastAsia="Times New Roman" w:hAnsi="Arial" w:cs="Arial"/>
          <w:bCs/>
          <w:position w:val="0"/>
          <w:sz w:val="20"/>
          <w:szCs w:val="20"/>
        </w:rPr>
      </w:pPr>
      <w:r w:rsidRPr="00764841">
        <w:rPr>
          <w:rFonts w:ascii="Arial" w:eastAsia="Times New Roman" w:hAnsi="Arial" w:cs="Arial"/>
          <w:bCs/>
          <w:position w:val="0"/>
          <w:sz w:val="20"/>
          <w:szCs w:val="20"/>
        </w:rPr>
        <w:t>Mean effective stress (</w:t>
      </w:r>
      <m:oMath>
        <m:r>
          <w:rPr>
            <w:rFonts w:ascii="Cambria Math" w:eastAsia="Times New Roman" w:hAnsi="Cambria Math" w:cs="Arial"/>
            <w:position w:val="0"/>
            <w:sz w:val="20"/>
            <w:szCs w:val="20"/>
          </w:rPr>
          <m:t>p'</m:t>
        </m:r>
      </m:oMath>
      <w:r w:rsidRPr="00764841">
        <w:rPr>
          <w:rFonts w:ascii="Arial" w:eastAsia="Times New Roman" w:hAnsi="Arial" w:cs="Arial"/>
          <w:bCs/>
          <w:position w:val="0"/>
          <w:sz w:val="20"/>
          <w:szCs w:val="20"/>
        </w:rPr>
        <w:t>):</w:t>
      </w:r>
    </w:p>
    <w:p w14:paraId="7BE8C840" w14:textId="77777777" w:rsidR="005209EB" w:rsidRDefault="00000000" w:rsidP="005209EB">
      <w:pPr>
        <w:pStyle w:val="ListParagraph"/>
        <w:suppressAutoHyphens w:val="0"/>
        <w:spacing w:before="60" w:after="60" w:line="240" w:lineRule="auto"/>
        <w:ind w:leftChars="0" w:left="425" w:firstLineChars="0" w:firstLine="0"/>
        <w:contextualSpacing w:val="0"/>
        <w:textDirection w:val="lrTb"/>
        <w:textAlignment w:val="auto"/>
        <w:outlineLvl w:val="9"/>
        <w:rPr>
          <w:rFonts w:ascii="Arial" w:eastAsia="Times New Roman" w:hAnsi="Arial" w:cs="Arial"/>
          <w:color w:val="000000"/>
          <w:position w:val="0"/>
          <w:sz w:val="20"/>
          <w:szCs w:val="20"/>
        </w:rPr>
      </w:pPr>
      <m:oMath>
        <m:sSup>
          <m:sSupPr>
            <m:ctrlPr>
              <w:rPr>
                <w:rFonts w:ascii="Cambria Math" w:hAnsi="Cambria Math" w:cs="Arial"/>
                <w:i/>
                <w:color w:val="000000"/>
                <w:position w:val="0"/>
                <w:sz w:val="20"/>
                <w:szCs w:val="20"/>
              </w:rPr>
            </m:ctrlPr>
          </m:sSupPr>
          <m:e>
            <m:r>
              <w:rPr>
                <w:rFonts w:ascii="Cambria Math" w:hAnsi="Cambria Math" w:cs="Arial"/>
                <w:color w:val="000000"/>
                <w:position w:val="0"/>
                <w:sz w:val="20"/>
                <w:szCs w:val="20"/>
              </w:rPr>
              <m:t>p</m:t>
            </m:r>
          </m:e>
          <m:sup>
            <m:r>
              <w:rPr>
                <w:rFonts w:ascii="Cambria Math" w:hAnsi="Cambria Math" w:cs="Arial"/>
                <w:color w:val="000000"/>
                <w:position w:val="0"/>
                <w:sz w:val="20"/>
                <w:szCs w:val="20"/>
              </w:rPr>
              <m:t>'</m:t>
            </m:r>
          </m:sup>
        </m:sSup>
        <m:r>
          <w:rPr>
            <w:rFonts w:ascii="Cambria Math" w:hAnsi="Cambria Math" w:cs="Arial"/>
            <w:color w:val="000000"/>
            <w:position w:val="0"/>
            <w:sz w:val="20"/>
            <w:szCs w:val="20"/>
          </w:rPr>
          <m:t xml:space="preserve">= </m:t>
        </m:r>
        <m:f>
          <m:fPr>
            <m:ctrlPr>
              <w:rPr>
                <w:rFonts w:ascii="Cambria Math" w:hAnsi="Cambria Math" w:cs="Arial"/>
                <w:i/>
                <w:color w:val="000000"/>
                <w:position w:val="0"/>
                <w:sz w:val="20"/>
                <w:szCs w:val="20"/>
              </w:rPr>
            </m:ctrlPr>
          </m:fPr>
          <m:num>
            <m:r>
              <w:rPr>
                <w:rFonts w:ascii="Cambria Math" w:hAnsi="Cambria Math" w:cs="Arial"/>
                <w:color w:val="000000"/>
                <w:position w:val="0"/>
                <w:sz w:val="20"/>
                <w:szCs w:val="20"/>
              </w:rPr>
              <m:t>1</m:t>
            </m:r>
          </m:num>
          <m:den>
            <m:r>
              <w:rPr>
                <w:rFonts w:ascii="Cambria Math" w:hAnsi="Cambria Math" w:cs="Arial"/>
                <w:color w:val="000000"/>
                <w:position w:val="0"/>
                <w:sz w:val="20"/>
                <w:szCs w:val="20"/>
              </w:rPr>
              <m:t>3</m:t>
            </m:r>
          </m:den>
        </m:f>
        <m:r>
          <w:rPr>
            <w:rFonts w:ascii="Cambria Math" w:hAnsi="Cambria Math" w:cs="Arial"/>
            <w:color w:val="000000"/>
            <w:position w:val="0"/>
            <w:sz w:val="20"/>
            <w:szCs w:val="20"/>
          </w:rPr>
          <m:t xml:space="preserve"> (</m:t>
        </m:r>
        <m:sSub>
          <m:sSubPr>
            <m:ctrlPr>
              <w:rPr>
                <w:rFonts w:ascii="Cambria Math" w:hAnsi="Cambria Math" w:cs="Arial"/>
                <w:i/>
                <w:color w:val="000000"/>
                <w:position w:val="0"/>
                <w:sz w:val="20"/>
                <w:szCs w:val="20"/>
              </w:rPr>
            </m:ctrlPr>
          </m:sSubPr>
          <m:e>
            <m:sSup>
              <m:sSupPr>
                <m:ctrlPr>
                  <w:rPr>
                    <w:rFonts w:ascii="Cambria Math" w:hAnsi="Cambria Math" w:cs="Arial"/>
                    <w:i/>
                    <w:color w:val="000000"/>
                    <w:position w:val="0"/>
                    <w:sz w:val="20"/>
                    <w:szCs w:val="20"/>
                  </w:rPr>
                </m:ctrlPr>
              </m:sSupPr>
              <m:e>
                <m:r>
                  <w:rPr>
                    <w:rFonts w:ascii="Cambria Math" w:hAnsi="Cambria Math" w:cs="Arial"/>
                    <w:color w:val="000000"/>
                    <w:position w:val="0"/>
                    <w:sz w:val="20"/>
                    <w:szCs w:val="20"/>
                  </w:rPr>
                  <m:t>σ</m:t>
                </m:r>
              </m:e>
              <m:sup>
                <m:r>
                  <w:rPr>
                    <w:rFonts w:ascii="Cambria Math" w:hAnsi="Cambria Math" w:cs="Arial"/>
                    <w:color w:val="000000"/>
                    <w:position w:val="0"/>
                    <w:sz w:val="20"/>
                    <w:szCs w:val="20"/>
                  </w:rPr>
                  <m:t>'</m:t>
                </m:r>
              </m:sup>
            </m:sSup>
          </m:e>
          <m:sub>
            <m:r>
              <w:rPr>
                <w:rFonts w:ascii="Cambria Math" w:hAnsi="Cambria Math" w:cs="Arial"/>
                <w:color w:val="000000"/>
                <w:position w:val="0"/>
                <w:sz w:val="20"/>
                <w:szCs w:val="20"/>
              </w:rPr>
              <m:t>1</m:t>
            </m:r>
          </m:sub>
        </m:sSub>
      </m:oMath>
      <w:r w:rsidR="00764841" w:rsidRPr="00764841">
        <w:rPr>
          <w:rFonts w:ascii="Arial" w:eastAsia="Times New Roman" w:hAnsi="Arial" w:cs="Arial"/>
          <w:color w:val="000000"/>
          <w:position w:val="0"/>
          <w:sz w:val="20"/>
          <w:szCs w:val="20"/>
        </w:rPr>
        <w:t xml:space="preserve"> + 2</w:t>
      </w:r>
      <m:oMath>
        <m:sSub>
          <m:sSubPr>
            <m:ctrlPr>
              <w:rPr>
                <w:rFonts w:ascii="Cambria Math" w:hAnsi="Cambria Math" w:cs="Arial"/>
                <w:i/>
                <w:color w:val="000000"/>
                <w:position w:val="0"/>
                <w:sz w:val="20"/>
                <w:szCs w:val="20"/>
              </w:rPr>
            </m:ctrlPr>
          </m:sSubPr>
          <m:e>
            <m:sSup>
              <m:sSupPr>
                <m:ctrlPr>
                  <w:rPr>
                    <w:rFonts w:ascii="Cambria Math" w:hAnsi="Cambria Math" w:cs="Arial"/>
                    <w:i/>
                    <w:color w:val="000000"/>
                    <w:position w:val="0"/>
                    <w:sz w:val="20"/>
                    <w:szCs w:val="20"/>
                  </w:rPr>
                </m:ctrlPr>
              </m:sSupPr>
              <m:e>
                <m:r>
                  <w:rPr>
                    <w:rFonts w:ascii="Cambria Math" w:hAnsi="Cambria Math" w:cs="Arial"/>
                    <w:color w:val="000000"/>
                    <w:position w:val="0"/>
                    <w:sz w:val="20"/>
                    <w:szCs w:val="20"/>
                  </w:rPr>
                  <m:t>σ</m:t>
                </m:r>
              </m:e>
              <m:sup>
                <m:r>
                  <w:rPr>
                    <w:rFonts w:ascii="Cambria Math" w:hAnsi="Cambria Math" w:cs="Arial"/>
                    <w:color w:val="000000"/>
                    <w:position w:val="0"/>
                    <w:sz w:val="20"/>
                    <w:szCs w:val="20"/>
                  </w:rPr>
                  <m:t>'</m:t>
                </m:r>
              </m:sup>
            </m:sSup>
          </m:e>
          <m:sub>
            <m:r>
              <w:rPr>
                <w:rFonts w:ascii="Cambria Math" w:hAnsi="Cambria Math" w:cs="Arial"/>
                <w:color w:val="000000"/>
                <w:position w:val="0"/>
                <w:sz w:val="20"/>
                <w:szCs w:val="20"/>
              </w:rPr>
              <m:t>3</m:t>
            </m:r>
          </m:sub>
        </m:sSub>
        <m:r>
          <w:rPr>
            <w:rFonts w:ascii="Cambria Math" w:hAnsi="Cambria Math" w:cs="Arial"/>
            <w:color w:val="000000"/>
            <w:position w:val="0"/>
            <w:sz w:val="20"/>
            <w:szCs w:val="20"/>
          </w:rPr>
          <m:t>)</m:t>
        </m:r>
      </m:oMath>
      <w:r w:rsidR="00716C24">
        <w:rPr>
          <w:rFonts w:ascii="Arial" w:eastAsia="Times New Roman" w:hAnsi="Arial" w:cs="Arial"/>
          <w:color w:val="000000"/>
          <w:position w:val="0"/>
          <w:sz w:val="20"/>
          <w:szCs w:val="20"/>
        </w:rPr>
        <w:t xml:space="preserve">                              </w:t>
      </w:r>
      <w:r w:rsidR="005209EB">
        <w:rPr>
          <w:rFonts w:ascii="Arial" w:eastAsia="Times New Roman" w:hAnsi="Arial" w:cs="Arial"/>
          <w:color w:val="000000"/>
          <w:position w:val="0"/>
          <w:sz w:val="20"/>
          <w:szCs w:val="20"/>
        </w:rPr>
        <w:t xml:space="preserve">  </w:t>
      </w:r>
      <w:r w:rsidR="00716C24">
        <w:rPr>
          <w:rFonts w:ascii="Arial" w:eastAsia="Times New Roman" w:hAnsi="Arial" w:cs="Arial"/>
          <w:color w:val="000000"/>
          <w:position w:val="0"/>
          <w:sz w:val="20"/>
          <w:szCs w:val="20"/>
        </w:rPr>
        <w:t xml:space="preserve">    (2)</w:t>
      </w:r>
    </w:p>
    <w:p w14:paraId="2C572827" w14:textId="77777777" w:rsidR="005209EB" w:rsidRDefault="005209EB" w:rsidP="005209EB">
      <w:pPr>
        <w:pStyle w:val="ListParagraph"/>
        <w:suppressAutoHyphens w:val="0"/>
        <w:spacing w:before="60" w:after="60" w:line="240" w:lineRule="auto"/>
        <w:ind w:leftChars="0" w:left="425" w:firstLineChars="0" w:firstLine="0"/>
        <w:contextualSpacing w:val="0"/>
        <w:jc w:val="both"/>
        <w:textDirection w:val="lrTb"/>
        <w:textAlignment w:val="auto"/>
        <w:outlineLvl w:val="9"/>
        <w:rPr>
          <w:rFonts w:ascii="Arial" w:eastAsia="Times New Roman" w:hAnsi="Arial" w:cs="Arial"/>
          <w:bCs/>
          <w:position w:val="0"/>
          <w:sz w:val="20"/>
          <w:szCs w:val="20"/>
        </w:rPr>
      </w:pPr>
      <w:r w:rsidRPr="005209EB">
        <w:rPr>
          <w:rFonts w:ascii="Arial" w:eastAsia="Times New Roman" w:hAnsi="Arial" w:cs="Arial"/>
          <w:bCs/>
          <w:position w:val="0"/>
          <w:sz w:val="20"/>
          <w:szCs w:val="20"/>
        </w:rPr>
        <w:t>representing the average effective stress carried by the soil skeleton after accounting for pore water pressure. This parameter was used to construct the effective stress path</w:t>
      </w:r>
      <w:r w:rsidR="00764841" w:rsidRPr="005209EB">
        <w:rPr>
          <w:rFonts w:ascii="Arial" w:eastAsia="Times New Roman" w:hAnsi="Arial" w:cs="Arial"/>
          <w:bCs/>
          <w:position w:val="0"/>
          <w:sz w:val="20"/>
          <w:szCs w:val="20"/>
        </w:rPr>
        <w:t>.</w:t>
      </w:r>
    </w:p>
    <w:p w14:paraId="26AC1F09" w14:textId="77777777" w:rsidR="005209EB" w:rsidRPr="005209EB" w:rsidRDefault="00764841" w:rsidP="005209EB">
      <w:pPr>
        <w:pStyle w:val="ListParagraph"/>
        <w:numPr>
          <w:ilvl w:val="0"/>
          <w:numId w:val="14"/>
        </w:numPr>
        <w:suppressAutoHyphens w:val="0"/>
        <w:spacing w:before="60" w:after="60" w:line="240" w:lineRule="auto"/>
        <w:ind w:leftChars="0" w:left="425" w:firstLineChars="0"/>
        <w:contextualSpacing w:val="0"/>
        <w:textDirection w:val="lrTb"/>
        <w:textAlignment w:val="auto"/>
        <w:outlineLvl w:val="9"/>
        <w:rPr>
          <w:rFonts w:ascii="Arial" w:eastAsia="Times New Roman" w:hAnsi="Arial" w:cs="Arial"/>
          <w:color w:val="000000"/>
          <w:position w:val="0"/>
          <w:sz w:val="20"/>
          <w:szCs w:val="20"/>
        </w:rPr>
      </w:pPr>
      <w:r w:rsidRPr="005209EB">
        <w:rPr>
          <w:rFonts w:ascii="Arial" w:eastAsia="Times New Roman" w:hAnsi="Arial" w:cs="Arial"/>
          <w:bCs/>
          <w:position w:val="0"/>
          <w:sz w:val="20"/>
          <w:szCs w:val="20"/>
        </w:rPr>
        <w:t>Excess pore water pressure (</w:t>
      </w:r>
      <m:oMath>
        <m:r>
          <w:rPr>
            <w:rFonts w:ascii="Cambria Math" w:eastAsia="Times New Roman" w:hAnsi="Cambria Math" w:cs="Arial"/>
            <w:position w:val="0"/>
            <w:sz w:val="20"/>
            <w:szCs w:val="20"/>
          </w:rPr>
          <m:t>Δu</m:t>
        </m:r>
      </m:oMath>
      <w:r w:rsidRPr="005209EB">
        <w:rPr>
          <w:rFonts w:ascii="Arial" w:eastAsia="Times New Roman" w:hAnsi="Arial" w:cs="Arial"/>
          <w:bCs/>
          <w:position w:val="0"/>
          <w:sz w:val="20"/>
          <w:szCs w:val="20"/>
        </w:rPr>
        <w:t>):</w:t>
      </w:r>
    </w:p>
    <w:p w14:paraId="342F5EF5" w14:textId="77777777" w:rsidR="00764841" w:rsidRPr="005209EB" w:rsidRDefault="005209EB" w:rsidP="005209EB">
      <w:pPr>
        <w:pStyle w:val="ListParagraph"/>
        <w:suppressAutoHyphens w:val="0"/>
        <w:spacing w:before="60" w:after="60" w:line="240" w:lineRule="auto"/>
        <w:ind w:leftChars="0" w:left="425" w:firstLineChars="0" w:firstLine="0"/>
        <w:contextualSpacing w:val="0"/>
        <w:jc w:val="both"/>
        <w:textDirection w:val="lrTb"/>
        <w:textAlignment w:val="auto"/>
        <w:outlineLvl w:val="9"/>
        <w:rPr>
          <w:rFonts w:ascii="Arial" w:eastAsia="Times New Roman" w:hAnsi="Arial" w:cs="Arial"/>
          <w:color w:val="000000"/>
          <w:position w:val="0"/>
          <w:sz w:val="20"/>
          <w:szCs w:val="20"/>
        </w:rPr>
      </w:pPr>
      <w:r w:rsidRPr="005209EB">
        <w:rPr>
          <w:rFonts w:ascii="Arial" w:eastAsia="Times New Roman" w:hAnsi="Arial" w:cs="Arial"/>
          <w:bCs/>
          <w:position w:val="0"/>
          <w:sz w:val="20"/>
          <w:szCs w:val="20"/>
        </w:rPr>
        <w:t xml:space="preserve">representing the pore pressure generated during axial loading. </w:t>
      </w:r>
      <m:oMath>
        <m:r>
          <w:rPr>
            <w:rFonts w:ascii="Cambria Math" w:eastAsia="Times New Roman" w:hAnsi="Cambria Math" w:cs="Arial"/>
            <w:position w:val="0"/>
            <w:sz w:val="20"/>
            <w:szCs w:val="20"/>
          </w:rPr>
          <m:t>Δu</m:t>
        </m:r>
      </m:oMath>
      <w:r w:rsidRPr="005209EB">
        <w:rPr>
          <w:rFonts w:ascii="Arial" w:eastAsia="Times New Roman" w:hAnsi="Arial" w:cs="Arial"/>
          <w:bCs/>
          <w:position w:val="0"/>
          <w:sz w:val="20"/>
          <w:szCs w:val="20"/>
        </w:rPr>
        <w:t xml:space="preserve"> was continuously recorded to illustrate the mechanism of effective stress reduction and to identify the tendency toward contractive or dilative response.</w:t>
      </w:r>
    </w:p>
    <w:p w14:paraId="185AA9CF" w14:textId="77777777" w:rsidR="001F5129" w:rsidRDefault="00764841" w:rsidP="00C71D89">
      <w:pPr>
        <w:spacing w:before="120" w:after="120" w:line="240" w:lineRule="auto"/>
        <w:ind w:left="0" w:hanging="2"/>
        <w:jc w:val="both"/>
        <w:outlineLvl w:val="2"/>
        <w:rPr>
          <w:rFonts w:ascii="Arial" w:eastAsia="Times New Roman" w:hAnsi="Arial" w:cs="Arial"/>
          <w:bCs/>
          <w:position w:val="0"/>
          <w:sz w:val="20"/>
          <w:szCs w:val="20"/>
        </w:rPr>
      </w:pPr>
      <w:r w:rsidRPr="00764841">
        <w:rPr>
          <w:rFonts w:ascii="Arial" w:eastAsia="Times New Roman" w:hAnsi="Arial" w:cs="Arial"/>
          <w:bCs/>
          <w:position w:val="0"/>
          <w:sz w:val="20"/>
          <w:szCs w:val="20"/>
        </w:rPr>
        <w:t>Where</w:t>
      </w:r>
      <m:oMath>
        <m:r>
          <w:rPr>
            <w:rFonts w:ascii="Cambria Math" w:eastAsia="Times New Roman" w:hAnsi="Cambria Math" w:cs="Arial"/>
            <w:position w:val="0"/>
            <w:sz w:val="20"/>
            <w:szCs w:val="20"/>
          </w:rPr>
          <m:t xml:space="preserve"> </m:t>
        </m:r>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σ'</m:t>
            </m:r>
          </m:e>
          <m:sub>
            <m:r>
              <w:rPr>
                <w:rFonts w:ascii="Cambria Math" w:eastAsia="Times New Roman" w:hAnsi="Cambria Math" w:cs="Arial"/>
                <w:position w:val="0"/>
                <w:sz w:val="20"/>
                <w:szCs w:val="20"/>
              </w:rPr>
              <m:t>1</m:t>
            </m:r>
          </m:sub>
        </m:sSub>
      </m:oMath>
      <w:r w:rsidRPr="00764841">
        <w:rPr>
          <w:rFonts w:ascii="Arial" w:eastAsia="Times New Roman" w:hAnsi="Arial" w:cs="Arial"/>
          <w:bCs/>
          <w:position w:val="0"/>
          <w:sz w:val="20"/>
          <w:szCs w:val="20"/>
        </w:rPr>
        <w:t xml:space="preserve">  is the axial effective stress and </w:t>
      </w:r>
      <m:oMath>
        <m:sSub>
          <m:sSubPr>
            <m:ctrlPr>
              <w:rPr>
                <w:rFonts w:ascii="Cambria Math" w:eastAsia="Times New Roman" w:hAnsi="Cambria Math" w:cs="Arial"/>
                <w:i/>
                <w:position w:val="0"/>
                <w:sz w:val="18"/>
                <w:szCs w:val="18"/>
              </w:rPr>
            </m:ctrlPr>
          </m:sSubPr>
          <m:e>
            <m:r>
              <w:rPr>
                <w:rFonts w:ascii="Cambria Math" w:eastAsia="Times New Roman" w:hAnsi="Cambria Math" w:cs="Arial"/>
                <w:position w:val="0"/>
                <w:sz w:val="18"/>
                <w:szCs w:val="18"/>
              </w:rPr>
              <m:t>σ'</m:t>
            </m:r>
          </m:e>
          <m:sub>
            <m:r>
              <w:rPr>
                <w:rFonts w:ascii="Cambria Math" w:eastAsia="Times New Roman" w:hAnsi="Cambria Math" w:cs="Arial"/>
                <w:position w:val="0"/>
                <w:sz w:val="18"/>
                <w:szCs w:val="18"/>
              </w:rPr>
              <m:t>3</m:t>
            </m:r>
          </m:sub>
        </m:sSub>
      </m:oMath>
      <w:r w:rsidRPr="00764841">
        <w:rPr>
          <w:rFonts w:ascii="Arial" w:eastAsia="Times New Roman" w:hAnsi="Arial" w:cs="Arial"/>
          <w:bCs/>
          <w:position w:val="0"/>
          <w:sz w:val="20"/>
          <w:szCs w:val="20"/>
        </w:rPr>
        <w:t xml:space="preserve"> is the confining effective stress</w:t>
      </w:r>
      <w:r w:rsidR="001F5129">
        <w:rPr>
          <w:rFonts w:ascii="Arial" w:eastAsia="Times New Roman" w:hAnsi="Arial" w:cs="Arial"/>
          <w:bCs/>
          <w:position w:val="0"/>
          <w:sz w:val="20"/>
          <w:szCs w:val="20"/>
        </w:rPr>
        <w:t xml:space="preserve">. </w:t>
      </w:r>
    </w:p>
    <w:p w14:paraId="693124A4" w14:textId="77777777" w:rsidR="00764841" w:rsidRPr="001F5129" w:rsidRDefault="001F5129" w:rsidP="00C71D89">
      <w:pPr>
        <w:spacing w:before="120" w:after="120" w:line="240" w:lineRule="auto"/>
        <w:ind w:left="0" w:hanging="2"/>
        <w:jc w:val="both"/>
        <w:outlineLvl w:val="2"/>
        <w:rPr>
          <w:rFonts w:ascii="Arial" w:eastAsia="Times New Roman" w:hAnsi="Arial" w:cs="Arial"/>
          <w:bCs/>
          <w:sz w:val="20"/>
          <w:szCs w:val="20"/>
        </w:rPr>
      </w:pPr>
      <w:r w:rsidRPr="001F5129">
        <w:rPr>
          <w:rFonts w:ascii="Arial" w:eastAsia="Times New Roman" w:hAnsi="Arial" w:cs="Arial"/>
          <w:bCs/>
          <w:sz w:val="20"/>
          <w:szCs w:val="20"/>
        </w:rPr>
        <w:t>These parameters were computed at each loading increment to capture t</w:t>
      </w:r>
      <w:r w:rsidR="003303C8">
        <w:rPr>
          <w:rFonts w:ascii="Arial" w:eastAsia="Times New Roman" w:hAnsi="Arial" w:cs="Arial"/>
          <w:bCs/>
          <w:sz w:val="20"/>
          <w:szCs w:val="20"/>
        </w:rPr>
        <w:t>he evolution of stress and pore-</w:t>
      </w:r>
      <w:r w:rsidRPr="001F5129">
        <w:rPr>
          <w:rFonts w:ascii="Arial" w:eastAsia="Times New Roman" w:hAnsi="Arial" w:cs="Arial"/>
          <w:bCs/>
          <w:sz w:val="20"/>
          <w:szCs w:val="20"/>
        </w:rPr>
        <w:t>pressure during undrained shearing</w:t>
      </w:r>
    </w:p>
    <w:p w14:paraId="1D579B7F" w14:textId="77777777" w:rsidR="00C63597" w:rsidRPr="00C63597" w:rsidRDefault="00C63597" w:rsidP="00C63597">
      <w:pPr>
        <w:spacing w:before="120" w:after="120" w:line="240" w:lineRule="auto"/>
        <w:ind w:left="0" w:hanging="2"/>
        <w:jc w:val="both"/>
        <w:outlineLvl w:val="2"/>
        <w:rPr>
          <w:rFonts w:ascii="Arial" w:eastAsia="Times New Roman" w:hAnsi="Arial" w:cs="Arial"/>
          <w:b/>
          <w:bCs/>
          <w:color w:val="000000" w:themeColor="text1"/>
          <w:sz w:val="20"/>
          <w:szCs w:val="20"/>
        </w:rPr>
      </w:pPr>
      <w:r w:rsidRPr="00C63597">
        <w:rPr>
          <w:rFonts w:ascii="Arial" w:eastAsia="Times New Roman" w:hAnsi="Arial" w:cs="Arial"/>
          <w:b/>
          <w:bCs/>
          <w:color w:val="000000" w:themeColor="text1"/>
          <w:sz w:val="20"/>
          <w:szCs w:val="20"/>
        </w:rPr>
        <w:t>Justification for Using Monotonic CU Triaxial Tests</w:t>
      </w:r>
    </w:p>
    <w:p w14:paraId="44F50A8A" w14:textId="77777777" w:rsidR="00C63597" w:rsidRPr="00C63597" w:rsidRDefault="00C63597" w:rsidP="00C63597">
      <w:pPr>
        <w:spacing w:before="120" w:after="120" w:line="240" w:lineRule="auto"/>
        <w:ind w:left="0" w:hanging="2"/>
        <w:jc w:val="both"/>
        <w:outlineLvl w:val="2"/>
        <w:rPr>
          <w:rFonts w:ascii="Arial" w:eastAsia="Times New Roman" w:hAnsi="Arial" w:cs="Arial"/>
          <w:bCs/>
          <w:color w:val="000000" w:themeColor="text1"/>
          <w:sz w:val="20"/>
          <w:szCs w:val="20"/>
        </w:rPr>
      </w:pPr>
      <w:r w:rsidRPr="00C63597">
        <w:rPr>
          <w:rFonts w:ascii="Arial" w:eastAsia="Times New Roman" w:hAnsi="Arial" w:cs="Arial"/>
          <w:bCs/>
          <w:color w:val="000000" w:themeColor="text1"/>
          <w:sz w:val="20"/>
          <w:szCs w:val="20"/>
        </w:rPr>
        <w:t xml:space="preserve">Although liquefaction in the field is a cyclic phenomenon, cyclic triaxial tests are often difficult to control at large strains because very loose silty sands rapidly lose stiffness and may reach instability before the residual condition is achieved. Monotonic undrained triaxial tests overcome this limitation by allowing continuous shearing to large strains, enabling direct measurement of residual or steady-state shear strength under a controlled stress path. This approach has long been used for post-liquefaction characterization and is still supported by recent studies showing that monotonic and cyclic responses can be interpreted consistently within modern critical-state or equivalent-state frameworks </w:t>
      </w:r>
      <w:r w:rsidRPr="00C63597">
        <w:rPr>
          <w:rFonts w:ascii="Arial" w:eastAsia="Times New Roman" w:hAnsi="Arial" w:cs="Arial"/>
          <w:bCs/>
          <w:color w:val="000000" w:themeColor="text1"/>
          <w:sz w:val="20"/>
          <w:szCs w:val="20"/>
        </w:rPr>
        <w:fldChar w:fldCharType="begin" w:fldLock="1"/>
      </w:r>
      <w:r w:rsidR="001242FC">
        <w:rPr>
          <w:rFonts w:ascii="Arial" w:eastAsia="Times New Roman" w:hAnsi="Arial" w:cs="Arial"/>
          <w:bCs/>
          <w:color w:val="000000" w:themeColor="text1"/>
          <w:sz w:val="20"/>
          <w:szCs w:val="20"/>
        </w:rPr>
        <w:instrText>ADDIN CSL_CITATION {"citationItems":[{"id":"ITEM-1","itemData":{"DOI":"10.1080/19386362.2020.1712532","ISSN":"19397879","abstract":"There are some ambiguities in understanding of the effect of non-plastic fine content (silt) on the liquefaction behaviour of sand in the literature. Reviewing the results of field and laboratory studies suggests that increasing the amount of non-plastic fine content in sand can lead to improvement or deterioration of liquefaction resistance. In this study, the effect of non-plastic silt on liquefaction resistance of Anzali sand is investigated using shaking table tests. According to the results, for the relative density of 30%, liquefaction resistance was found to be initially decreasing by increasing the silt content until the limiting fine content (LFC) as 15% and increasing thereafter. However, for the relative density of 60%, liquefaction resistance showed a continuously decreasing trend by increasing the silt content. Finally, comparison of the result through the limiting bounds of pore pressure obtained in this study with that of other researchers showed an appropriate consistency.","author":[{"dropping-particle":"","family":"Ghorbani","given":"Ali","non-dropping-particle":"","parse-names":false,"suffix":""},{"dropping-particle":"","family":"Eslami","given":"Amin","non-dropping-particle":"","parse-names":false,"suffix":""},{"dropping-particle":"","family":"Nezhad Moghadam","given":"Masoumeh","non-dropping-particle":"","parse-names":false,"suffix":""}],"container-title":"International Journal of Geotechnical Engineering","id":"ITEM-1","issue":"00","issued":{"date-parts":[["2020"]]},"page":"1-13","publisher":"Taylor &amp; Francis","title":"Effect of non-plastic silt on liquefaction susceptibility of marine sand by transparent laminar shear box in shaking table","type":"article-journal","volume":"00"},"uris":["http://www.mendeley.com/documents/?uuid=033445ee-b125-43c1-94b8-309ef51ece1b"]}],"mendeley":{"formattedCitation":"[10]","plainTextFormattedCitation":"[10]","previouslyFormattedCitation":"[10]"},"properties":{"noteIndex":0},"schema":"https://github.com/citation-style-language/schema/raw/master/csl-citation.json"}</w:instrText>
      </w:r>
      <w:r w:rsidRPr="00C63597">
        <w:rPr>
          <w:rFonts w:ascii="Arial" w:eastAsia="Times New Roman" w:hAnsi="Arial" w:cs="Arial"/>
          <w:bCs/>
          <w:color w:val="000000" w:themeColor="text1"/>
          <w:sz w:val="20"/>
          <w:szCs w:val="20"/>
        </w:rPr>
        <w:fldChar w:fldCharType="separate"/>
      </w:r>
      <w:r w:rsidR="00E63233" w:rsidRPr="00E63233">
        <w:rPr>
          <w:rFonts w:ascii="Arial" w:eastAsia="Times New Roman" w:hAnsi="Arial" w:cs="Arial"/>
          <w:bCs/>
          <w:noProof/>
          <w:color w:val="000000" w:themeColor="text1"/>
          <w:sz w:val="20"/>
          <w:szCs w:val="20"/>
        </w:rPr>
        <w:t>[10]</w:t>
      </w:r>
      <w:r w:rsidRPr="00C63597">
        <w:rPr>
          <w:rFonts w:ascii="Arial" w:eastAsia="Times New Roman" w:hAnsi="Arial" w:cs="Arial"/>
          <w:bCs/>
          <w:color w:val="000000" w:themeColor="text1"/>
          <w:sz w:val="20"/>
          <w:szCs w:val="20"/>
        </w:rPr>
        <w:fldChar w:fldCharType="end"/>
      </w:r>
      <w:r w:rsidR="003301BF">
        <w:rPr>
          <w:rFonts w:ascii="Arial" w:eastAsia="Times New Roman" w:hAnsi="Arial" w:cs="Arial"/>
          <w:bCs/>
          <w:color w:val="000000" w:themeColor="text1"/>
          <w:sz w:val="20"/>
          <w:szCs w:val="20"/>
        </w:rPr>
        <w:fldChar w:fldCharType="begin" w:fldLock="1"/>
      </w:r>
      <w:r w:rsidR="005052C4">
        <w:rPr>
          <w:rFonts w:ascii="Arial" w:eastAsia="Times New Roman" w:hAnsi="Arial" w:cs="Arial"/>
          <w:bCs/>
          <w:color w:val="000000" w:themeColor="text1"/>
          <w:sz w:val="20"/>
          <w:szCs w:val="20"/>
        </w:rPr>
        <w:instrText>ADDIN CSL_CITATION {"citationItems":[{"id":"ITEM-1","itemData":{"DOI":"https://doi.org/10.1051/e3sconf/202454414014","author":[{"dropping-particle":"","family":"Papadopoulou","given":"Anthi.","non-dropping-particle":"","parse-names":false,"suffix":""},{"dropping-particle":"","family":"Tika","given":"Theodora.","non-dropping-particle":"","parse-names":false,"suffix":""}],"container-title":"E3S Web of Conferences","id":"ITEM-1","issued":{"date-parts":[["2024"]]},"page":"544, 14014.","title":"Monotonic and cyclic behaviour of sand-silt mixtures through the equivalent state parameter","type":"paper-conference"},"uris":["http://www.mendeley.com/documents/?uuid=790ff2c1-ad03-4a5b-89b4-22b1f0724dcd"]}],"mendeley":{"formattedCitation":"[22]","plainTextFormattedCitation":"[22]","previouslyFormattedCitation":"[23]"},"properties":{"noteIndex":0},"schema":"https://github.com/citation-style-language/schema/raw/master/csl-citation.json"}</w:instrText>
      </w:r>
      <w:r w:rsidR="003301BF">
        <w:rPr>
          <w:rFonts w:ascii="Arial" w:eastAsia="Times New Roman" w:hAnsi="Arial" w:cs="Arial"/>
          <w:bCs/>
          <w:color w:val="000000" w:themeColor="text1"/>
          <w:sz w:val="20"/>
          <w:szCs w:val="20"/>
        </w:rPr>
        <w:fldChar w:fldCharType="separate"/>
      </w:r>
      <w:r w:rsidR="005052C4" w:rsidRPr="005052C4">
        <w:rPr>
          <w:rFonts w:ascii="Arial" w:eastAsia="Times New Roman" w:hAnsi="Arial" w:cs="Arial"/>
          <w:bCs/>
          <w:noProof/>
          <w:color w:val="000000" w:themeColor="text1"/>
          <w:sz w:val="20"/>
          <w:szCs w:val="20"/>
        </w:rPr>
        <w:t>[22]</w:t>
      </w:r>
      <w:r w:rsidR="003301BF">
        <w:rPr>
          <w:rFonts w:ascii="Arial" w:eastAsia="Times New Roman" w:hAnsi="Arial" w:cs="Arial"/>
          <w:bCs/>
          <w:color w:val="000000" w:themeColor="text1"/>
          <w:sz w:val="20"/>
          <w:szCs w:val="20"/>
        </w:rPr>
        <w:fldChar w:fldCharType="end"/>
      </w:r>
      <w:r w:rsidRPr="00C63597">
        <w:rPr>
          <w:rFonts w:ascii="Arial" w:eastAsia="Times New Roman" w:hAnsi="Arial" w:cs="Arial"/>
          <w:bCs/>
          <w:color w:val="C00000"/>
          <w:sz w:val="20"/>
          <w:szCs w:val="20"/>
        </w:rPr>
        <w:t xml:space="preserve">. </w:t>
      </w:r>
      <w:r w:rsidRPr="00C63597">
        <w:rPr>
          <w:rFonts w:ascii="Arial" w:eastAsia="Times New Roman" w:hAnsi="Arial" w:cs="Arial"/>
          <w:bCs/>
          <w:color w:val="000000" w:themeColor="text1"/>
          <w:sz w:val="20"/>
          <w:szCs w:val="20"/>
        </w:rPr>
        <w:t xml:space="preserve">Updated laboratory </w:t>
      </w:r>
      <w:r w:rsidRPr="00C63597">
        <w:rPr>
          <w:rFonts w:ascii="Arial" w:eastAsia="Times New Roman" w:hAnsi="Arial" w:cs="Arial"/>
          <w:bCs/>
          <w:color w:val="000000" w:themeColor="text1"/>
          <w:sz w:val="20"/>
          <w:szCs w:val="20"/>
        </w:rPr>
        <w:t xml:space="preserve">recommendations further emphasize the suitability of controlled monotonic shearing for obtaining reliable critical-state parameters in cohesionless soils </w:t>
      </w:r>
      <w:r w:rsidRPr="00C63597">
        <w:rPr>
          <w:rFonts w:ascii="Arial" w:eastAsia="Times New Roman" w:hAnsi="Arial" w:cs="Arial"/>
          <w:bCs/>
          <w:color w:val="000000" w:themeColor="text1"/>
          <w:sz w:val="20"/>
          <w:szCs w:val="20"/>
        </w:rPr>
        <w:fldChar w:fldCharType="begin" w:fldLock="1"/>
      </w:r>
      <w:r w:rsidR="005052C4">
        <w:rPr>
          <w:rFonts w:ascii="Arial" w:eastAsia="Times New Roman" w:hAnsi="Arial" w:cs="Arial"/>
          <w:bCs/>
          <w:color w:val="000000" w:themeColor="text1"/>
          <w:sz w:val="20"/>
          <w:szCs w:val="20"/>
        </w:rPr>
        <w:instrText>ADDIN CSL_CITATION {"citationItems":[{"id":"ITEM-1","itemData":{"DOI":"10.3390/geotechnics1010006","ISSN":"26737094","abstract":"The critical state theory is a robust conceptual framework for the characterisation of soil behaviour. In the laboratory, triaxial tests are used to assess the critical state locus. In the last decades, the equipment and testing procedures for soil characterisation, within the critical state framework, have advanced to obtain accurate and reliable results. This review paper summarises and describes a series of recommended laboratory procedures to assess the critical state locus in cohesionless soils. For this purpose, results obtained in the laboratory from different cohesionless soils and triaxial equipment configurations are compiled, analysed and discussed in detail. The procedures presented in this paper reinforce the use of triaxial cells with lubricated end platens and an embedded connection piston into the top-cap, together with the verification of the full saturation condition and the measurement end-of-test water content—preferable using the soil freezing technique. The experimental evidence and comparison between equipment configurations provide relevant insights about the laboratory procedures for obtaining a reliable characterisation of the critical state locus of cohesionless geomaterials. All the procedures recommended herein can be easily implemented in academic and commercial geotechnical laboratories.","author":[{"dropping-particle":"","family":"Fonseca","given":"António Viana","non-dropping-particle":"da","parse-names":false,"suffix":""},{"dropping-particle":"","family":"Cordeiro","given":"Diana","non-dropping-particle":"","parse-names":false,"suffix":""},{"dropping-particle":"","family":"Molina-Gómez","given":"Fausto","non-dropping-particle":"","parse-names":false,"suffix":""}],"container-title":"Geotechnics","id":"ITEM-1","issue":"1","issued":{"date-parts":[["2021"]]},"page":"95-127","title":"Recommended Procedures to Assess Critical State Locus from Triaxial Tests in Cohesionless Remoulded Samples","type":"article-journal","volume":"1"},"uris":["http://www.mendeley.com/documents/?uuid=a0a7bfb8-8c33-462c-9fbc-01dd1ad6854a"]}],"mendeley":{"formattedCitation":"[23]","plainTextFormattedCitation":"[23]","previouslyFormattedCitation":"[24]"},"properties":{"noteIndex":0},"schema":"https://github.com/citation-style-language/schema/raw/master/csl-citation.json"}</w:instrText>
      </w:r>
      <w:r w:rsidRPr="00C63597">
        <w:rPr>
          <w:rFonts w:ascii="Arial" w:eastAsia="Times New Roman" w:hAnsi="Arial" w:cs="Arial"/>
          <w:bCs/>
          <w:color w:val="000000" w:themeColor="text1"/>
          <w:sz w:val="20"/>
          <w:szCs w:val="20"/>
        </w:rPr>
        <w:fldChar w:fldCharType="separate"/>
      </w:r>
      <w:r w:rsidR="005052C4" w:rsidRPr="005052C4">
        <w:rPr>
          <w:rFonts w:ascii="Arial" w:eastAsia="Times New Roman" w:hAnsi="Arial" w:cs="Arial"/>
          <w:bCs/>
          <w:noProof/>
          <w:color w:val="000000" w:themeColor="text1"/>
          <w:sz w:val="20"/>
          <w:szCs w:val="20"/>
        </w:rPr>
        <w:t>[23]</w:t>
      </w:r>
      <w:r w:rsidRPr="00C63597">
        <w:rPr>
          <w:rFonts w:ascii="Arial" w:eastAsia="Times New Roman" w:hAnsi="Arial" w:cs="Arial"/>
          <w:bCs/>
          <w:color w:val="000000" w:themeColor="text1"/>
          <w:sz w:val="20"/>
          <w:szCs w:val="20"/>
        </w:rPr>
        <w:fldChar w:fldCharType="end"/>
      </w:r>
      <w:r w:rsidRPr="00C63597">
        <w:rPr>
          <w:rFonts w:ascii="Arial" w:eastAsia="Times New Roman" w:hAnsi="Arial" w:cs="Arial"/>
          <w:bCs/>
          <w:color w:val="000000" w:themeColor="text1"/>
          <w:sz w:val="20"/>
          <w:szCs w:val="20"/>
        </w:rPr>
        <w:t>. Based on these advantages, the monotonic Consolidated Undrained (CU) triaxial test was selected to evaluate the post-liquefaction residual behavior of Petobo silty sand within the critical-state framework.</w:t>
      </w:r>
    </w:p>
    <w:p w14:paraId="07A21AD7" w14:textId="77777777" w:rsidR="009D030F" w:rsidRPr="006567C3" w:rsidRDefault="009D030F" w:rsidP="009D030F">
      <w:pPr>
        <w:spacing w:before="100" w:beforeAutospacing="1" w:after="0" w:line="240" w:lineRule="auto"/>
        <w:ind w:left="0" w:hanging="2"/>
        <w:jc w:val="both"/>
        <w:outlineLvl w:val="2"/>
        <w:rPr>
          <w:rFonts w:ascii="Arial" w:eastAsia="Times New Roman" w:hAnsi="Arial" w:cs="Arial"/>
          <w:b/>
          <w:bCs/>
          <w:sz w:val="20"/>
          <w:szCs w:val="20"/>
        </w:rPr>
      </w:pPr>
      <w:r w:rsidRPr="006567C3">
        <w:rPr>
          <w:rFonts w:ascii="Arial" w:eastAsia="Times New Roman" w:hAnsi="Arial" w:cs="Arial"/>
          <w:b/>
          <w:bCs/>
          <w:sz w:val="20"/>
          <w:szCs w:val="20"/>
        </w:rPr>
        <w:t>Data Analysis</w:t>
      </w:r>
    </w:p>
    <w:p w14:paraId="70EC6140" w14:textId="77777777" w:rsidR="009D030F" w:rsidRDefault="00E20292" w:rsidP="009D030F">
      <w:pPr>
        <w:spacing w:after="0" w:line="240" w:lineRule="auto"/>
        <w:ind w:left="0" w:hanging="2"/>
        <w:jc w:val="both"/>
        <w:outlineLvl w:val="2"/>
        <w:rPr>
          <w:rFonts w:ascii="Arial" w:hAnsi="Arial" w:cs="Arial"/>
          <w:sz w:val="20"/>
          <w:szCs w:val="20"/>
        </w:rPr>
      </w:pPr>
      <w:r w:rsidRPr="00E20292">
        <w:rPr>
          <w:rFonts w:ascii="Arial" w:hAnsi="Arial" w:cs="Arial"/>
          <w:sz w:val="20"/>
          <w:szCs w:val="20"/>
        </w:rPr>
        <w:t>The results were interpreted within the framework of Critical State Soil Mechanics (CSSM), which provides a conceptual basis to describe the transition of saturated sand from contractive to steady-state or critical conditions under undrained loading. This framework was used to evaluate the evolution of deviator stress</w:t>
      </w:r>
      <w:r>
        <w:rPr>
          <w:rFonts w:ascii="Arial" w:hAnsi="Arial" w:cs="Arial"/>
          <w:sz w:val="20"/>
          <w:szCs w:val="20"/>
        </w:rPr>
        <w:t xml:space="preserve"> </w:t>
      </w:r>
      <w:r w:rsidRPr="00764841">
        <w:rPr>
          <w:rFonts w:ascii="Arial" w:eastAsia="Times New Roman" w:hAnsi="Arial" w:cs="Arial"/>
          <w:bCs/>
          <w:position w:val="0"/>
          <w:sz w:val="20"/>
          <w:szCs w:val="20"/>
        </w:rPr>
        <w:t>(</w:t>
      </w:r>
      <m:oMath>
        <m:r>
          <w:rPr>
            <w:rFonts w:ascii="Cambria Math" w:eastAsia="Times New Roman" w:hAnsi="Cambria Math" w:cs="Arial"/>
            <w:position w:val="0"/>
            <w:sz w:val="20"/>
            <w:szCs w:val="20"/>
          </w:rPr>
          <m:t>q</m:t>
        </m:r>
      </m:oMath>
      <w:r>
        <w:rPr>
          <w:rFonts w:ascii="Arial" w:eastAsia="Times New Roman" w:hAnsi="Arial" w:cs="Arial"/>
          <w:bCs/>
          <w:position w:val="0"/>
          <w:sz w:val="20"/>
          <w:szCs w:val="20"/>
        </w:rPr>
        <w:t>),</w:t>
      </w:r>
      <w:r w:rsidRPr="00E20292">
        <w:rPr>
          <w:rFonts w:ascii="Arial" w:hAnsi="Arial" w:cs="Arial"/>
          <w:sz w:val="20"/>
          <w:szCs w:val="20"/>
        </w:rPr>
        <w:t xml:space="preserve"> mean effective stress</w:t>
      </w:r>
      <w:r>
        <w:rPr>
          <w:rFonts w:ascii="Arial" w:hAnsi="Arial" w:cs="Arial"/>
          <w:sz w:val="20"/>
          <w:szCs w:val="20"/>
        </w:rPr>
        <w:t xml:space="preserve"> </w:t>
      </w:r>
      <m:oMath>
        <m:sSup>
          <m:sSupPr>
            <m:ctrlPr>
              <w:rPr>
                <w:rFonts w:ascii="Cambria Math" w:hAnsi="Cambria Math" w:cs="Arial"/>
                <w:i/>
                <w:color w:val="000000"/>
                <w:position w:val="0"/>
                <w:sz w:val="20"/>
                <w:szCs w:val="20"/>
              </w:rPr>
            </m:ctrlPr>
          </m:sSupPr>
          <m:e>
            <m:r>
              <w:rPr>
                <w:rFonts w:ascii="Cambria Math" w:hAnsi="Cambria Math" w:cs="Arial"/>
                <w:color w:val="000000"/>
                <w:position w:val="0"/>
                <w:sz w:val="20"/>
                <w:szCs w:val="20"/>
              </w:rPr>
              <m:t>p</m:t>
            </m:r>
          </m:e>
          <m:sup>
            <m:r>
              <w:rPr>
                <w:rFonts w:ascii="Cambria Math" w:hAnsi="Cambria Math" w:cs="Arial"/>
                <w:color w:val="000000"/>
                <w:position w:val="0"/>
                <w:sz w:val="20"/>
                <w:szCs w:val="20"/>
              </w:rPr>
              <m:t>'</m:t>
            </m:r>
          </m:sup>
        </m:sSup>
      </m:oMath>
      <w:r>
        <w:rPr>
          <w:rFonts w:ascii="Arial" w:hAnsi="Arial" w:cs="Arial"/>
          <w:sz w:val="20"/>
          <w:szCs w:val="20"/>
        </w:rPr>
        <w:t xml:space="preserve"> </w:t>
      </w:r>
      <w:r w:rsidRPr="00E20292">
        <w:rPr>
          <w:rFonts w:ascii="Arial" w:hAnsi="Arial" w:cs="Arial"/>
          <w:sz w:val="20"/>
          <w:szCs w:val="20"/>
        </w:rPr>
        <w:t xml:space="preserve">and excess pore water pressure </w:t>
      </w:r>
      <m:oMath>
        <m:r>
          <w:rPr>
            <w:rFonts w:ascii="Cambria Math" w:hAnsi="Cambria Math" w:cs="Arial"/>
            <w:sz w:val="20"/>
            <w:szCs w:val="20"/>
          </w:rPr>
          <m:t>(Δu)</m:t>
        </m:r>
      </m:oMath>
      <w:r w:rsidRPr="00E20292">
        <w:rPr>
          <w:rFonts w:ascii="Arial" w:hAnsi="Arial" w:cs="Arial"/>
          <w:sz w:val="20"/>
          <w:szCs w:val="20"/>
        </w:rPr>
        <w:t xml:space="preserve"> until a nearly constant stress ratio was reached, representing the critical or residual state. Recent recommendations for triaxial evaluation of critical-state behavior in cohesionless soils also emphasize interpreting stress paths consistently with the critical state locus</w:t>
      </w:r>
      <w:r>
        <w:rPr>
          <w:rFonts w:ascii="Arial" w:hAnsi="Arial" w:cs="Arial"/>
          <w:sz w:val="20"/>
          <w:szCs w:val="20"/>
        </w:rPr>
        <w:t xml:space="preserve"> </w:t>
      </w:r>
      <w:r>
        <w:rPr>
          <w:rFonts w:ascii="Arial" w:hAnsi="Arial" w:cs="Arial"/>
          <w:sz w:val="20"/>
          <w:szCs w:val="20"/>
        </w:rPr>
        <w:fldChar w:fldCharType="begin" w:fldLock="1"/>
      </w:r>
      <w:r w:rsidR="005052C4">
        <w:rPr>
          <w:rFonts w:ascii="Arial" w:hAnsi="Arial" w:cs="Arial"/>
          <w:sz w:val="20"/>
          <w:szCs w:val="20"/>
        </w:rPr>
        <w:instrText>ADDIN CSL_CITATION {"citationItems":[{"id":"ITEM-1","itemData":{"DOI":"10.3390/geotechnics1010006","ISSN":"26737094","abstract":"The critical state theory is a robust conceptual framework for the characterisation of soil behaviour. In the laboratory, triaxial tests are used to assess the critical state locus. In the last decades, the equipment and testing procedures for soil characterisation, within the critical state framework, have advanced to obtain accurate and reliable results. This review paper summarises and describes a series of recommended laboratory procedures to assess the critical state locus in cohesionless soils. For this purpose, results obtained in the laboratory from different cohesionless soils and triaxial equipment configurations are compiled, analysed and discussed in detail. The procedures presented in this paper reinforce the use of triaxial cells with lubricated end platens and an embedded connection piston into the top-cap, together with the verification of the full saturation condition and the measurement end-of-test water content—preferable using the soil freezing technique. The experimental evidence and comparison between equipment configurations provide relevant insights about the laboratory procedures for obtaining a reliable characterisation of the critical state locus of cohesionless geomaterials. All the procedures recommended herein can be easily implemented in academic and commercial geotechnical laboratories.","author":[{"dropping-particle":"","family":"Fonseca","given":"António Viana","non-dropping-particle":"da","parse-names":false,"suffix":""},{"dropping-particle":"","family":"Cordeiro","given":"Diana","non-dropping-particle":"","parse-names":false,"suffix":""},{"dropping-particle":"","family":"Molina-Gómez","given":"Fausto","non-dropping-particle":"","parse-names":false,"suffix":""}],"container-title":"Geotechnics","id":"ITEM-1","issue":"1","issued":{"date-parts":[["2021"]]},"page":"95-127","title":"Recommended Procedures to Assess Critical State Locus from Triaxial Tests in Cohesionless Remoulded Samples","type":"article-journal","volume":"1"},"uris":["http://www.mendeley.com/documents/?uuid=a0a7bfb8-8c33-462c-9fbc-01dd1ad6854a"]}],"mendeley":{"formattedCitation":"[23]","plainTextFormattedCitation":"[23]","previouslyFormattedCitation":"[24]"},"properties":{"noteIndex":0},"schema":"https://github.com/citation-style-language/schema/raw/master/csl-citation.json"}</w:instrText>
      </w:r>
      <w:r>
        <w:rPr>
          <w:rFonts w:ascii="Arial" w:hAnsi="Arial" w:cs="Arial"/>
          <w:sz w:val="20"/>
          <w:szCs w:val="20"/>
        </w:rPr>
        <w:fldChar w:fldCharType="separate"/>
      </w:r>
      <w:r w:rsidR="005052C4" w:rsidRPr="005052C4">
        <w:rPr>
          <w:rFonts w:ascii="Arial" w:hAnsi="Arial" w:cs="Arial"/>
          <w:noProof/>
          <w:sz w:val="20"/>
          <w:szCs w:val="20"/>
        </w:rPr>
        <w:t>[23]</w:t>
      </w:r>
      <w:r>
        <w:rPr>
          <w:rFonts w:ascii="Arial" w:hAnsi="Arial" w:cs="Arial"/>
          <w:sz w:val="20"/>
          <w:szCs w:val="20"/>
        </w:rPr>
        <w:fldChar w:fldCharType="end"/>
      </w:r>
      <w:r w:rsidRPr="00E20292">
        <w:rPr>
          <w:rFonts w:ascii="Arial" w:hAnsi="Arial" w:cs="Arial"/>
          <w:sz w:val="20"/>
          <w:szCs w:val="20"/>
        </w:rPr>
        <w:t>. The influence of fines content on this stress</w:t>
      </w:r>
      <w:r w:rsidR="00DB6DF5">
        <w:rPr>
          <w:rFonts w:ascii="Arial" w:hAnsi="Arial" w:cs="Arial"/>
          <w:sz w:val="20"/>
          <w:szCs w:val="20"/>
        </w:rPr>
        <w:t>-</w:t>
      </w:r>
      <w:r w:rsidRPr="00E20292">
        <w:rPr>
          <w:rFonts w:ascii="Arial" w:hAnsi="Arial" w:cs="Arial"/>
          <w:sz w:val="20"/>
          <w:szCs w:val="20"/>
        </w:rPr>
        <w:t>strain evolution and the resulting residual strength was then assessed to understand the post-liquefaction behavior of Petobo silty sand</w:t>
      </w:r>
    </w:p>
    <w:p w14:paraId="375BC877" w14:textId="77777777" w:rsidR="00DB6DF5" w:rsidRPr="00E20292" w:rsidRDefault="00DB6DF5" w:rsidP="009D030F">
      <w:pPr>
        <w:spacing w:after="0" w:line="240" w:lineRule="auto"/>
        <w:ind w:left="0" w:hanging="2"/>
        <w:jc w:val="both"/>
        <w:outlineLvl w:val="2"/>
        <w:rPr>
          <w:rFonts w:ascii="Arial" w:eastAsia="Times New Roman" w:hAnsi="Arial" w:cs="Arial"/>
          <w:bCs/>
          <w:color w:val="FF0000"/>
          <w:sz w:val="20"/>
          <w:szCs w:val="20"/>
        </w:rPr>
      </w:pPr>
    </w:p>
    <w:p w14:paraId="57264C94" w14:textId="77777777" w:rsidR="00E85484" w:rsidRDefault="005929B1" w:rsidP="00150E37">
      <w:pPr>
        <w:spacing w:before="120" w:after="120" w:line="240" w:lineRule="auto"/>
        <w:ind w:left="0" w:hanging="2"/>
        <w:jc w:val="both"/>
        <w:rPr>
          <w:rFonts w:ascii="Arial" w:eastAsia="Arial" w:hAnsi="Arial" w:cs="Arial"/>
          <w:b/>
          <w:color w:val="1F4E79"/>
          <w:sz w:val="20"/>
          <w:szCs w:val="20"/>
        </w:rPr>
      </w:pPr>
      <w:r w:rsidRPr="00394AB3">
        <w:rPr>
          <w:rFonts w:ascii="Arial" w:eastAsia="Arial" w:hAnsi="Arial" w:cs="Arial"/>
          <w:b/>
          <w:color w:val="1F4E79"/>
          <w:sz w:val="20"/>
          <w:szCs w:val="20"/>
        </w:rPr>
        <w:t>RESULTS AND DISCUSSION</w:t>
      </w:r>
    </w:p>
    <w:p w14:paraId="7354B150" w14:textId="77777777" w:rsidR="00764841" w:rsidRDefault="00764841" w:rsidP="00150E37">
      <w:pPr>
        <w:suppressAutoHyphens w:val="0"/>
        <w:spacing w:before="120" w:after="120" w:line="240" w:lineRule="auto"/>
        <w:ind w:leftChars="0" w:firstLineChars="0" w:firstLine="0"/>
        <w:jc w:val="both"/>
        <w:textDirection w:val="lrTb"/>
        <w:textAlignment w:val="auto"/>
        <w:outlineLvl w:val="9"/>
        <w:rPr>
          <w:rFonts w:ascii="Arial" w:eastAsia="Times New Roman" w:hAnsi="Arial" w:cs="Arial"/>
          <w:b/>
          <w:position w:val="0"/>
          <w:sz w:val="20"/>
          <w:szCs w:val="20"/>
        </w:rPr>
      </w:pPr>
      <w:r w:rsidRPr="00833667">
        <w:rPr>
          <w:rFonts w:ascii="Arial" w:eastAsia="Times New Roman" w:hAnsi="Arial" w:cs="Arial"/>
          <w:position w:val="0"/>
          <w:sz w:val="20"/>
          <w:szCs w:val="20"/>
        </w:rPr>
        <w:t>The results of the CU triaxial tests on Petobo sand are summarized in Table 2, which presents the maximum deviator stress (</w:t>
      </w:r>
      <m:oMath>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q</m:t>
            </m:r>
          </m:e>
          <m:sub>
            <m:r>
              <w:rPr>
                <w:rFonts w:ascii="Cambria Math" w:eastAsia="Times New Roman" w:hAnsi="Cambria Math" w:cs="Arial"/>
                <w:position w:val="0"/>
                <w:sz w:val="20"/>
                <w:szCs w:val="20"/>
              </w:rPr>
              <m:t>max</m:t>
            </m:r>
          </m:sub>
        </m:sSub>
      </m:oMath>
      <w:r w:rsidRPr="00833667">
        <w:rPr>
          <w:rFonts w:ascii="Arial" w:eastAsia="Times New Roman" w:hAnsi="Arial" w:cs="Arial"/>
          <w:position w:val="0"/>
          <w:sz w:val="20"/>
          <w:szCs w:val="20"/>
        </w:rPr>
        <w:t>), maximum excess pore water pressure (</w:t>
      </w:r>
      <m:oMath>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Δu</m:t>
            </m:r>
          </m:e>
          <m:sub>
            <m:r>
              <w:rPr>
                <w:rFonts w:ascii="Cambria Math" w:eastAsia="Times New Roman" w:hAnsi="Cambria Math" w:cs="Arial"/>
                <w:position w:val="0"/>
                <w:sz w:val="20"/>
                <w:szCs w:val="20"/>
              </w:rPr>
              <m:t>max</m:t>
            </m:r>
          </m:sub>
        </m:sSub>
      </m:oMath>
      <w:r w:rsidRPr="00833667">
        <w:rPr>
          <w:rFonts w:ascii="Arial" w:eastAsia="Times New Roman" w:hAnsi="Arial" w:cs="Arial"/>
          <w:position w:val="0"/>
          <w:sz w:val="20"/>
          <w:szCs w:val="20"/>
        </w:rPr>
        <w:t>), and residual strength for the two fines contents (9% and 26.4%) under three levels of confining stress, or initial mean effective stress (</w:t>
      </w:r>
      <m:oMath>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oMath>
      <w:r w:rsidRPr="00833667">
        <w:rPr>
          <w:rFonts w:ascii="Arial" w:eastAsia="Times New Roman" w:hAnsi="Arial" w:cs="Arial"/>
          <w:position w:val="0"/>
          <w:sz w:val="20"/>
          <w:szCs w:val="20"/>
        </w:rPr>
        <w:t xml:space="preserve">) </w:t>
      </w:r>
      <w:r w:rsidR="00DB6DF5" w:rsidRPr="00DB6DF5">
        <w:rPr>
          <w:rFonts w:ascii="Arial" w:eastAsia="Times New Roman" w:hAnsi="Arial" w:cs="Arial"/>
          <w:position w:val="0"/>
          <w:sz w:val="20"/>
          <w:szCs w:val="20"/>
        </w:rPr>
        <w:t>within the CSSM framework</w:t>
      </w:r>
      <w:r w:rsidRPr="00833667">
        <w:rPr>
          <w:rFonts w:ascii="Arial" w:eastAsia="Times New Roman" w:hAnsi="Arial" w:cs="Arial"/>
          <w:position w:val="0"/>
          <w:sz w:val="20"/>
          <w:szCs w:val="20"/>
        </w:rPr>
        <w:t xml:space="preserve">. </w:t>
      </w:r>
      <w:r w:rsidR="00DB6DF5" w:rsidRPr="00DB6DF5">
        <w:rPr>
          <w:rFonts w:ascii="Arial" w:eastAsia="Times New Roman" w:hAnsi="Arial" w:cs="Arial"/>
          <w:position w:val="0"/>
          <w:sz w:val="20"/>
          <w:szCs w:val="20"/>
        </w:rPr>
        <w:t>The stress–strain</w:t>
      </w:r>
      <w:r w:rsidR="00DB6DF5">
        <w:rPr>
          <w:rFonts w:ascii="Arial" w:eastAsia="Times New Roman" w:hAnsi="Arial" w:cs="Arial"/>
          <w:position w:val="0"/>
          <w:sz w:val="20"/>
          <w:szCs w:val="20"/>
        </w:rPr>
        <w:t xml:space="preserve"> </w:t>
      </w:r>
      <m:oMath>
        <m:r>
          <w:rPr>
            <w:rFonts w:ascii="Cambria Math" w:eastAsia="Times New Roman" w:hAnsi="Cambria Math" w:cs="Arial"/>
            <w:position w:val="0"/>
            <w:sz w:val="20"/>
            <w:szCs w:val="20"/>
          </w:rPr>
          <m:t>(q-ε)</m:t>
        </m:r>
      </m:oMath>
      <w:r w:rsidRPr="00833667">
        <w:rPr>
          <w:rFonts w:ascii="Arial" w:eastAsia="Times New Roman" w:hAnsi="Arial" w:cs="Arial"/>
          <w:position w:val="0"/>
          <w:sz w:val="20"/>
          <w:szCs w:val="20"/>
        </w:rPr>
        <w:t>,</w:t>
      </w:r>
      <w:r w:rsidR="00DB6DF5">
        <w:rPr>
          <w:rFonts w:ascii="Arial" w:eastAsia="Times New Roman" w:hAnsi="Arial" w:cs="Arial"/>
          <w:position w:val="0"/>
          <w:sz w:val="20"/>
          <w:szCs w:val="20"/>
        </w:rPr>
        <w:t xml:space="preserve"> </w:t>
      </w:r>
      <w:r w:rsidR="00DB6DF5" w:rsidRPr="00DB6DF5">
        <w:rPr>
          <w:rFonts w:ascii="Arial" w:eastAsia="Times New Roman" w:hAnsi="Arial" w:cs="Arial"/>
          <w:position w:val="0"/>
          <w:sz w:val="20"/>
          <w:szCs w:val="20"/>
        </w:rPr>
        <w:t>pore</w:t>
      </w:r>
      <w:r w:rsidR="003303C8">
        <w:rPr>
          <w:rFonts w:ascii="Arial" w:eastAsia="Times New Roman" w:hAnsi="Arial" w:cs="Arial"/>
          <w:position w:val="0"/>
          <w:sz w:val="20"/>
          <w:szCs w:val="20"/>
        </w:rPr>
        <w:t>-</w:t>
      </w:r>
      <w:r w:rsidR="00DB6DF5" w:rsidRPr="00DB6DF5">
        <w:rPr>
          <w:rFonts w:ascii="Arial" w:eastAsia="Times New Roman" w:hAnsi="Arial" w:cs="Arial"/>
          <w:position w:val="0"/>
          <w:sz w:val="20"/>
          <w:szCs w:val="20"/>
        </w:rPr>
        <w:t>pressure</w:t>
      </w:r>
      <w:r w:rsidR="00DB6DF5">
        <w:rPr>
          <w:rFonts w:ascii="Arial" w:eastAsia="Times New Roman" w:hAnsi="Arial" w:cs="Arial"/>
          <w:position w:val="0"/>
          <w:sz w:val="20"/>
          <w:szCs w:val="20"/>
        </w:rPr>
        <w:t>-</w:t>
      </w:r>
      <w:r w:rsidR="00DB6DF5" w:rsidRPr="00DB6DF5">
        <w:rPr>
          <w:rFonts w:ascii="Arial" w:eastAsia="Times New Roman" w:hAnsi="Arial" w:cs="Arial"/>
          <w:position w:val="0"/>
          <w:sz w:val="20"/>
          <w:szCs w:val="20"/>
        </w:rPr>
        <w:t>strain</w:t>
      </w:r>
      <w:r w:rsidRPr="00833667">
        <w:rPr>
          <w:rFonts w:ascii="Arial" w:eastAsia="Times New Roman" w:hAnsi="Arial" w:cs="Arial"/>
          <w:position w:val="0"/>
          <w:sz w:val="20"/>
          <w:szCs w:val="20"/>
        </w:rPr>
        <w:t xml:space="preserve"> </w:t>
      </w:r>
      <m:oMath>
        <m:r>
          <w:rPr>
            <w:rFonts w:ascii="Cambria Math" w:eastAsia="Times New Roman" w:hAnsi="Cambria Math" w:cs="Arial"/>
            <w:position w:val="0"/>
            <w:sz w:val="20"/>
            <w:szCs w:val="20"/>
          </w:rPr>
          <m:t>(Δu-ε)</m:t>
        </m:r>
      </m:oMath>
      <w:r w:rsidRPr="00833667">
        <w:rPr>
          <w:rFonts w:ascii="Arial" w:eastAsia="Times New Roman" w:hAnsi="Arial" w:cs="Arial"/>
          <w:position w:val="0"/>
          <w:sz w:val="20"/>
          <w:szCs w:val="20"/>
        </w:rPr>
        <w:t>, and</w:t>
      </w:r>
      <w:r w:rsidR="00DB6DF5">
        <w:rPr>
          <w:rFonts w:ascii="Arial" w:eastAsia="Times New Roman" w:hAnsi="Arial" w:cs="Arial"/>
          <w:position w:val="0"/>
          <w:sz w:val="20"/>
          <w:szCs w:val="20"/>
        </w:rPr>
        <w:t xml:space="preserve"> </w:t>
      </w:r>
      <w:r w:rsidR="00DB6DF5" w:rsidRPr="00DB6DF5">
        <w:rPr>
          <w:rFonts w:ascii="Arial" w:eastAsia="Times New Roman" w:hAnsi="Arial" w:cs="Arial"/>
          <w:position w:val="0"/>
          <w:sz w:val="20"/>
          <w:szCs w:val="20"/>
        </w:rPr>
        <w:t>and effective stress path</w:t>
      </w:r>
      <w:r w:rsidRPr="00833667">
        <w:rPr>
          <w:rFonts w:ascii="Arial" w:eastAsia="Times New Roman" w:hAnsi="Arial" w:cs="Arial"/>
          <w:position w:val="0"/>
          <w:sz w:val="20"/>
          <w:szCs w:val="20"/>
        </w:rPr>
        <w:t xml:space="preserve"> </w:t>
      </w:r>
      <m:oMath>
        <m:r>
          <w:rPr>
            <w:rFonts w:ascii="Cambria Math" w:eastAsia="Times New Roman" w:hAnsi="Cambria Math" w:cs="Arial"/>
            <w:position w:val="0"/>
            <w:sz w:val="20"/>
            <w:szCs w:val="20"/>
          </w:rPr>
          <m:t>(</m:t>
        </m:r>
        <m:sSup>
          <m:sSupPr>
            <m:ctrlPr>
              <w:rPr>
                <w:rFonts w:ascii="Cambria Math" w:eastAsia="Times New Roman" w:hAnsi="Cambria Math" w:cs="Arial"/>
                <w:i/>
                <w:position w:val="0"/>
                <w:sz w:val="20"/>
                <w:szCs w:val="20"/>
              </w:rPr>
            </m:ctrlPr>
          </m:sSupPr>
          <m:e>
            <m:r>
              <w:rPr>
                <w:rFonts w:ascii="Cambria Math" w:eastAsia="Times New Roman" w:hAnsi="Cambria Math" w:cs="Arial"/>
                <w:position w:val="0"/>
                <w:sz w:val="20"/>
                <w:szCs w:val="20"/>
              </w:rPr>
              <m:t>p</m:t>
            </m:r>
          </m:e>
          <m:sup>
            <m:r>
              <w:rPr>
                <w:rFonts w:ascii="Cambria Math" w:eastAsia="Times New Roman" w:hAnsi="Cambria Math" w:cs="Arial"/>
                <w:position w:val="0"/>
                <w:sz w:val="20"/>
                <w:szCs w:val="20"/>
              </w:rPr>
              <m:t>'</m:t>
            </m:r>
          </m:sup>
        </m:sSup>
        <m:r>
          <w:rPr>
            <w:rFonts w:ascii="Cambria Math" w:eastAsia="Times New Roman" w:hAnsi="Cambria Math" w:cs="Arial"/>
            <w:position w:val="0"/>
            <w:sz w:val="20"/>
            <w:szCs w:val="20"/>
          </w:rPr>
          <m:t>-q)</m:t>
        </m:r>
      </m:oMath>
      <w:r w:rsidRPr="00833667">
        <w:rPr>
          <w:rFonts w:ascii="Arial" w:eastAsia="Times New Roman" w:hAnsi="Arial" w:cs="Arial"/>
          <w:position w:val="0"/>
          <w:sz w:val="20"/>
          <w:szCs w:val="20"/>
        </w:rPr>
        <w:t xml:space="preserve"> </w:t>
      </w:r>
      <w:r w:rsidR="00DB6DF5" w:rsidRPr="00DB6DF5">
        <w:rPr>
          <w:rFonts w:ascii="Arial" w:eastAsia="Times New Roman" w:hAnsi="Arial" w:cs="Arial"/>
          <w:position w:val="0"/>
          <w:sz w:val="20"/>
          <w:szCs w:val="20"/>
        </w:rPr>
        <w:t>relationships are shown in Figures 5</w:t>
      </w:r>
      <w:r w:rsidR="00DB6DF5">
        <w:rPr>
          <w:rFonts w:ascii="Arial" w:eastAsia="Times New Roman" w:hAnsi="Arial" w:cs="Arial"/>
          <w:position w:val="0"/>
          <w:sz w:val="20"/>
          <w:szCs w:val="20"/>
        </w:rPr>
        <w:t>-</w:t>
      </w:r>
      <w:r w:rsidR="00DB6DF5" w:rsidRPr="00DB6DF5">
        <w:rPr>
          <w:rFonts w:ascii="Arial" w:eastAsia="Times New Roman" w:hAnsi="Arial" w:cs="Arial"/>
          <w:position w:val="0"/>
          <w:sz w:val="20"/>
          <w:szCs w:val="20"/>
        </w:rPr>
        <w:t>7 to illustrate the soil response under undrained loading</w:t>
      </w:r>
      <w:r w:rsidRPr="00394AB3">
        <w:rPr>
          <w:rFonts w:ascii="Arial" w:eastAsia="Times New Roman" w:hAnsi="Arial" w:cs="Arial"/>
          <w:b/>
          <w:position w:val="0"/>
          <w:sz w:val="20"/>
          <w:szCs w:val="20"/>
        </w:rPr>
        <w:t>.</w:t>
      </w:r>
    </w:p>
    <w:p w14:paraId="13234B51" w14:textId="77777777" w:rsidR="00FA67FF" w:rsidRDefault="00FA67FF" w:rsidP="00FA67FF">
      <w:pPr>
        <w:suppressAutoHyphens w:val="0"/>
        <w:spacing w:before="120" w:after="120" w:line="240" w:lineRule="auto"/>
        <w:ind w:leftChars="0" w:firstLineChars="0" w:firstLine="0"/>
        <w:jc w:val="center"/>
        <w:textDirection w:val="lrTb"/>
        <w:textAlignment w:val="auto"/>
        <w:outlineLvl w:val="9"/>
        <w:rPr>
          <w:rFonts w:ascii="Arial" w:eastAsia="Times New Roman" w:hAnsi="Arial" w:cs="Arial"/>
          <w:b/>
          <w:position w:val="0"/>
          <w:sz w:val="20"/>
          <w:szCs w:val="20"/>
        </w:rPr>
        <w:sectPr w:rsidR="00FA67FF" w:rsidSect="00FD660B">
          <w:type w:val="continuous"/>
          <w:pgSz w:w="11907" w:h="16840"/>
          <w:pgMar w:top="1701" w:right="1134" w:bottom="1701" w:left="1701" w:header="680" w:footer="680" w:gutter="0"/>
          <w:cols w:num="2" w:space="720" w:equalWidth="0">
            <w:col w:w="4394" w:space="284"/>
            <w:col w:w="4394" w:space="0"/>
          </w:cols>
          <w:titlePg/>
        </w:sectPr>
      </w:pPr>
    </w:p>
    <w:p w14:paraId="4C0D22A4" w14:textId="77777777" w:rsidR="006241FB" w:rsidRDefault="006241FB" w:rsidP="00DB6DF5">
      <w:pPr>
        <w:suppressAutoHyphens w:val="0"/>
        <w:spacing w:before="60" w:after="60" w:line="240" w:lineRule="auto"/>
        <w:ind w:leftChars="0" w:left="0" w:firstLineChars="0" w:firstLine="0"/>
        <w:jc w:val="center"/>
        <w:textDirection w:val="lrTb"/>
        <w:textAlignment w:val="auto"/>
        <w:outlineLvl w:val="9"/>
        <w:rPr>
          <w:rFonts w:ascii="Arial" w:eastAsia="Times New Roman" w:hAnsi="Arial" w:cs="Arial"/>
          <w:b/>
          <w:bCs/>
          <w:position w:val="0"/>
          <w:sz w:val="20"/>
          <w:szCs w:val="20"/>
        </w:rPr>
      </w:pPr>
    </w:p>
    <w:p w14:paraId="2EF6BA9B" w14:textId="77777777" w:rsidR="00972651" w:rsidRPr="00EA74CA" w:rsidRDefault="00972651" w:rsidP="00DB6DF5">
      <w:pPr>
        <w:suppressAutoHyphens w:val="0"/>
        <w:spacing w:before="60" w:after="60" w:line="240" w:lineRule="auto"/>
        <w:ind w:leftChars="0" w:left="0" w:firstLineChars="0" w:firstLine="0"/>
        <w:jc w:val="center"/>
        <w:textDirection w:val="lrTb"/>
        <w:textAlignment w:val="auto"/>
        <w:outlineLvl w:val="9"/>
        <w:rPr>
          <w:rFonts w:ascii="Arial" w:eastAsia="Times New Roman" w:hAnsi="Arial" w:cs="Arial"/>
          <w:position w:val="0"/>
          <w:sz w:val="20"/>
          <w:szCs w:val="20"/>
        </w:rPr>
      </w:pPr>
      <w:r w:rsidRPr="00EA74CA">
        <w:rPr>
          <w:rFonts w:ascii="Arial" w:eastAsia="Times New Roman" w:hAnsi="Arial" w:cs="Arial"/>
          <w:bCs/>
          <w:position w:val="0"/>
          <w:sz w:val="20"/>
          <w:szCs w:val="20"/>
        </w:rPr>
        <w:t>Table 2.</w:t>
      </w:r>
      <w:r w:rsidRPr="00EA74CA">
        <w:rPr>
          <w:rFonts w:ascii="Arial" w:eastAsia="Times New Roman" w:hAnsi="Arial" w:cs="Arial"/>
          <w:position w:val="0"/>
          <w:sz w:val="20"/>
          <w:szCs w:val="20"/>
        </w:rPr>
        <w:t xml:space="preserve"> Summary of CU triaxial test results </w:t>
      </w:r>
    </w:p>
    <w:tbl>
      <w:tblPr>
        <w:tblStyle w:val="TableGrid1"/>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6"/>
        <w:gridCol w:w="994"/>
        <w:gridCol w:w="1310"/>
        <w:gridCol w:w="1154"/>
        <w:gridCol w:w="1880"/>
        <w:gridCol w:w="1878"/>
      </w:tblGrid>
      <w:tr w:rsidR="00764841" w:rsidRPr="00FA67FF" w14:paraId="1F356AA1" w14:textId="77777777" w:rsidTr="001F40E5">
        <w:trPr>
          <w:jc w:val="center"/>
        </w:trPr>
        <w:tc>
          <w:tcPr>
            <w:tcW w:w="1023" w:type="pct"/>
            <w:tcBorders>
              <w:top w:val="single" w:sz="4" w:space="0" w:color="auto"/>
              <w:bottom w:val="nil"/>
            </w:tcBorders>
          </w:tcPr>
          <w:p w14:paraId="4A619BA8" w14:textId="77777777" w:rsidR="00764841" w:rsidRDefault="00764841" w:rsidP="00764841">
            <w:pPr>
              <w:suppressAutoHyphens w:val="0"/>
              <w:ind w:leftChars="0" w:left="0" w:firstLineChars="0" w:firstLine="0"/>
              <w:jc w:val="center"/>
              <w:textDirection w:val="lrTb"/>
              <w:textAlignment w:val="auto"/>
              <w:outlineLvl w:val="9"/>
              <w:rPr>
                <w:rFonts w:ascii="Arial" w:hAnsi="Arial" w:cs="Arial"/>
                <w:b/>
                <w:position w:val="0"/>
                <w:sz w:val="20"/>
                <w:szCs w:val="20"/>
              </w:rPr>
            </w:pPr>
            <w:r w:rsidRPr="00FA67FF">
              <w:rPr>
                <w:rFonts w:ascii="Arial" w:hAnsi="Arial" w:cs="Arial"/>
                <w:b/>
                <w:position w:val="0"/>
                <w:sz w:val="20"/>
                <w:szCs w:val="20"/>
              </w:rPr>
              <w:t>Fine Content</w:t>
            </w:r>
          </w:p>
          <w:p w14:paraId="1D9D6396" w14:textId="77777777" w:rsidR="00FA67FF" w:rsidRPr="00FA67FF" w:rsidRDefault="00FA67FF" w:rsidP="00764841">
            <w:pPr>
              <w:suppressAutoHyphens w:val="0"/>
              <w:ind w:leftChars="0" w:left="0" w:firstLineChars="0" w:firstLine="0"/>
              <w:jc w:val="center"/>
              <w:textDirection w:val="lrTb"/>
              <w:textAlignment w:val="auto"/>
              <w:outlineLvl w:val="9"/>
              <w:rPr>
                <w:rFonts w:ascii="Arial" w:hAnsi="Arial" w:cs="Arial"/>
                <w:b/>
                <w:position w:val="0"/>
                <w:sz w:val="20"/>
                <w:szCs w:val="20"/>
              </w:rPr>
            </w:pPr>
            <w:r w:rsidRPr="00FA67FF">
              <w:rPr>
                <w:rFonts w:ascii="Arial" w:hAnsi="Arial" w:cs="Arial"/>
                <w:b/>
                <w:position w:val="0"/>
                <w:sz w:val="20"/>
                <w:szCs w:val="20"/>
              </w:rPr>
              <w:t>(FC %)</w:t>
            </w:r>
          </w:p>
        </w:tc>
        <w:tc>
          <w:tcPr>
            <w:tcW w:w="548" w:type="pct"/>
            <w:tcBorders>
              <w:top w:val="single" w:sz="4" w:space="0" w:color="auto"/>
              <w:bottom w:val="nil"/>
            </w:tcBorders>
          </w:tcPr>
          <w:p w14:paraId="3A022605" w14:textId="77777777" w:rsidR="00764841" w:rsidRPr="00FA67FF" w:rsidRDefault="00394AB3" w:rsidP="00764841">
            <w:pPr>
              <w:suppressAutoHyphens w:val="0"/>
              <w:ind w:leftChars="0" w:left="0" w:firstLineChars="0" w:firstLine="0"/>
              <w:jc w:val="center"/>
              <w:textDirection w:val="lrTb"/>
              <w:textAlignment w:val="auto"/>
              <w:outlineLvl w:val="9"/>
              <w:rPr>
                <w:rFonts w:ascii="Arial" w:hAnsi="Arial" w:cs="Arial"/>
                <w:b/>
                <w:position w:val="0"/>
                <w:sz w:val="20"/>
                <w:szCs w:val="20"/>
              </w:rPr>
            </w:pPr>
            <m:oMath>
              <m:r>
                <m:rPr>
                  <m:sty m:val="bi"/>
                </m:rPr>
                <w:rPr>
                  <w:rFonts w:ascii="Cambria Math" w:hAnsi="Cambria Math" w:cs="Arial"/>
                  <w:position w:val="0"/>
                  <w:sz w:val="20"/>
                  <w:szCs w:val="20"/>
                </w:rPr>
                <m:t>p'₀</m:t>
              </m:r>
            </m:oMath>
            <w:r w:rsidR="00764841" w:rsidRPr="00FA67FF">
              <w:rPr>
                <w:rFonts w:ascii="Arial" w:hAnsi="Arial" w:cs="Arial"/>
                <w:b/>
                <w:position w:val="0"/>
                <w:sz w:val="20"/>
                <w:szCs w:val="20"/>
              </w:rPr>
              <w:t xml:space="preserve"> </w:t>
            </w:r>
          </w:p>
          <w:p w14:paraId="7F794DF4" w14:textId="77777777" w:rsidR="00764841" w:rsidRPr="00FA67FF" w:rsidRDefault="00FA67FF" w:rsidP="00DB6DF5">
            <w:pPr>
              <w:suppressAutoHyphens w:val="0"/>
              <w:spacing w:after="100" w:afterAutospacing="1"/>
              <w:ind w:leftChars="0" w:left="0" w:firstLineChars="0" w:firstLine="0"/>
              <w:jc w:val="center"/>
              <w:textDirection w:val="lrTb"/>
              <w:textAlignment w:val="auto"/>
              <w:outlineLvl w:val="9"/>
              <w:rPr>
                <w:rFonts w:ascii="Arial" w:hAnsi="Arial" w:cs="Arial"/>
                <w:b/>
                <w:position w:val="0"/>
                <w:sz w:val="20"/>
                <w:szCs w:val="20"/>
              </w:rPr>
            </w:pPr>
            <w:r w:rsidRPr="00FA67FF">
              <w:rPr>
                <w:rFonts w:ascii="Arial" w:hAnsi="Arial" w:cs="Arial"/>
                <w:b/>
                <w:position w:val="0"/>
                <w:sz w:val="20"/>
                <w:szCs w:val="20"/>
              </w:rPr>
              <w:t>(</w:t>
            </w:r>
            <w:r w:rsidR="00DB6DF5">
              <w:rPr>
                <w:rFonts w:ascii="Arial" w:hAnsi="Arial" w:cs="Arial"/>
                <w:b/>
                <w:position w:val="0"/>
                <w:sz w:val="20"/>
                <w:szCs w:val="20"/>
              </w:rPr>
              <w:t>kPa)</w:t>
            </w:r>
          </w:p>
        </w:tc>
        <w:tc>
          <w:tcPr>
            <w:tcW w:w="722" w:type="pct"/>
            <w:tcBorders>
              <w:top w:val="single" w:sz="4" w:space="0" w:color="auto"/>
              <w:bottom w:val="nil"/>
            </w:tcBorders>
          </w:tcPr>
          <w:p w14:paraId="6BB0760F" w14:textId="77777777" w:rsidR="00764841" w:rsidRPr="00FA67FF" w:rsidRDefault="00000000" w:rsidP="00764841">
            <w:pPr>
              <w:suppressAutoHyphens w:val="0"/>
              <w:ind w:leftChars="0" w:left="0" w:firstLineChars="0" w:firstLine="0"/>
              <w:jc w:val="center"/>
              <w:textDirection w:val="lrTb"/>
              <w:textAlignment w:val="auto"/>
              <w:outlineLvl w:val="9"/>
              <w:rPr>
                <w:rFonts w:ascii="Arial" w:hAnsi="Arial" w:cs="Arial"/>
                <w:b/>
                <w:position w:val="0"/>
                <w:sz w:val="20"/>
                <w:szCs w:val="20"/>
              </w:rPr>
            </w:pPr>
            <m:oMathPara>
              <m:oMath>
                <m:sSub>
                  <m:sSubPr>
                    <m:ctrlPr>
                      <w:rPr>
                        <w:rFonts w:ascii="Cambria Math" w:hAnsi="Cambria Math" w:cs="Arial"/>
                        <w:b/>
                        <w:i/>
                        <w:position w:val="0"/>
                        <w:sz w:val="20"/>
                        <w:szCs w:val="20"/>
                      </w:rPr>
                    </m:ctrlPr>
                  </m:sSubPr>
                  <m:e>
                    <m:r>
                      <m:rPr>
                        <m:sty m:val="bi"/>
                      </m:rPr>
                      <w:rPr>
                        <w:rFonts w:ascii="Cambria Math" w:hAnsi="Cambria Math" w:cs="Arial"/>
                        <w:position w:val="0"/>
                        <w:sz w:val="20"/>
                        <w:szCs w:val="20"/>
                      </w:rPr>
                      <m:t xml:space="preserve">q </m:t>
                    </m:r>
                  </m:e>
                  <m:sub>
                    <m:r>
                      <m:rPr>
                        <m:sty m:val="bi"/>
                      </m:rPr>
                      <w:rPr>
                        <w:rFonts w:ascii="Cambria Math" w:hAnsi="Cambria Math" w:cs="Arial"/>
                        <w:position w:val="0"/>
                        <w:sz w:val="20"/>
                        <w:szCs w:val="20"/>
                      </w:rPr>
                      <m:t>max</m:t>
                    </m:r>
                  </m:sub>
                </m:sSub>
              </m:oMath>
            </m:oMathPara>
          </w:p>
          <w:p w14:paraId="6BAE175B" w14:textId="77777777" w:rsidR="00764841" w:rsidRPr="00FA67FF" w:rsidRDefault="00FA67FF" w:rsidP="00DB6DF5">
            <w:pPr>
              <w:suppressAutoHyphens w:val="0"/>
              <w:ind w:leftChars="0" w:left="0" w:firstLineChars="0" w:firstLine="0"/>
              <w:jc w:val="center"/>
              <w:textDirection w:val="lrTb"/>
              <w:textAlignment w:val="auto"/>
              <w:outlineLvl w:val="9"/>
              <w:rPr>
                <w:rFonts w:ascii="Arial" w:hAnsi="Arial" w:cs="Arial"/>
                <w:b/>
                <w:position w:val="0"/>
                <w:sz w:val="20"/>
                <w:szCs w:val="20"/>
              </w:rPr>
            </w:pPr>
            <w:r w:rsidRPr="00FA67FF">
              <w:rPr>
                <w:rFonts w:ascii="Arial" w:hAnsi="Arial" w:cs="Arial"/>
                <w:b/>
                <w:position w:val="0"/>
                <w:sz w:val="20"/>
                <w:szCs w:val="20"/>
              </w:rPr>
              <w:t>(</w:t>
            </w:r>
            <w:r w:rsidR="00DB6DF5">
              <w:rPr>
                <w:rFonts w:ascii="Arial" w:hAnsi="Arial" w:cs="Arial"/>
                <w:b/>
                <w:position w:val="0"/>
                <w:sz w:val="20"/>
                <w:szCs w:val="20"/>
              </w:rPr>
              <w:t>kPa</w:t>
            </w:r>
            <w:r w:rsidR="007353F2">
              <w:rPr>
                <w:rFonts w:ascii="Arial" w:hAnsi="Arial" w:cs="Arial"/>
                <w:b/>
                <w:position w:val="0"/>
                <w:sz w:val="20"/>
                <w:szCs w:val="20"/>
              </w:rPr>
              <w:t>)</w:t>
            </w:r>
          </w:p>
        </w:tc>
        <w:tc>
          <w:tcPr>
            <w:tcW w:w="636" w:type="pct"/>
            <w:tcBorders>
              <w:top w:val="single" w:sz="4" w:space="0" w:color="auto"/>
              <w:bottom w:val="nil"/>
            </w:tcBorders>
          </w:tcPr>
          <w:p w14:paraId="10C2EC48" w14:textId="77777777" w:rsidR="00764841" w:rsidRPr="00FA67FF" w:rsidRDefault="00394AB3" w:rsidP="00764841">
            <w:pPr>
              <w:suppressAutoHyphens w:val="0"/>
              <w:ind w:leftChars="0" w:left="0" w:firstLineChars="0" w:firstLine="0"/>
              <w:jc w:val="center"/>
              <w:textDirection w:val="lrTb"/>
              <w:textAlignment w:val="auto"/>
              <w:outlineLvl w:val="9"/>
              <w:rPr>
                <w:rFonts w:ascii="Arial" w:hAnsi="Arial" w:cs="Arial"/>
                <w:b/>
                <w:position w:val="0"/>
                <w:sz w:val="20"/>
                <w:szCs w:val="20"/>
              </w:rPr>
            </w:pPr>
            <m:oMathPara>
              <m:oMath>
                <m:r>
                  <m:rPr>
                    <m:sty m:val="bi"/>
                  </m:rPr>
                  <w:rPr>
                    <w:rFonts w:ascii="Cambria Math" w:hAnsi="Cambria Math" w:cs="Arial"/>
                    <w:position w:val="0"/>
                    <w:sz w:val="20"/>
                    <w:szCs w:val="20"/>
                  </w:rPr>
                  <m:t>Δu</m:t>
                </m:r>
              </m:oMath>
            </m:oMathPara>
          </w:p>
          <w:p w14:paraId="20EF4121" w14:textId="77777777" w:rsidR="00764841" w:rsidRPr="00FA67FF" w:rsidRDefault="00FA67FF" w:rsidP="00DB6DF5">
            <w:pPr>
              <w:suppressAutoHyphens w:val="0"/>
              <w:spacing w:after="100" w:afterAutospacing="1"/>
              <w:ind w:leftChars="0" w:left="0" w:firstLineChars="0" w:firstLine="0"/>
              <w:jc w:val="center"/>
              <w:textDirection w:val="lrTb"/>
              <w:textAlignment w:val="auto"/>
              <w:outlineLvl w:val="9"/>
              <w:rPr>
                <w:rFonts w:ascii="Arial" w:hAnsi="Arial" w:cs="Arial"/>
                <w:b/>
                <w:position w:val="0"/>
                <w:sz w:val="20"/>
                <w:szCs w:val="20"/>
              </w:rPr>
            </w:pPr>
            <w:r w:rsidRPr="00FA67FF">
              <w:rPr>
                <w:rFonts w:ascii="Arial" w:hAnsi="Arial" w:cs="Arial"/>
                <w:b/>
                <w:position w:val="0"/>
                <w:sz w:val="20"/>
                <w:szCs w:val="20"/>
              </w:rPr>
              <w:t>(</w:t>
            </w:r>
            <w:r w:rsidR="00DB6DF5">
              <w:rPr>
                <w:rFonts w:ascii="Arial" w:hAnsi="Arial" w:cs="Arial"/>
                <w:b/>
                <w:position w:val="0"/>
                <w:sz w:val="20"/>
                <w:szCs w:val="20"/>
              </w:rPr>
              <w:t>kPa)</w:t>
            </w:r>
          </w:p>
        </w:tc>
        <w:tc>
          <w:tcPr>
            <w:tcW w:w="1036" w:type="pct"/>
            <w:tcBorders>
              <w:top w:val="single" w:sz="4" w:space="0" w:color="auto"/>
              <w:bottom w:val="nil"/>
            </w:tcBorders>
          </w:tcPr>
          <w:p w14:paraId="15A24098" w14:textId="77777777" w:rsidR="00764841" w:rsidRPr="00FA67FF" w:rsidRDefault="00000000" w:rsidP="00764841">
            <w:pPr>
              <w:suppressAutoHyphens w:val="0"/>
              <w:ind w:leftChars="0" w:left="0" w:firstLineChars="0" w:firstLine="0"/>
              <w:jc w:val="center"/>
              <w:textDirection w:val="lrTb"/>
              <w:textAlignment w:val="auto"/>
              <w:outlineLvl w:val="9"/>
              <w:rPr>
                <w:rFonts w:ascii="Arial" w:hAnsi="Arial" w:cs="Arial"/>
                <w:b/>
                <w:position w:val="0"/>
                <w:sz w:val="20"/>
                <w:szCs w:val="20"/>
              </w:rPr>
            </w:pPr>
            <m:oMathPara>
              <m:oMath>
                <m:sSub>
                  <m:sSubPr>
                    <m:ctrlPr>
                      <w:rPr>
                        <w:rFonts w:ascii="Cambria Math" w:hAnsi="Cambria Math" w:cs="Arial"/>
                        <w:b/>
                        <w:i/>
                        <w:position w:val="0"/>
                        <w:sz w:val="20"/>
                        <w:szCs w:val="20"/>
                      </w:rPr>
                    </m:ctrlPr>
                  </m:sSubPr>
                  <m:e>
                    <m:r>
                      <m:rPr>
                        <m:sty m:val="bi"/>
                      </m:rPr>
                      <w:rPr>
                        <w:rFonts w:ascii="Cambria Math" w:hAnsi="Cambria Math" w:cs="Arial"/>
                        <w:position w:val="0"/>
                        <w:sz w:val="20"/>
                        <w:szCs w:val="20"/>
                      </w:rPr>
                      <m:t xml:space="preserve">q </m:t>
                    </m:r>
                  </m:e>
                  <m:sub>
                    <m:r>
                      <m:rPr>
                        <m:sty m:val="bi"/>
                      </m:rPr>
                      <w:rPr>
                        <w:rFonts w:ascii="Cambria Math" w:hAnsi="Cambria Math" w:cs="Arial"/>
                        <w:position w:val="0"/>
                        <w:sz w:val="20"/>
                        <w:szCs w:val="20"/>
                      </w:rPr>
                      <m:t>residual</m:t>
                    </m:r>
                  </m:sub>
                </m:sSub>
              </m:oMath>
            </m:oMathPara>
          </w:p>
          <w:p w14:paraId="0C94C424" w14:textId="77777777" w:rsidR="00764841" w:rsidRPr="00FA67FF" w:rsidRDefault="00FA67FF" w:rsidP="00DB6DF5">
            <w:pPr>
              <w:suppressAutoHyphens w:val="0"/>
              <w:spacing w:after="100" w:afterAutospacing="1"/>
              <w:ind w:leftChars="0" w:left="0" w:firstLineChars="0" w:firstLine="0"/>
              <w:jc w:val="center"/>
              <w:textDirection w:val="lrTb"/>
              <w:textAlignment w:val="auto"/>
              <w:outlineLvl w:val="9"/>
              <w:rPr>
                <w:rFonts w:ascii="Arial" w:hAnsi="Arial" w:cs="Arial"/>
                <w:b/>
                <w:position w:val="0"/>
                <w:sz w:val="20"/>
                <w:szCs w:val="20"/>
              </w:rPr>
            </w:pPr>
            <w:r w:rsidRPr="00FA67FF">
              <w:rPr>
                <w:rFonts w:ascii="Arial" w:hAnsi="Arial" w:cs="Arial"/>
                <w:b/>
                <w:position w:val="0"/>
                <w:sz w:val="20"/>
                <w:szCs w:val="20"/>
              </w:rPr>
              <w:t>(</w:t>
            </w:r>
            <w:r w:rsidR="00DB6DF5">
              <w:rPr>
                <w:rFonts w:ascii="Arial" w:hAnsi="Arial" w:cs="Arial"/>
                <w:b/>
                <w:position w:val="0"/>
                <w:sz w:val="20"/>
                <w:szCs w:val="20"/>
              </w:rPr>
              <w:t>kPa</w:t>
            </w:r>
            <w:r w:rsidR="003B6393">
              <w:rPr>
                <w:rFonts w:ascii="Arial" w:hAnsi="Arial" w:cs="Arial"/>
                <w:b/>
                <w:position w:val="0"/>
                <w:sz w:val="20"/>
                <w:szCs w:val="20"/>
              </w:rPr>
              <w:t>)</w:t>
            </w:r>
          </w:p>
        </w:tc>
        <w:tc>
          <w:tcPr>
            <w:tcW w:w="1035" w:type="pct"/>
            <w:tcBorders>
              <w:top w:val="single" w:sz="4" w:space="0" w:color="auto"/>
              <w:bottom w:val="nil"/>
            </w:tcBorders>
          </w:tcPr>
          <w:p w14:paraId="4235400B" w14:textId="77777777" w:rsidR="00764841" w:rsidRPr="00FA67FF" w:rsidRDefault="00000000" w:rsidP="00764841">
            <w:pPr>
              <w:suppressAutoHyphens w:val="0"/>
              <w:ind w:leftChars="0" w:left="0" w:firstLineChars="0" w:firstLine="0"/>
              <w:jc w:val="center"/>
              <w:textDirection w:val="lrTb"/>
              <w:textAlignment w:val="auto"/>
              <w:outlineLvl w:val="9"/>
              <w:rPr>
                <w:rFonts w:ascii="Arial" w:hAnsi="Arial" w:cs="Arial"/>
                <w:b/>
                <w:position w:val="0"/>
                <w:sz w:val="20"/>
                <w:szCs w:val="20"/>
              </w:rPr>
            </w:pPr>
            <m:oMathPara>
              <m:oMath>
                <m:sSub>
                  <m:sSubPr>
                    <m:ctrlPr>
                      <w:rPr>
                        <w:rFonts w:ascii="Cambria Math" w:hAnsi="Cambria Math" w:cs="Arial"/>
                        <w:b/>
                        <w:i/>
                        <w:position w:val="0"/>
                        <w:sz w:val="20"/>
                        <w:szCs w:val="20"/>
                      </w:rPr>
                    </m:ctrlPr>
                  </m:sSubPr>
                  <m:e>
                    <m:r>
                      <m:rPr>
                        <m:sty m:val="bi"/>
                      </m:rPr>
                      <w:rPr>
                        <w:rFonts w:ascii="Cambria Math" w:hAnsi="Cambria Math" w:cs="Arial"/>
                        <w:position w:val="0"/>
                        <w:sz w:val="20"/>
                        <w:szCs w:val="20"/>
                      </w:rPr>
                      <m:t xml:space="preserve">q </m:t>
                    </m:r>
                  </m:e>
                  <m:sub>
                    <m:r>
                      <m:rPr>
                        <m:sty m:val="bi"/>
                      </m:rPr>
                      <w:rPr>
                        <w:rFonts w:ascii="Cambria Math" w:hAnsi="Cambria Math" w:cs="Arial"/>
                        <w:position w:val="0"/>
                        <w:sz w:val="20"/>
                        <w:szCs w:val="20"/>
                      </w:rPr>
                      <m:t>residual</m:t>
                    </m:r>
                  </m:sub>
                </m:sSub>
                <m:r>
                  <m:rPr>
                    <m:sty m:val="bi"/>
                  </m:rPr>
                  <w:rPr>
                    <w:rFonts w:ascii="Cambria Math" w:hAnsi="Cambria Math" w:cs="Arial"/>
                    <w:position w:val="0"/>
                    <w:sz w:val="20"/>
                    <w:szCs w:val="20"/>
                  </w:rPr>
                  <m:t>/p'₀</m:t>
                </m:r>
              </m:oMath>
            </m:oMathPara>
          </w:p>
          <w:p w14:paraId="0FE6AADC" w14:textId="77777777" w:rsidR="00764841" w:rsidRPr="00FA67FF" w:rsidRDefault="00764841" w:rsidP="00764841">
            <w:pPr>
              <w:suppressAutoHyphens w:val="0"/>
              <w:spacing w:after="100" w:afterAutospacing="1"/>
              <w:ind w:leftChars="0" w:left="0" w:firstLineChars="0" w:firstLine="0"/>
              <w:jc w:val="center"/>
              <w:textDirection w:val="lrTb"/>
              <w:textAlignment w:val="auto"/>
              <w:outlineLvl w:val="9"/>
              <w:rPr>
                <w:rFonts w:ascii="Arial" w:hAnsi="Arial" w:cs="Arial"/>
                <w:b/>
                <w:position w:val="0"/>
                <w:sz w:val="20"/>
                <w:szCs w:val="20"/>
              </w:rPr>
            </w:pPr>
          </w:p>
        </w:tc>
      </w:tr>
      <w:tr w:rsidR="00493503" w:rsidRPr="00FA67FF" w14:paraId="191CF2D3" w14:textId="77777777" w:rsidTr="001F40E5">
        <w:trPr>
          <w:jc w:val="center"/>
        </w:trPr>
        <w:tc>
          <w:tcPr>
            <w:tcW w:w="1023" w:type="pct"/>
            <w:tcBorders>
              <w:top w:val="single" w:sz="4" w:space="0" w:color="auto"/>
            </w:tcBorders>
          </w:tcPr>
          <w:p w14:paraId="5F485883" w14:textId="77777777" w:rsidR="00493503" w:rsidRPr="00D56EB9" w:rsidRDefault="00493503" w:rsidP="00493503">
            <w:pPr>
              <w:suppressAutoHyphens w:val="0"/>
              <w:spacing w:before="100" w:beforeAutospacing="1" w:after="100" w:afterAutospacing="1"/>
              <w:ind w:leftChars="0" w:left="0" w:firstLineChars="0" w:firstLine="0"/>
              <w:jc w:val="center"/>
              <w:textDirection w:val="lrTb"/>
              <w:textAlignment w:val="auto"/>
              <w:outlineLvl w:val="9"/>
              <w:rPr>
                <w:rFonts w:ascii="Arial" w:hAnsi="Arial" w:cs="Arial"/>
                <w:position w:val="0"/>
                <w:sz w:val="20"/>
                <w:szCs w:val="20"/>
              </w:rPr>
            </w:pPr>
            <w:r w:rsidRPr="00D56EB9">
              <w:rPr>
                <w:rFonts w:ascii="Arial" w:hAnsi="Arial" w:cs="Arial"/>
                <w:position w:val="0"/>
                <w:sz w:val="20"/>
                <w:szCs w:val="20"/>
              </w:rPr>
              <w:t>9</w:t>
            </w:r>
          </w:p>
        </w:tc>
        <w:tc>
          <w:tcPr>
            <w:tcW w:w="548" w:type="pct"/>
            <w:tcBorders>
              <w:top w:val="single" w:sz="4" w:space="0" w:color="auto"/>
            </w:tcBorders>
          </w:tcPr>
          <w:p w14:paraId="75787201" w14:textId="77777777" w:rsidR="00493503" w:rsidRPr="00D56EB9" w:rsidRDefault="00493503" w:rsidP="00493503">
            <w:pPr>
              <w:suppressAutoHyphens w:val="0"/>
              <w:ind w:leftChars="0" w:left="0" w:firstLineChars="0" w:firstLine="0"/>
              <w:jc w:val="center"/>
              <w:textDirection w:val="lrTb"/>
              <w:textAlignment w:val="auto"/>
              <w:outlineLvl w:val="9"/>
              <w:rPr>
                <w:rFonts w:ascii="Arial" w:hAnsi="Arial" w:cs="Arial"/>
                <w:position w:val="0"/>
                <w:sz w:val="20"/>
                <w:szCs w:val="20"/>
              </w:rPr>
            </w:pPr>
            <w:r w:rsidRPr="00D56EB9">
              <w:rPr>
                <w:rFonts w:ascii="Arial" w:hAnsi="Arial" w:cs="Arial"/>
                <w:position w:val="0"/>
                <w:sz w:val="20"/>
                <w:szCs w:val="20"/>
              </w:rPr>
              <w:t>1</w:t>
            </w:r>
            <w:r>
              <w:rPr>
                <w:rFonts w:ascii="Arial" w:hAnsi="Arial" w:cs="Arial"/>
                <w:position w:val="0"/>
                <w:sz w:val="20"/>
                <w:szCs w:val="20"/>
              </w:rPr>
              <w:t>00</w:t>
            </w:r>
          </w:p>
        </w:tc>
        <w:tc>
          <w:tcPr>
            <w:tcW w:w="722" w:type="pct"/>
            <w:tcBorders>
              <w:top w:val="single" w:sz="4" w:space="0" w:color="auto"/>
            </w:tcBorders>
          </w:tcPr>
          <w:p w14:paraId="28BA7717" w14:textId="77777777" w:rsidR="00493503" w:rsidRPr="003B6393" w:rsidRDefault="00493503" w:rsidP="00493503">
            <w:pPr>
              <w:ind w:left="0" w:hanging="2"/>
              <w:jc w:val="center"/>
              <w:rPr>
                <w:rFonts w:ascii="Arial" w:hAnsi="Arial" w:cs="Arial"/>
                <w:sz w:val="20"/>
                <w:szCs w:val="20"/>
              </w:rPr>
            </w:pPr>
            <w:r w:rsidRPr="003B6393">
              <w:rPr>
                <w:rFonts w:ascii="Arial" w:hAnsi="Arial" w:cs="Arial"/>
                <w:sz w:val="20"/>
                <w:szCs w:val="20"/>
              </w:rPr>
              <w:t>106.13</w:t>
            </w:r>
          </w:p>
        </w:tc>
        <w:tc>
          <w:tcPr>
            <w:tcW w:w="636" w:type="pct"/>
            <w:tcBorders>
              <w:top w:val="single" w:sz="4" w:space="0" w:color="auto"/>
            </w:tcBorders>
          </w:tcPr>
          <w:p w14:paraId="14778865" w14:textId="77777777" w:rsidR="00493503" w:rsidRPr="006A3B72" w:rsidRDefault="00493503" w:rsidP="00493503">
            <w:pPr>
              <w:ind w:left="0" w:hanging="2"/>
              <w:jc w:val="center"/>
              <w:rPr>
                <w:rFonts w:ascii="Arial" w:hAnsi="Arial" w:cs="Arial"/>
                <w:sz w:val="20"/>
                <w:szCs w:val="20"/>
              </w:rPr>
            </w:pPr>
            <w:r w:rsidRPr="006A3B72">
              <w:rPr>
                <w:rFonts w:ascii="Arial" w:hAnsi="Arial" w:cs="Arial"/>
                <w:sz w:val="20"/>
                <w:szCs w:val="20"/>
              </w:rPr>
              <w:t>62.10</w:t>
            </w:r>
          </w:p>
        </w:tc>
        <w:tc>
          <w:tcPr>
            <w:tcW w:w="1036" w:type="pct"/>
            <w:tcBorders>
              <w:top w:val="single" w:sz="4" w:space="0" w:color="auto"/>
            </w:tcBorders>
          </w:tcPr>
          <w:p w14:paraId="48B858C4" w14:textId="77777777" w:rsidR="00493503" w:rsidRPr="00493503" w:rsidRDefault="00493503" w:rsidP="00493503">
            <w:pPr>
              <w:ind w:left="0" w:hanging="2"/>
              <w:jc w:val="center"/>
              <w:rPr>
                <w:rFonts w:ascii="Arial" w:hAnsi="Arial" w:cs="Arial"/>
                <w:sz w:val="20"/>
                <w:szCs w:val="20"/>
              </w:rPr>
            </w:pPr>
            <w:r w:rsidRPr="00493503">
              <w:rPr>
                <w:rFonts w:ascii="Arial" w:hAnsi="Arial" w:cs="Arial"/>
                <w:sz w:val="20"/>
                <w:szCs w:val="20"/>
              </w:rPr>
              <w:t>89.47</w:t>
            </w:r>
          </w:p>
        </w:tc>
        <w:tc>
          <w:tcPr>
            <w:tcW w:w="1035" w:type="pct"/>
            <w:tcBorders>
              <w:top w:val="single" w:sz="4" w:space="0" w:color="auto"/>
            </w:tcBorders>
          </w:tcPr>
          <w:p w14:paraId="63323B61" w14:textId="77777777" w:rsidR="00493503" w:rsidRPr="00DF217F" w:rsidRDefault="00493503" w:rsidP="00493503">
            <w:pPr>
              <w:ind w:left="0" w:hanging="2"/>
              <w:jc w:val="center"/>
              <w:rPr>
                <w:rFonts w:ascii="Arial" w:hAnsi="Arial" w:cs="Arial"/>
                <w:sz w:val="20"/>
                <w:szCs w:val="20"/>
              </w:rPr>
            </w:pPr>
            <w:r w:rsidRPr="00DF217F">
              <w:rPr>
                <w:rFonts w:ascii="Arial" w:hAnsi="Arial" w:cs="Arial"/>
                <w:sz w:val="20"/>
                <w:szCs w:val="20"/>
              </w:rPr>
              <w:t>0.89</w:t>
            </w:r>
          </w:p>
        </w:tc>
      </w:tr>
      <w:tr w:rsidR="00493503" w:rsidRPr="00FA67FF" w14:paraId="2DE3C472" w14:textId="77777777" w:rsidTr="001F40E5">
        <w:trPr>
          <w:jc w:val="center"/>
        </w:trPr>
        <w:tc>
          <w:tcPr>
            <w:tcW w:w="1023" w:type="pct"/>
          </w:tcPr>
          <w:p w14:paraId="069C426D" w14:textId="77777777" w:rsidR="00493503" w:rsidRPr="00D56EB9" w:rsidRDefault="00493503" w:rsidP="00493503">
            <w:pPr>
              <w:suppressAutoHyphens w:val="0"/>
              <w:spacing w:before="100" w:beforeAutospacing="1" w:after="100" w:afterAutospacing="1"/>
              <w:ind w:leftChars="0" w:left="0" w:firstLineChars="0" w:firstLine="0"/>
              <w:jc w:val="center"/>
              <w:textDirection w:val="lrTb"/>
              <w:textAlignment w:val="auto"/>
              <w:outlineLvl w:val="9"/>
              <w:rPr>
                <w:rFonts w:ascii="Arial" w:hAnsi="Arial" w:cs="Arial"/>
                <w:position w:val="0"/>
                <w:sz w:val="20"/>
                <w:szCs w:val="20"/>
              </w:rPr>
            </w:pPr>
            <w:r w:rsidRPr="00D56EB9">
              <w:rPr>
                <w:rFonts w:ascii="Arial" w:hAnsi="Arial" w:cs="Arial"/>
                <w:position w:val="0"/>
                <w:sz w:val="20"/>
                <w:szCs w:val="20"/>
              </w:rPr>
              <w:t>9</w:t>
            </w:r>
          </w:p>
        </w:tc>
        <w:tc>
          <w:tcPr>
            <w:tcW w:w="548" w:type="pct"/>
          </w:tcPr>
          <w:p w14:paraId="33AD04CC" w14:textId="77777777" w:rsidR="00493503" w:rsidRPr="00D56EB9" w:rsidRDefault="00493503" w:rsidP="00493503">
            <w:pPr>
              <w:suppressAutoHyphens w:val="0"/>
              <w:ind w:leftChars="0" w:left="0" w:firstLineChars="0" w:firstLine="0"/>
              <w:jc w:val="center"/>
              <w:textDirection w:val="lrTb"/>
              <w:textAlignment w:val="auto"/>
              <w:outlineLvl w:val="9"/>
              <w:rPr>
                <w:rFonts w:ascii="Arial" w:hAnsi="Arial" w:cs="Arial"/>
                <w:position w:val="0"/>
                <w:sz w:val="20"/>
                <w:szCs w:val="20"/>
              </w:rPr>
            </w:pPr>
            <w:r>
              <w:rPr>
                <w:rFonts w:ascii="Arial" w:hAnsi="Arial" w:cs="Arial"/>
                <w:position w:val="0"/>
                <w:sz w:val="20"/>
                <w:szCs w:val="20"/>
              </w:rPr>
              <w:t>150</w:t>
            </w:r>
          </w:p>
        </w:tc>
        <w:tc>
          <w:tcPr>
            <w:tcW w:w="722" w:type="pct"/>
          </w:tcPr>
          <w:p w14:paraId="0F9DDE9A" w14:textId="77777777" w:rsidR="00493503" w:rsidRPr="003B6393" w:rsidRDefault="00493503" w:rsidP="00493503">
            <w:pPr>
              <w:ind w:left="0" w:hanging="2"/>
              <w:jc w:val="center"/>
              <w:rPr>
                <w:rFonts w:ascii="Arial" w:hAnsi="Arial" w:cs="Arial"/>
                <w:sz w:val="20"/>
                <w:szCs w:val="20"/>
              </w:rPr>
            </w:pPr>
            <w:r w:rsidRPr="003B6393">
              <w:rPr>
                <w:rFonts w:ascii="Arial" w:hAnsi="Arial" w:cs="Arial"/>
                <w:sz w:val="20"/>
                <w:szCs w:val="20"/>
              </w:rPr>
              <w:t>134.36</w:t>
            </w:r>
          </w:p>
        </w:tc>
        <w:tc>
          <w:tcPr>
            <w:tcW w:w="636" w:type="pct"/>
          </w:tcPr>
          <w:p w14:paraId="36718147" w14:textId="77777777" w:rsidR="00493503" w:rsidRPr="006A3B72" w:rsidRDefault="00493503" w:rsidP="00493503">
            <w:pPr>
              <w:ind w:left="0" w:hanging="2"/>
              <w:jc w:val="center"/>
              <w:rPr>
                <w:rFonts w:ascii="Arial" w:hAnsi="Arial" w:cs="Arial"/>
                <w:sz w:val="20"/>
                <w:szCs w:val="20"/>
              </w:rPr>
            </w:pPr>
            <w:r w:rsidRPr="006A3B72">
              <w:rPr>
                <w:rFonts w:ascii="Arial" w:hAnsi="Arial" w:cs="Arial"/>
                <w:sz w:val="20"/>
                <w:szCs w:val="20"/>
              </w:rPr>
              <w:t>95.40</w:t>
            </w:r>
          </w:p>
        </w:tc>
        <w:tc>
          <w:tcPr>
            <w:tcW w:w="1036" w:type="pct"/>
          </w:tcPr>
          <w:p w14:paraId="3B7957A3" w14:textId="77777777" w:rsidR="00493503" w:rsidRPr="00493503" w:rsidRDefault="00493503" w:rsidP="00493503">
            <w:pPr>
              <w:ind w:left="0" w:hanging="2"/>
              <w:jc w:val="center"/>
              <w:rPr>
                <w:rFonts w:ascii="Arial" w:hAnsi="Arial" w:cs="Arial"/>
                <w:sz w:val="20"/>
                <w:szCs w:val="20"/>
              </w:rPr>
            </w:pPr>
            <w:r w:rsidRPr="00493503">
              <w:rPr>
                <w:rFonts w:ascii="Arial" w:hAnsi="Arial" w:cs="Arial"/>
                <w:sz w:val="20"/>
                <w:szCs w:val="20"/>
              </w:rPr>
              <w:t>126.91</w:t>
            </w:r>
          </w:p>
        </w:tc>
        <w:tc>
          <w:tcPr>
            <w:tcW w:w="1035" w:type="pct"/>
          </w:tcPr>
          <w:p w14:paraId="3923CFB2" w14:textId="77777777" w:rsidR="00493503" w:rsidRPr="00DF217F" w:rsidRDefault="00493503" w:rsidP="00493503">
            <w:pPr>
              <w:ind w:left="0" w:hanging="2"/>
              <w:jc w:val="center"/>
              <w:rPr>
                <w:rFonts w:ascii="Arial" w:hAnsi="Arial" w:cs="Arial"/>
                <w:sz w:val="20"/>
                <w:szCs w:val="20"/>
              </w:rPr>
            </w:pPr>
            <w:r w:rsidRPr="00DF217F">
              <w:rPr>
                <w:rFonts w:ascii="Arial" w:hAnsi="Arial" w:cs="Arial"/>
                <w:sz w:val="20"/>
                <w:szCs w:val="20"/>
              </w:rPr>
              <w:t>0.85</w:t>
            </w:r>
          </w:p>
        </w:tc>
      </w:tr>
      <w:tr w:rsidR="00493503" w:rsidRPr="00FA67FF" w14:paraId="0A943CA8" w14:textId="77777777" w:rsidTr="001F40E5">
        <w:trPr>
          <w:jc w:val="center"/>
        </w:trPr>
        <w:tc>
          <w:tcPr>
            <w:tcW w:w="1023" w:type="pct"/>
          </w:tcPr>
          <w:p w14:paraId="15F408A8" w14:textId="77777777" w:rsidR="00493503" w:rsidRPr="00D56EB9" w:rsidRDefault="00493503" w:rsidP="00493503">
            <w:pPr>
              <w:suppressAutoHyphens w:val="0"/>
              <w:spacing w:before="100" w:beforeAutospacing="1" w:after="100" w:afterAutospacing="1"/>
              <w:ind w:leftChars="0" w:left="0" w:firstLineChars="0" w:firstLine="0"/>
              <w:jc w:val="center"/>
              <w:textDirection w:val="lrTb"/>
              <w:textAlignment w:val="auto"/>
              <w:outlineLvl w:val="9"/>
              <w:rPr>
                <w:rFonts w:ascii="Arial" w:hAnsi="Arial" w:cs="Arial"/>
                <w:position w:val="0"/>
                <w:sz w:val="20"/>
                <w:szCs w:val="20"/>
              </w:rPr>
            </w:pPr>
            <w:r w:rsidRPr="00D56EB9">
              <w:rPr>
                <w:rFonts w:ascii="Arial" w:hAnsi="Arial" w:cs="Arial"/>
                <w:position w:val="0"/>
                <w:sz w:val="20"/>
                <w:szCs w:val="20"/>
              </w:rPr>
              <w:t>9</w:t>
            </w:r>
          </w:p>
        </w:tc>
        <w:tc>
          <w:tcPr>
            <w:tcW w:w="548" w:type="pct"/>
          </w:tcPr>
          <w:p w14:paraId="4DFCD432" w14:textId="77777777" w:rsidR="00493503" w:rsidRPr="00D56EB9" w:rsidRDefault="00493503" w:rsidP="00493503">
            <w:pPr>
              <w:suppressAutoHyphens w:val="0"/>
              <w:ind w:leftChars="0" w:left="0" w:firstLineChars="0" w:firstLine="0"/>
              <w:jc w:val="center"/>
              <w:textDirection w:val="lrTb"/>
              <w:textAlignment w:val="auto"/>
              <w:outlineLvl w:val="9"/>
              <w:rPr>
                <w:rFonts w:ascii="Arial" w:hAnsi="Arial" w:cs="Arial"/>
                <w:position w:val="0"/>
                <w:sz w:val="20"/>
                <w:szCs w:val="20"/>
              </w:rPr>
            </w:pPr>
            <w:r w:rsidRPr="00D56EB9">
              <w:rPr>
                <w:rFonts w:ascii="Arial" w:hAnsi="Arial" w:cs="Arial"/>
                <w:position w:val="0"/>
                <w:sz w:val="20"/>
                <w:szCs w:val="20"/>
              </w:rPr>
              <w:t>2</w:t>
            </w:r>
            <w:r>
              <w:rPr>
                <w:rFonts w:ascii="Arial" w:hAnsi="Arial" w:cs="Arial"/>
                <w:position w:val="0"/>
                <w:sz w:val="20"/>
                <w:szCs w:val="20"/>
              </w:rPr>
              <w:t>00</w:t>
            </w:r>
          </w:p>
        </w:tc>
        <w:tc>
          <w:tcPr>
            <w:tcW w:w="722" w:type="pct"/>
          </w:tcPr>
          <w:p w14:paraId="776560B8" w14:textId="77777777" w:rsidR="00493503" w:rsidRPr="003B6393" w:rsidRDefault="00493503" w:rsidP="00493503">
            <w:pPr>
              <w:ind w:left="0" w:hanging="2"/>
              <w:jc w:val="center"/>
              <w:rPr>
                <w:rFonts w:ascii="Arial" w:hAnsi="Arial" w:cs="Arial"/>
                <w:sz w:val="20"/>
                <w:szCs w:val="20"/>
              </w:rPr>
            </w:pPr>
            <w:r w:rsidRPr="003B6393">
              <w:rPr>
                <w:rFonts w:ascii="Arial" w:hAnsi="Arial" w:cs="Arial"/>
                <w:sz w:val="20"/>
                <w:szCs w:val="20"/>
              </w:rPr>
              <w:t>186.62</w:t>
            </w:r>
          </w:p>
        </w:tc>
        <w:tc>
          <w:tcPr>
            <w:tcW w:w="636" w:type="pct"/>
          </w:tcPr>
          <w:p w14:paraId="073C7BE4" w14:textId="77777777" w:rsidR="00493503" w:rsidRPr="006A3B72" w:rsidRDefault="00493503" w:rsidP="00493503">
            <w:pPr>
              <w:ind w:left="0" w:hanging="2"/>
              <w:jc w:val="center"/>
              <w:rPr>
                <w:rFonts w:ascii="Arial" w:hAnsi="Arial" w:cs="Arial"/>
                <w:sz w:val="20"/>
                <w:szCs w:val="20"/>
              </w:rPr>
            </w:pPr>
            <w:r w:rsidRPr="006A3B72">
              <w:rPr>
                <w:rFonts w:ascii="Arial" w:hAnsi="Arial" w:cs="Arial"/>
                <w:sz w:val="20"/>
                <w:szCs w:val="20"/>
              </w:rPr>
              <w:t>123.20</w:t>
            </w:r>
          </w:p>
        </w:tc>
        <w:tc>
          <w:tcPr>
            <w:tcW w:w="1036" w:type="pct"/>
          </w:tcPr>
          <w:p w14:paraId="366995D9" w14:textId="77777777" w:rsidR="00493503" w:rsidRPr="00493503" w:rsidRDefault="00493503" w:rsidP="00493503">
            <w:pPr>
              <w:ind w:left="0" w:hanging="2"/>
              <w:jc w:val="center"/>
              <w:rPr>
                <w:rFonts w:ascii="Arial" w:hAnsi="Arial" w:cs="Arial"/>
                <w:sz w:val="20"/>
                <w:szCs w:val="20"/>
              </w:rPr>
            </w:pPr>
            <w:r w:rsidRPr="00493503">
              <w:rPr>
                <w:rFonts w:ascii="Arial" w:hAnsi="Arial" w:cs="Arial"/>
                <w:sz w:val="20"/>
                <w:szCs w:val="20"/>
              </w:rPr>
              <w:t>177.73</w:t>
            </w:r>
          </w:p>
        </w:tc>
        <w:tc>
          <w:tcPr>
            <w:tcW w:w="1035" w:type="pct"/>
          </w:tcPr>
          <w:p w14:paraId="0BA66C45" w14:textId="77777777" w:rsidR="00493503" w:rsidRPr="00DF217F" w:rsidRDefault="00493503" w:rsidP="00493503">
            <w:pPr>
              <w:ind w:left="0" w:hanging="2"/>
              <w:jc w:val="center"/>
              <w:rPr>
                <w:rFonts w:ascii="Arial" w:hAnsi="Arial" w:cs="Arial"/>
                <w:sz w:val="20"/>
                <w:szCs w:val="20"/>
              </w:rPr>
            </w:pPr>
            <w:r w:rsidRPr="00DF217F">
              <w:rPr>
                <w:rFonts w:ascii="Arial" w:hAnsi="Arial" w:cs="Arial"/>
                <w:sz w:val="20"/>
                <w:szCs w:val="20"/>
              </w:rPr>
              <w:t>0.89</w:t>
            </w:r>
          </w:p>
        </w:tc>
      </w:tr>
      <w:tr w:rsidR="000B60D2" w:rsidRPr="00FA67FF" w14:paraId="54EA8954" w14:textId="77777777" w:rsidTr="001F40E5">
        <w:trPr>
          <w:jc w:val="center"/>
        </w:trPr>
        <w:tc>
          <w:tcPr>
            <w:tcW w:w="1023" w:type="pct"/>
          </w:tcPr>
          <w:p w14:paraId="73E7A53C" w14:textId="77777777" w:rsidR="000B60D2" w:rsidRPr="00D56EB9" w:rsidRDefault="000B60D2" w:rsidP="000B60D2">
            <w:pPr>
              <w:suppressAutoHyphens w:val="0"/>
              <w:spacing w:before="100" w:beforeAutospacing="1" w:after="100" w:afterAutospacing="1"/>
              <w:ind w:leftChars="0" w:left="0" w:firstLineChars="0" w:firstLine="0"/>
              <w:jc w:val="center"/>
              <w:textDirection w:val="lrTb"/>
              <w:textAlignment w:val="auto"/>
              <w:outlineLvl w:val="9"/>
              <w:rPr>
                <w:rFonts w:ascii="Arial" w:hAnsi="Arial" w:cs="Arial"/>
                <w:position w:val="0"/>
                <w:sz w:val="20"/>
                <w:szCs w:val="20"/>
              </w:rPr>
            </w:pPr>
            <w:r w:rsidRPr="00D56EB9">
              <w:rPr>
                <w:rFonts w:ascii="Arial" w:hAnsi="Arial" w:cs="Arial"/>
                <w:position w:val="0"/>
                <w:sz w:val="20"/>
                <w:szCs w:val="20"/>
              </w:rPr>
              <w:t>26.4</w:t>
            </w:r>
          </w:p>
        </w:tc>
        <w:tc>
          <w:tcPr>
            <w:tcW w:w="548" w:type="pct"/>
          </w:tcPr>
          <w:p w14:paraId="18BAF572" w14:textId="77777777" w:rsidR="000B60D2" w:rsidRPr="00D56EB9" w:rsidRDefault="000B60D2" w:rsidP="000B60D2">
            <w:pPr>
              <w:suppressAutoHyphens w:val="0"/>
              <w:ind w:leftChars="0" w:left="0" w:firstLineChars="0" w:firstLine="0"/>
              <w:jc w:val="center"/>
              <w:textDirection w:val="lrTb"/>
              <w:textAlignment w:val="auto"/>
              <w:outlineLvl w:val="9"/>
              <w:rPr>
                <w:rFonts w:ascii="Arial" w:hAnsi="Arial" w:cs="Arial"/>
                <w:position w:val="0"/>
                <w:sz w:val="20"/>
                <w:szCs w:val="20"/>
              </w:rPr>
            </w:pPr>
            <w:r w:rsidRPr="00D56EB9">
              <w:rPr>
                <w:rFonts w:ascii="Arial" w:hAnsi="Arial" w:cs="Arial"/>
                <w:position w:val="0"/>
                <w:sz w:val="20"/>
                <w:szCs w:val="20"/>
              </w:rPr>
              <w:t>1</w:t>
            </w:r>
            <w:r>
              <w:rPr>
                <w:rFonts w:ascii="Arial" w:hAnsi="Arial" w:cs="Arial"/>
                <w:position w:val="0"/>
                <w:sz w:val="20"/>
                <w:szCs w:val="20"/>
              </w:rPr>
              <w:t>00</w:t>
            </w:r>
          </w:p>
        </w:tc>
        <w:tc>
          <w:tcPr>
            <w:tcW w:w="722" w:type="pct"/>
          </w:tcPr>
          <w:p w14:paraId="5766D9A0" w14:textId="77777777" w:rsidR="000B60D2" w:rsidRPr="003B6393" w:rsidRDefault="000B60D2" w:rsidP="000B60D2">
            <w:pPr>
              <w:ind w:left="0" w:hanging="2"/>
              <w:jc w:val="center"/>
              <w:rPr>
                <w:rFonts w:ascii="Arial" w:hAnsi="Arial" w:cs="Arial"/>
                <w:sz w:val="20"/>
                <w:szCs w:val="20"/>
              </w:rPr>
            </w:pPr>
            <w:r w:rsidRPr="003B6393">
              <w:rPr>
                <w:rFonts w:ascii="Arial" w:hAnsi="Arial" w:cs="Arial"/>
                <w:sz w:val="20"/>
                <w:szCs w:val="20"/>
              </w:rPr>
              <w:t>104.75</w:t>
            </w:r>
          </w:p>
        </w:tc>
        <w:tc>
          <w:tcPr>
            <w:tcW w:w="636" w:type="pct"/>
          </w:tcPr>
          <w:p w14:paraId="1FB7A658" w14:textId="77777777" w:rsidR="000B60D2" w:rsidRPr="006A3B72" w:rsidRDefault="000B60D2" w:rsidP="000B60D2">
            <w:pPr>
              <w:ind w:left="0" w:hanging="2"/>
              <w:jc w:val="center"/>
              <w:rPr>
                <w:rFonts w:ascii="Arial" w:hAnsi="Arial" w:cs="Arial"/>
                <w:sz w:val="20"/>
                <w:szCs w:val="20"/>
              </w:rPr>
            </w:pPr>
            <w:r w:rsidRPr="006A3B72">
              <w:rPr>
                <w:rFonts w:ascii="Arial" w:hAnsi="Arial" w:cs="Arial"/>
                <w:sz w:val="20"/>
                <w:szCs w:val="20"/>
              </w:rPr>
              <w:t>62.35</w:t>
            </w:r>
          </w:p>
        </w:tc>
        <w:tc>
          <w:tcPr>
            <w:tcW w:w="1036" w:type="pct"/>
          </w:tcPr>
          <w:p w14:paraId="637541ED" w14:textId="77777777" w:rsidR="000B60D2" w:rsidRPr="003B6393" w:rsidRDefault="000B60D2" w:rsidP="000B60D2">
            <w:pPr>
              <w:ind w:left="0" w:hanging="2"/>
              <w:jc w:val="center"/>
              <w:rPr>
                <w:rFonts w:ascii="Arial" w:hAnsi="Arial" w:cs="Arial"/>
                <w:sz w:val="20"/>
                <w:szCs w:val="20"/>
              </w:rPr>
            </w:pPr>
            <w:r w:rsidRPr="003B6393">
              <w:rPr>
                <w:rFonts w:ascii="Arial" w:hAnsi="Arial" w:cs="Arial"/>
                <w:sz w:val="20"/>
                <w:szCs w:val="20"/>
              </w:rPr>
              <w:t>93.54</w:t>
            </w:r>
          </w:p>
        </w:tc>
        <w:tc>
          <w:tcPr>
            <w:tcW w:w="1035" w:type="pct"/>
          </w:tcPr>
          <w:p w14:paraId="246F17A3" w14:textId="77777777" w:rsidR="000B60D2" w:rsidRPr="000B60D2" w:rsidRDefault="000B60D2" w:rsidP="000B60D2">
            <w:pPr>
              <w:ind w:left="0" w:hanging="2"/>
              <w:jc w:val="center"/>
              <w:rPr>
                <w:rFonts w:ascii="Arial" w:hAnsi="Arial" w:cs="Arial"/>
                <w:sz w:val="20"/>
                <w:szCs w:val="20"/>
              </w:rPr>
            </w:pPr>
            <w:r w:rsidRPr="000B60D2">
              <w:rPr>
                <w:rFonts w:ascii="Arial" w:hAnsi="Arial" w:cs="Arial"/>
                <w:sz w:val="20"/>
                <w:szCs w:val="20"/>
              </w:rPr>
              <w:t>0.94</w:t>
            </w:r>
          </w:p>
        </w:tc>
      </w:tr>
      <w:tr w:rsidR="000B60D2" w:rsidRPr="00FA67FF" w14:paraId="3BFCE1EE" w14:textId="77777777" w:rsidTr="001F40E5">
        <w:trPr>
          <w:jc w:val="center"/>
        </w:trPr>
        <w:tc>
          <w:tcPr>
            <w:tcW w:w="1023" w:type="pct"/>
          </w:tcPr>
          <w:p w14:paraId="44A32F6F" w14:textId="77777777" w:rsidR="000B60D2" w:rsidRPr="00D56EB9" w:rsidRDefault="000B60D2" w:rsidP="000B60D2">
            <w:pPr>
              <w:suppressAutoHyphens w:val="0"/>
              <w:ind w:leftChars="0" w:left="0" w:firstLineChars="0" w:firstLine="0"/>
              <w:jc w:val="center"/>
              <w:textDirection w:val="lrTb"/>
              <w:textAlignment w:val="auto"/>
              <w:outlineLvl w:val="9"/>
              <w:rPr>
                <w:rFonts w:ascii="Arial" w:hAnsi="Arial" w:cs="Arial"/>
                <w:position w:val="0"/>
                <w:sz w:val="20"/>
                <w:szCs w:val="20"/>
              </w:rPr>
            </w:pPr>
            <w:r w:rsidRPr="00D56EB9">
              <w:rPr>
                <w:rFonts w:ascii="Arial" w:hAnsi="Arial" w:cs="Arial"/>
                <w:position w:val="0"/>
                <w:sz w:val="20"/>
                <w:szCs w:val="20"/>
              </w:rPr>
              <w:t>26.4</w:t>
            </w:r>
          </w:p>
        </w:tc>
        <w:tc>
          <w:tcPr>
            <w:tcW w:w="548" w:type="pct"/>
          </w:tcPr>
          <w:p w14:paraId="435F9FF3" w14:textId="77777777" w:rsidR="000B60D2" w:rsidRPr="00D56EB9" w:rsidRDefault="000B60D2" w:rsidP="000B60D2">
            <w:pPr>
              <w:suppressAutoHyphens w:val="0"/>
              <w:ind w:leftChars="0" w:left="0" w:firstLineChars="0" w:firstLine="0"/>
              <w:jc w:val="center"/>
              <w:textDirection w:val="lrTb"/>
              <w:textAlignment w:val="auto"/>
              <w:outlineLvl w:val="9"/>
              <w:rPr>
                <w:rFonts w:ascii="Arial" w:hAnsi="Arial" w:cs="Arial"/>
                <w:position w:val="0"/>
                <w:sz w:val="20"/>
                <w:szCs w:val="20"/>
              </w:rPr>
            </w:pPr>
            <w:r>
              <w:rPr>
                <w:rFonts w:ascii="Arial" w:hAnsi="Arial" w:cs="Arial"/>
                <w:position w:val="0"/>
                <w:sz w:val="20"/>
                <w:szCs w:val="20"/>
              </w:rPr>
              <w:t>150</w:t>
            </w:r>
          </w:p>
        </w:tc>
        <w:tc>
          <w:tcPr>
            <w:tcW w:w="722" w:type="pct"/>
          </w:tcPr>
          <w:p w14:paraId="4687F2F6" w14:textId="77777777" w:rsidR="000B60D2" w:rsidRPr="003B6393" w:rsidRDefault="000B60D2" w:rsidP="000B60D2">
            <w:pPr>
              <w:ind w:left="0" w:hanging="2"/>
              <w:jc w:val="center"/>
              <w:rPr>
                <w:rFonts w:ascii="Arial" w:hAnsi="Arial" w:cs="Arial"/>
                <w:sz w:val="20"/>
                <w:szCs w:val="20"/>
              </w:rPr>
            </w:pPr>
            <w:r w:rsidRPr="003B6393">
              <w:rPr>
                <w:rFonts w:ascii="Arial" w:hAnsi="Arial" w:cs="Arial"/>
                <w:sz w:val="20"/>
                <w:szCs w:val="20"/>
              </w:rPr>
              <w:t>130.21</w:t>
            </w:r>
          </w:p>
        </w:tc>
        <w:tc>
          <w:tcPr>
            <w:tcW w:w="636" w:type="pct"/>
          </w:tcPr>
          <w:p w14:paraId="68809E5B" w14:textId="77777777" w:rsidR="000B60D2" w:rsidRPr="006A3B72" w:rsidRDefault="000B60D2" w:rsidP="000B60D2">
            <w:pPr>
              <w:ind w:left="0" w:hanging="2"/>
              <w:jc w:val="center"/>
              <w:rPr>
                <w:rFonts w:ascii="Arial" w:hAnsi="Arial" w:cs="Arial"/>
                <w:sz w:val="20"/>
                <w:szCs w:val="20"/>
              </w:rPr>
            </w:pPr>
            <w:r w:rsidRPr="006A3B72">
              <w:rPr>
                <w:rFonts w:ascii="Arial" w:hAnsi="Arial" w:cs="Arial"/>
                <w:sz w:val="20"/>
                <w:szCs w:val="20"/>
              </w:rPr>
              <w:t>102.00</w:t>
            </w:r>
          </w:p>
        </w:tc>
        <w:tc>
          <w:tcPr>
            <w:tcW w:w="1036" w:type="pct"/>
          </w:tcPr>
          <w:p w14:paraId="294804D8" w14:textId="77777777" w:rsidR="000B60D2" w:rsidRPr="003B6393" w:rsidRDefault="000B60D2" w:rsidP="000B60D2">
            <w:pPr>
              <w:ind w:left="0" w:hanging="2"/>
              <w:jc w:val="center"/>
              <w:rPr>
                <w:rFonts w:ascii="Arial" w:hAnsi="Arial" w:cs="Arial"/>
                <w:sz w:val="20"/>
                <w:szCs w:val="20"/>
              </w:rPr>
            </w:pPr>
            <w:r w:rsidRPr="003B6393">
              <w:rPr>
                <w:rFonts w:ascii="Arial" w:hAnsi="Arial" w:cs="Arial"/>
                <w:sz w:val="20"/>
                <w:szCs w:val="20"/>
              </w:rPr>
              <w:t>118.30</w:t>
            </w:r>
          </w:p>
        </w:tc>
        <w:tc>
          <w:tcPr>
            <w:tcW w:w="1035" w:type="pct"/>
          </w:tcPr>
          <w:p w14:paraId="4AEE88A4" w14:textId="77777777" w:rsidR="000B60D2" w:rsidRPr="000B60D2" w:rsidRDefault="000B60D2" w:rsidP="000B60D2">
            <w:pPr>
              <w:ind w:left="0" w:hanging="2"/>
              <w:jc w:val="center"/>
              <w:rPr>
                <w:rFonts w:ascii="Arial" w:hAnsi="Arial" w:cs="Arial"/>
                <w:sz w:val="20"/>
                <w:szCs w:val="20"/>
              </w:rPr>
            </w:pPr>
            <w:r w:rsidRPr="000B60D2">
              <w:rPr>
                <w:rFonts w:ascii="Arial" w:hAnsi="Arial" w:cs="Arial"/>
                <w:sz w:val="20"/>
                <w:szCs w:val="20"/>
              </w:rPr>
              <w:t>0.79</w:t>
            </w:r>
          </w:p>
        </w:tc>
      </w:tr>
      <w:tr w:rsidR="000B60D2" w:rsidRPr="00FA67FF" w14:paraId="1B438258" w14:textId="77777777" w:rsidTr="001F40E5">
        <w:trPr>
          <w:jc w:val="center"/>
        </w:trPr>
        <w:tc>
          <w:tcPr>
            <w:tcW w:w="1023" w:type="pct"/>
          </w:tcPr>
          <w:p w14:paraId="6F7445F1" w14:textId="77777777" w:rsidR="000B60D2" w:rsidRPr="00D56EB9" w:rsidRDefault="000B60D2" w:rsidP="000B60D2">
            <w:pPr>
              <w:suppressAutoHyphens w:val="0"/>
              <w:ind w:leftChars="0" w:left="0" w:firstLineChars="0" w:firstLine="0"/>
              <w:jc w:val="center"/>
              <w:textDirection w:val="lrTb"/>
              <w:textAlignment w:val="auto"/>
              <w:outlineLvl w:val="9"/>
              <w:rPr>
                <w:rFonts w:ascii="Arial" w:hAnsi="Arial" w:cs="Arial"/>
                <w:position w:val="0"/>
                <w:sz w:val="20"/>
                <w:szCs w:val="20"/>
              </w:rPr>
            </w:pPr>
            <w:r w:rsidRPr="00D56EB9">
              <w:rPr>
                <w:rFonts w:ascii="Arial" w:hAnsi="Arial" w:cs="Arial"/>
                <w:position w:val="0"/>
                <w:sz w:val="20"/>
                <w:szCs w:val="20"/>
              </w:rPr>
              <w:t>26.4</w:t>
            </w:r>
          </w:p>
        </w:tc>
        <w:tc>
          <w:tcPr>
            <w:tcW w:w="548" w:type="pct"/>
          </w:tcPr>
          <w:p w14:paraId="5AAC30A0" w14:textId="77777777" w:rsidR="000B60D2" w:rsidRPr="00D56EB9" w:rsidRDefault="000B60D2" w:rsidP="000B60D2">
            <w:pPr>
              <w:suppressAutoHyphens w:val="0"/>
              <w:ind w:leftChars="0" w:left="0" w:firstLineChars="0" w:firstLine="0"/>
              <w:jc w:val="center"/>
              <w:textDirection w:val="lrTb"/>
              <w:textAlignment w:val="auto"/>
              <w:outlineLvl w:val="9"/>
              <w:rPr>
                <w:rFonts w:ascii="Arial" w:hAnsi="Arial" w:cs="Arial"/>
                <w:position w:val="0"/>
                <w:sz w:val="20"/>
                <w:szCs w:val="20"/>
              </w:rPr>
            </w:pPr>
            <w:r w:rsidRPr="00D56EB9">
              <w:rPr>
                <w:rFonts w:ascii="Arial" w:hAnsi="Arial" w:cs="Arial"/>
                <w:position w:val="0"/>
                <w:sz w:val="20"/>
                <w:szCs w:val="20"/>
              </w:rPr>
              <w:t>2</w:t>
            </w:r>
            <w:r>
              <w:rPr>
                <w:rFonts w:ascii="Arial" w:hAnsi="Arial" w:cs="Arial"/>
                <w:position w:val="0"/>
                <w:sz w:val="20"/>
                <w:szCs w:val="20"/>
              </w:rPr>
              <w:t>00</w:t>
            </w:r>
          </w:p>
        </w:tc>
        <w:tc>
          <w:tcPr>
            <w:tcW w:w="722" w:type="pct"/>
          </w:tcPr>
          <w:p w14:paraId="1AD2508E" w14:textId="77777777" w:rsidR="000B60D2" w:rsidRPr="003B6393" w:rsidRDefault="000B60D2" w:rsidP="000B60D2">
            <w:pPr>
              <w:ind w:left="0" w:hanging="2"/>
              <w:jc w:val="center"/>
              <w:rPr>
                <w:rFonts w:ascii="Arial" w:hAnsi="Arial" w:cs="Arial"/>
                <w:sz w:val="20"/>
                <w:szCs w:val="20"/>
              </w:rPr>
            </w:pPr>
            <w:r w:rsidRPr="003B6393">
              <w:rPr>
                <w:rFonts w:ascii="Arial" w:hAnsi="Arial" w:cs="Arial"/>
                <w:sz w:val="20"/>
                <w:szCs w:val="20"/>
              </w:rPr>
              <w:t>190.04</w:t>
            </w:r>
          </w:p>
        </w:tc>
        <w:tc>
          <w:tcPr>
            <w:tcW w:w="636" w:type="pct"/>
          </w:tcPr>
          <w:p w14:paraId="116916AE" w14:textId="77777777" w:rsidR="000B60D2" w:rsidRPr="006A3B72" w:rsidRDefault="000B60D2" w:rsidP="000B60D2">
            <w:pPr>
              <w:ind w:left="0" w:hanging="2"/>
              <w:jc w:val="center"/>
              <w:rPr>
                <w:rFonts w:ascii="Arial" w:hAnsi="Arial" w:cs="Arial"/>
                <w:sz w:val="20"/>
                <w:szCs w:val="20"/>
              </w:rPr>
            </w:pPr>
            <w:r w:rsidRPr="006A3B72">
              <w:rPr>
                <w:rFonts w:ascii="Arial" w:hAnsi="Arial" w:cs="Arial"/>
                <w:sz w:val="20"/>
                <w:szCs w:val="20"/>
              </w:rPr>
              <w:t>127.60</w:t>
            </w:r>
          </w:p>
        </w:tc>
        <w:tc>
          <w:tcPr>
            <w:tcW w:w="1036" w:type="pct"/>
          </w:tcPr>
          <w:p w14:paraId="0797C271" w14:textId="77777777" w:rsidR="000B60D2" w:rsidRPr="003B6393" w:rsidRDefault="000B60D2" w:rsidP="000B60D2">
            <w:pPr>
              <w:ind w:left="0" w:hanging="2"/>
              <w:jc w:val="center"/>
              <w:rPr>
                <w:rFonts w:ascii="Arial" w:hAnsi="Arial" w:cs="Arial"/>
                <w:sz w:val="20"/>
                <w:szCs w:val="20"/>
              </w:rPr>
            </w:pPr>
            <w:r w:rsidRPr="003B6393">
              <w:rPr>
                <w:rFonts w:ascii="Arial" w:hAnsi="Arial" w:cs="Arial"/>
                <w:sz w:val="20"/>
                <w:szCs w:val="20"/>
              </w:rPr>
              <w:t>178.12</w:t>
            </w:r>
          </w:p>
        </w:tc>
        <w:tc>
          <w:tcPr>
            <w:tcW w:w="1035" w:type="pct"/>
          </w:tcPr>
          <w:p w14:paraId="640B297D" w14:textId="77777777" w:rsidR="000B60D2" w:rsidRPr="000B60D2" w:rsidRDefault="000B60D2" w:rsidP="000B60D2">
            <w:pPr>
              <w:ind w:left="0" w:hanging="2"/>
              <w:jc w:val="center"/>
              <w:rPr>
                <w:rFonts w:ascii="Arial" w:hAnsi="Arial" w:cs="Arial"/>
                <w:sz w:val="20"/>
                <w:szCs w:val="20"/>
              </w:rPr>
            </w:pPr>
            <w:r w:rsidRPr="000B60D2">
              <w:rPr>
                <w:rFonts w:ascii="Arial" w:hAnsi="Arial" w:cs="Arial"/>
                <w:sz w:val="20"/>
                <w:szCs w:val="20"/>
              </w:rPr>
              <w:t>0.89</w:t>
            </w:r>
          </w:p>
        </w:tc>
      </w:tr>
    </w:tbl>
    <w:p w14:paraId="07EC2CF5" w14:textId="77777777" w:rsidR="00FA67FF" w:rsidRDefault="00FA67FF">
      <w:pPr>
        <w:pBdr>
          <w:top w:val="nil"/>
          <w:left w:val="nil"/>
          <w:bottom w:val="nil"/>
          <w:right w:val="nil"/>
          <w:between w:val="nil"/>
        </w:pBdr>
        <w:shd w:val="clear" w:color="auto" w:fill="FFFFFF"/>
        <w:spacing w:after="0" w:line="240" w:lineRule="auto"/>
        <w:ind w:left="0" w:hanging="2"/>
        <w:jc w:val="both"/>
        <w:rPr>
          <w:rFonts w:ascii="Arial" w:eastAsia="Arial" w:hAnsi="Arial" w:cs="Arial"/>
          <w:b/>
          <w:color w:val="000000"/>
          <w:sz w:val="20"/>
          <w:szCs w:val="20"/>
        </w:rPr>
        <w:sectPr w:rsidR="00FA67FF" w:rsidSect="00FA67FF">
          <w:type w:val="continuous"/>
          <w:pgSz w:w="11907" w:h="16840"/>
          <w:pgMar w:top="1701" w:right="1134" w:bottom="1701" w:left="1701" w:header="680" w:footer="680" w:gutter="0"/>
          <w:cols w:space="284"/>
          <w:titlePg/>
        </w:sectPr>
      </w:pPr>
    </w:p>
    <w:p w14:paraId="0A857552" w14:textId="77777777" w:rsidR="006241FB" w:rsidRDefault="006241FB" w:rsidP="00FA67FF">
      <w:pPr>
        <w:suppressAutoHyphens w:val="0"/>
        <w:spacing w:after="0"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pPr>
    </w:p>
    <w:p w14:paraId="3CF274C0" w14:textId="77777777" w:rsidR="00DF217F" w:rsidRDefault="00DF217F" w:rsidP="00FA67FF">
      <w:pPr>
        <w:suppressAutoHyphens w:val="0"/>
        <w:spacing w:after="0"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sectPr w:rsidR="00DF217F" w:rsidSect="00F713E0">
          <w:type w:val="continuous"/>
          <w:pgSz w:w="11907" w:h="16840"/>
          <w:pgMar w:top="1701" w:right="1134" w:bottom="1701" w:left="1701" w:header="680" w:footer="680" w:gutter="0"/>
          <w:cols w:num="2" w:space="284"/>
          <w:titlePg/>
        </w:sectPr>
      </w:pPr>
    </w:p>
    <w:p w14:paraId="3C75B8CD" w14:textId="77777777" w:rsidR="004D1282" w:rsidRPr="00394AB3" w:rsidRDefault="004D1282" w:rsidP="00DF217F">
      <w:pPr>
        <w:suppressAutoHyphens w:val="0"/>
        <w:spacing w:before="60" w:afterLines="60" w:after="144"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pPr>
      <w:r w:rsidRPr="00394AB3">
        <w:rPr>
          <w:rFonts w:ascii="Arial" w:eastAsia="Times New Roman" w:hAnsi="Arial" w:cs="Arial"/>
          <w:b/>
          <w:bCs/>
          <w:position w:val="0"/>
          <w:sz w:val="20"/>
          <w:szCs w:val="20"/>
        </w:rPr>
        <w:lastRenderedPageBreak/>
        <w:t>Stress</w:t>
      </w:r>
      <w:r w:rsidR="003C19B8">
        <w:rPr>
          <w:rFonts w:ascii="Arial" w:eastAsia="Times New Roman" w:hAnsi="Arial" w:cs="Arial"/>
          <w:b/>
          <w:bCs/>
          <w:position w:val="0"/>
          <w:sz w:val="20"/>
          <w:szCs w:val="20"/>
        </w:rPr>
        <w:t>-</w:t>
      </w:r>
      <w:r w:rsidRPr="00394AB3">
        <w:rPr>
          <w:rFonts w:ascii="Arial" w:eastAsia="Times New Roman" w:hAnsi="Arial" w:cs="Arial"/>
          <w:b/>
          <w:bCs/>
          <w:position w:val="0"/>
          <w:sz w:val="20"/>
          <w:szCs w:val="20"/>
        </w:rPr>
        <w:t xml:space="preserve">Strain Behavior </w:t>
      </w:r>
      <m:oMath>
        <m:r>
          <m:rPr>
            <m:sty m:val="bi"/>
          </m:rPr>
          <w:rPr>
            <w:rFonts w:ascii="Cambria Math" w:eastAsia="Times New Roman" w:hAnsi="Cambria Math" w:cs="Arial"/>
            <w:position w:val="0"/>
            <w:sz w:val="20"/>
            <w:szCs w:val="20"/>
          </w:rPr>
          <m:t>(q-ε)</m:t>
        </m:r>
      </m:oMath>
    </w:p>
    <w:p w14:paraId="0B3F5C27" w14:textId="77777777" w:rsidR="00DF217F" w:rsidRDefault="00DF217F" w:rsidP="00DF217F">
      <w:pPr>
        <w:suppressAutoHyphens w:val="0"/>
        <w:spacing w:before="60" w:afterLines="60" w:after="144" w:line="240" w:lineRule="auto"/>
        <w:ind w:leftChars="0" w:left="0" w:firstLineChars="0" w:firstLine="0"/>
        <w:jc w:val="both"/>
        <w:textDirection w:val="lrTb"/>
        <w:textAlignment w:val="auto"/>
        <w:outlineLvl w:val="9"/>
        <w:rPr>
          <w:rFonts w:ascii="Arial" w:eastAsia="Times New Roman" w:hAnsi="Arial" w:cs="Arial"/>
          <w:bCs/>
          <w:position w:val="0"/>
          <w:sz w:val="20"/>
          <w:szCs w:val="20"/>
        </w:rPr>
        <w:sectPr w:rsidR="00DF217F" w:rsidSect="00B94E4B">
          <w:type w:val="continuous"/>
          <w:pgSz w:w="11907" w:h="16840"/>
          <w:pgMar w:top="1701" w:right="1134" w:bottom="1701" w:left="1701" w:header="680" w:footer="680" w:gutter="0"/>
          <w:cols w:num="2" w:space="284"/>
          <w:docGrid w:linePitch="299"/>
        </w:sectPr>
      </w:pPr>
    </w:p>
    <w:p w14:paraId="18BF092E" w14:textId="77777777" w:rsidR="002C17CC" w:rsidRDefault="00D6202A" w:rsidP="002C17CC">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Cs/>
          <w:position w:val="0"/>
          <w:sz w:val="20"/>
          <w:szCs w:val="20"/>
        </w:rPr>
      </w:pPr>
      <w:r w:rsidRPr="00D6202A">
        <w:rPr>
          <w:rFonts w:ascii="Arial" w:eastAsia="Times New Roman" w:hAnsi="Arial" w:cs="Arial"/>
          <w:bCs/>
          <w:position w:val="0"/>
          <w:sz w:val="20"/>
          <w:szCs w:val="20"/>
        </w:rPr>
        <w:t>The stress–strain curves (Figure 5) show a characteristic response of very loose silty sand, marked by a rapid increase in deviator stress at small strains, followed by a broad plateau extending to large strains (</w:t>
      </w:r>
      <m:oMath>
        <m:r>
          <w:rPr>
            <w:rFonts w:ascii="Cambria Math" w:eastAsia="Times New Roman" w:hAnsi="Cambria Math" w:cs="Arial"/>
            <w:position w:val="0"/>
            <w:sz w:val="20"/>
            <w:szCs w:val="20"/>
          </w:rPr>
          <m:t>ε</m:t>
        </m:r>
      </m:oMath>
      <w:r w:rsidRPr="00D6202A">
        <w:rPr>
          <w:rFonts w:ascii="Arial" w:eastAsia="Times New Roman" w:hAnsi="Arial" w:cs="Arial"/>
          <w:bCs/>
          <w:position w:val="0"/>
          <w:sz w:val="20"/>
          <w:szCs w:val="20"/>
        </w:rPr>
        <w:t xml:space="preserve"> &gt; 10%). The curves do not exhibit pronounced strain softening; instead, the deviator stress gradually approaches a nearly constant level, indicating that the specimens attained a stable residual or critical state without significant post-peak reduction in strength</w:t>
      </w:r>
      <w:r w:rsidR="002C17CC">
        <w:rPr>
          <w:rFonts w:ascii="Arial" w:eastAsia="Times New Roman" w:hAnsi="Arial" w:cs="Arial"/>
          <w:bCs/>
          <w:position w:val="0"/>
          <w:sz w:val="20"/>
          <w:szCs w:val="20"/>
        </w:rPr>
        <w:t>.</w:t>
      </w:r>
    </w:p>
    <w:p w14:paraId="73CFE859" w14:textId="77777777" w:rsidR="00922798" w:rsidRDefault="002C17CC" w:rsidP="002C17CC">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position w:val="0"/>
          <w:sz w:val="20"/>
          <w:szCs w:val="20"/>
        </w:rPr>
      </w:pPr>
      <w:r w:rsidRPr="002C17CC">
        <w:rPr>
          <w:rFonts w:ascii="Arial" w:eastAsia="Times New Roman" w:hAnsi="Arial" w:cs="Arial"/>
          <w:position w:val="0"/>
          <w:sz w:val="20"/>
          <w:szCs w:val="20"/>
        </w:rPr>
        <w:t>The peak deviator stress (</w:t>
      </w:r>
      <m:oMath>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q</m:t>
            </m:r>
          </m:e>
          <m:sub>
            <m:r>
              <w:rPr>
                <w:rFonts w:ascii="Cambria Math" w:eastAsia="Times New Roman" w:hAnsi="Cambria Math" w:cs="Arial"/>
                <w:position w:val="0"/>
                <w:sz w:val="20"/>
                <w:szCs w:val="20"/>
              </w:rPr>
              <m:t>max</m:t>
            </m:r>
          </m:sub>
        </m:sSub>
      </m:oMath>
      <w:r w:rsidRPr="002C17CC">
        <w:rPr>
          <w:rFonts w:ascii="Arial" w:eastAsia="Times New Roman" w:hAnsi="Arial" w:cs="Arial"/>
          <w:position w:val="0"/>
          <w:sz w:val="20"/>
          <w:szCs w:val="20"/>
        </w:rPr>
        <w:t>) increases systematically with the initial mean effective stress (</w:t>
      </w:r>
      <m:oMath>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oMath>
      <w:r w:rsidRPr="002C17CC">
        <w:rPr>
          <w:rFonts w:ascii="Arial" w:eastAsia="Times New Roman" w:hAnsi="Arial" w:cs="Arial"/>
          <w:position w:val="0"/>
          <w:sz w:val="20"/>
          <w:szCs w:val="20"/>
        </w:rPr>
        <w:t xml:space="preserve">), </w:t>
      </w:r>
      <w:r w:rsidR="00D6202A" w:rsidRPr="00D6202A">
        <w:rPr>
          <w:rFonts w:ascii="Arial" w:eastAsia="Times New Roman" w:hAnsi="Arial" w:cs="Arial"/>
          <w:position w:val="0"/>
          <w:sz w:val="20"/>
          <w:szCs w:val="20"/>
        </w:rPr>
        <w:t>consistent with typical behavior of loose granular materials under undrained loading. Differences</w:t>
      </w:r>
      <w:r w:rsidR="00D6202A">
        <w:rPr>
          <w:rFonts w:ascii="Arial" w:eastAsia="Times New Roman" w:hAnsi="Arial" w:cs="Arial"/>
          <w:position w:val="0"/>
          <w:sz w:val="20"/>
          <w:szCs w:val="20"/>
        </w:rPr>
        <w:t xml:space="preserve"> between the 9% and 26.4% fines </w:t>
      </w:r>
      <w:r w:rsidR="00D6202A" w:rsidRPr="00D6202A">
        <w:rPr>
          <w:rFonts w:ascii="Arial" w:eastAsia="Times New Roman" w:hAnsi="Arial" w:cs="Arial"/>
          <w:position w:val="0"/>
          <w:sz w:val="20"/>
          <w:szCs w:val="20"/>
        </w:rPr>
        <w:t>cont</w:t>
      </w:r>
      <w:r w:rsidR="00D6202A">
        <w:rPr>
          <w:rFonts w:ascii="Arial" w:eastAsia="Times New Roman" w:hAnsi="Arial" w:cs="Arial"/>
          <w:position w:val="0"/>
          <w:sz w:val="20"/>
          <w:szCs w:val="20"/>
        </w:rPr>
        <w:t xml:space="preserve">ent groups are relatively small, </w:t>
      </w:r>
      <w:r w:rsidR="00D6202A" w:rsidRPr="00D6202A">
        <w:rPr>
          <w:rFonts w:ascii="Arial" w:eastAsia="Times New Roman" w:hAnsi="Arial" w:cs="Arial"/>
          <w:position w:val="0"/>
          <w:sz w:val="20"/>
          <w:szCs w:val="20"/>
        </w:rPr>
        <w:t>generally wit</w:t>
      </w:r>
      <w:r w:rsidR="00D6202A">
        <w:rPr>
          <w:rFonts w:ascii="Arial" w:eastAsia="Times New Roman" w:hAnsi="Arial" w:cs="Arial"/>
          <w:position w:val="0"/>
          <w:sz w:val="20"/>
          <w:szCs w:val="20"/>
        </w:rPr>
        <w:t xml:space="preserve">hin 1-5% for </w:t>
      </w:r>
      <m:oMath>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q</m:t>
            </m:r>
          </m:e>
          <m:sub>
            <m:r>
              <w:rPr>
                <w:rFonts w:ascii="Cambria Math" w:eastAsia="Times New Roman" w:hAnsi="Cambria Math" w:cs="Arial"/>
                <w:position w:val="0"/>
                <w:sz w:val="20"/>
                <w:szCs w:val="20"/>
              </w:rPr>
              <m:t>max</m:t>
            </m:r>
          </m:sub>
        </m:sSub>
      </m:oMath>
      <w:r w:rsidR="00D6202A">
        <w:rPr>
          <w:rFonts w:ascii="Arial" w:eastAsia="Times New Roman" w:hAnsi="Arial" w:cs="Arial"/>
          <w:position w:val="0"/>
          <w:sz w:val="20"/>
          <w:szCs w:val="20"/>
        </w:rPr>
        <w:t xml:space="preserve">, </w:t>
      </w:r>
      <w:r w:rsidR="00D6202A" w:rsidRPr="00D6202A">
        <w:rPr>
          <w:rFonts w:ascii="Arial" w:eastAsia="Times New Roman" w:hAnsi="Arial" w:cs="Arial"/>
          <w:position w:val="0"/>
          <w:sz w:val="20"/>
          <w:szCs w:val="20"/>
        </w:rPr>
        <w:t xml:space="preserve">reflecting that, at very loose densities (Dr </w:t>
      </w:r>
      <w:r w:rsidR="00076571">
        <w:rPr>
          <w:rFonts w:ascii="Arial" w:eastAsia="Times New Roman" w:hAnsi="Arial" w:cs="Arial"/>
          <w:position w:val="0"/>
          <w:sz w:val="20"/>
          <w:szCs w:val="20"/>
        </w:rPr>
        <w:t>=</w:t>
      </w:r>
      <w:r w:rsidR="00D6202A" w:rsidRPr="00D6202A">
        <w:rPr>
          <w:rFonts w:ascii="Arial" w:eastAsia="Times New Roman" w:hAnsi="Arial" w:cs="Arial"/>
          <w:position w:val="0"/>
          <w:sz w:val="20"/>
          <w:szCs w:val="20"/>
        </w:rPr>
        <w:t xml:space="preserve"> 11% for FC 9% and Dr </w:t>
      </w:r>
      <w:r w:rsidR="00076571">
        <w:rPr>
          <w:rFonts w:ascii="Arial" w:eastAsia="Times New Roman" w:hAnsi="Arial" w:cs="Arial"/>
          <w:position w:val="0"/>
          <w:sz w:val="20"/>
          <w:szCs w:val="20"/>
        </w:rPr>
        <w:t>=</w:t>
      </w:r>
      <w:r w:rsidR="00D6202A" w:rsidRPr="00D6202A">
        <w:rPr>
          <w:rFonts w:ascii="Arial" w:eastAsia="Times New Roman" w:hAnsi="Arial" w:cs="Arial"/>
          <w:position w:val="0"/>
          <w:sz w:val="20"/>
          <w:szCs w:val="20"/>
        </w:rPr>
        <w:t xml:space="preserve"> 20% for </w:t>
      </w:r>
      <w:r w:rsidR="00D6202A" w:rsidRPr="00D6202A">
        <w:rPr>
          <w:rFonts w:ascii="Arial" w:eastAsia="Times New Roman" w:hAnsi="Arial" w:cs="Arial"/>
          <w:position w:val="0"/>
          <w:sz w:val="20"/>
          <w:szCs w:val="20"/>
        </w:rPr>
        <w:t>FC 26.4%), the peak shear response is governed predominantly by the sand skeleton. The influence of fine</w:t>
      </w:r>
      <w:r w:rsidR="00076571">
        <w:rPr>
          <w:rFonts w:ascii="Arial" w:eastAsia="Times New Roman" w:hAnsi="Arial" w:cs="Arial"/>
          <w:position w:val="0"/>
          <w:sz w:val="20"/>
          <w:szCs w:val="20"/>
        </w:rPr>
        <w:t>s becomes more apparent in pore</w:t>
      </w:r>
      <w:r w:rsidR="003303C8">
        <w:rPr>
          <w:rFonts w:ascii="Arial" w:eastAsia="Times New Roman" w:hAnsi="Arial" w:cs="Arial"/>
          <w:position w:val="0"/>
          <w:sz w:val="20"/>
          <w:szCs w:val="20"/>
        </w:rPr>
        <w:t>-</w:t>
      </w:r>
      <w:r w:rsidR="00D6202A" w:rsidRPr="00D6202A">
        <w:rPr>
          <w:rFonts w:ascii="Arial" w:eastAsia="Times New Roman" w:hAnsi="Arial" w:cs="Arial"/>
          <w:position w:val="0"/>
          <w:sz w:val="20"/>
          <w:szCs w:val="20"/>
        </w:rPr>
        <w:t xml:space="preserve">pressure generation </w:t>
      </w:r>
      <m:oMath>
        <m:r>
          <w:rPr>
            <w:rFonts w:ascii="Cambria Math" w:eastAsia="Times New Roman" w:hAnsi="Cambria Math" w:cs="Arial"/>
            <w:position w:val="0"/>
            <w:sz w:val="20"/>
            <w:szCs w:val="20"/>
          </w:rPr>
          <m:t>(Δu)</m:t>
        </m:r>
      </m:oMath>
      <w:r w:rsidR="00D6202A" w:rsidRPr="00D6202A">
        <w:rPr>
          <w:rFonts w:ascii="Arial" w:eastAsia="Times New Roman" w:hAnsi="Arial" w:cs="Arial"/>
          <w:position w:val="0"/>
          <w:sz w:val="20"/>
          <w:szCs w:val="20"/>
        </w:rPr>
        <w:t xml:space="preserve"> and in the curvature of the effective stress paths rather than in the peak deviator stress itself.</w:t>
      </w:r>
      <w:r w:rsidR="00922798">
        <w:rPr>
          <w:rFonts w:ascii="Arial" w:eastAsia="Times New Roman" w:hAnsi="Arial" w:cs="Arial"/>
          <w:position w:val="0"/>
          <w:sz w:val="20"/>
          <w:szCs w:val="20"/>
        </w:rPr>
        <w:t xml:space="preserve"> </w:t>
      </w:r>
    </w:p>
    <w:p w14:paraId="0A1198D8" w14:textId="77777777" w:rsidR="00D01970" w:rsidRPr="00922798" w:rsidRDefault="00922798" w:rsidP="002C17CC">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position w:val="0"/>
          <w:sz w:val="20"/>
          <w:szCs w:val="20"/>
        </w:rPr>
      </w:pPr>
      <w:r w:rsidRPr="00922798">
        <w:rPr>
          <w:rFonts w:ascii="Arial" w:hAnsi="Arial" w:cs="Arial"/>
          <w:sz w:val="20"/>
          <w:szCs w:val="20"/>
        </w:rPr>
        <w:t>Although loose clean sands typically exhibit a sharp drop in deviator stress after the peak, loose silty sands such as the Petobo material tend to show more moderate softening. The presence of non-plastic fines and the angularity of volcanic grains reduce the abruptness of post-peak strain softening, resulting in a smaller difference between</w:t>
      </w:r>
      <w:r>
        <w:rPr>
          <w:rFonts w:ascii="Arial" w:hAnsi="Arial" w:cs="Arial"/>
          <w:sz w:val="20"/>
          <w:szCs w:val="20"/>
        </w:rPr>
        <w:t xml:space="preserve"> </w:t>
      </w:r>
      <m:oMath>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q</m:t>
            </m:r>
          </m:e>
          <m:sub>
            <m:r>
              <w:rPr>
                <w:rFonts w:ascii="Cambria Math" w:eastAsia="Times New Roman" w:hAnsi="Cambria Math" w:cs="Arial"/>
                <w:position w:val="0"/>
                <w:sz w:val="20"/>
                <w:szCs w:val="20"/>
              </w:rPr>
              <m:t>max</m:t>
            </m:r>
          </m:sub>
        </m:sSub>
      </m:oMath>
      <w:r w:rsidRPr="00922798">
        <w:rPr>
          <w:rStyle w:val="vlist-s"/>
          <w:rFonts w:ascii="Arial" w:hAnsi="Arial" w:cs="Arial"/>
          <w:sz w:val="20"/>
          <w:szCs w:val="20"/>
        </w:rPr>
        <w:t>​</w:t>
      </w:r>
      <w:r w:rsidRPr="00922798">
        <w:rPr>
          <w:rFonts w:ascii="Arial" w:hAnsi="Arial" w:cs="Arial"/>
          <w:sz w:val="20"/>
          <w:szCs w:val="20"/>
        </w:rPr>
        <w:t xml:space="preserve"> and </w:t>
      </w:r>
      <m:oMath>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q</m:t>
            </m:r>
          </m:e>
          <m:sub>
            <m:r>
              <w:rPr>
                <w:rFonts w:ascii="Cambria Math" w:eastAsia="Times New Roman" w:hAnsi="Cambria Math" w:cs="Arial"/>
                <w:position w:val="0"/>
                <w:sz w:val="20"/>
                <w:szCs w:val="20"/>
              </w:rPr>
              <m:t>res</m:t>
            </m:r>
          </m:sub>
        </m:sSub>
      </m:oMath>
      <w:r>
        <w:rPr>
          <w:rFonts w:ascii="Arial" w:hAnsi="Arial" w:cs="Arial"/>
          <w:position w:val="0"/>
          <w:sz w:val="20"/>
          <w:szCs w:val="20"/>
        </w:rPr>
        <w:t xml:space="preserve">. </w:t>
      </w:r>
      <w:r w:rsidRPr="00922798">
        <w:rPr>
          <w:rFonts w:ascii="Arial" w:hAnsi="Arial" w:cs="Arial"/>
          <w:sz w:val="20"/>
          <w:szCs w:val="20"/>
        </w:rPr>
        <w:t xml:space="preserve">Despite this, all specimens clearly reach the critical state, mobilizing low normalized residual strength ratios </w:t>
      </w:r>
      <m:oMath>
        <m:r>
          <w:rPr>
            <w:rFonts w:ascii="Cambria Math" w:hAnsi="Cambria Math" w:cs="Arial"/>
            <w:sz w:val="20"/>
            <w:szCs w:val="20"/>
          </w:rPr>
          <m:t>(</m:t>
        </m:r>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q</m:t>
            </m:r>
          </m:e>
          <m:sub>
            <m:r>
              <w:rPr>
                <w:rFonts w:ascii="Cambria Math" w:eastAsia="Times New Roman" w:hAnsi="Cambria Math" w:cs="Arial"/>
                <w:position w:val="0"/>
                <w:sz w:val="20"/>
                <w:szCs w:val="20"/>
              </w:rPr>
              <m:t>res</m:t>
            </m:r>
          </m:sub>
        </m:sSub>
        <m:r>
          <w:rPr>
            <w:rFonts w:ascii="Cambria Math" w:eastAsia="Times New Roman" w:hAnsi="Cambria Math" w:cs="Arial"/>
            <w:position w:val="0"/>
            <w:sz w:val="20"/>
            <w:szCs w:val="20"/>
          </w:rPr>
          <m:t xml:space="preserve">/p'₀  </m:t>
        </m:r>
      </m:oMath>
      <w:r w:rsidRPr="00922798">
        <w:rPr>
          <w:rFonts w:ascii="Arial" w:eastAsia="Times New Roman" w:hAnsi="Arial" w:cs="Arial"/>
          <w:bCs/>
          <w:position w:val="0"/>
          <w:sz w:val="20"/>
          <w:szCs w:val="20"/>
        </w:rPr>
        <w:t>= 0.79-0.94)</w:t>
      </w:r>
      <w:r>
        <w:rPr>
          <w:rFonts w:ascii="Arial" w:hAnsi="Arial" w:cs="Arial"/>
          <w:sz w:val="20"/>
          <w:szCs w:val="20"/>
        </w:rPr>
        <w:t xml:space="preserve">, </w:t>
      </w:r>
      <w:r w:rsidRPr="00922798">
        <w:rPr>
          <w:rFonts w:ascii="Arial" w:hAnsi="Arial" w:cs="Arial"/>
          <w:sz w:val="20"/>
          <w:szCs w:val="20"/>
        </w:rPr>
        <w:t>which remain indicative of high fl</w:t>
      </w:r>
      <w:r>
        <w:rPr>
          <w:rFonts w:ascii="Arial" w:hAnsi="Arial" w:cs="Arial"/>
          <w:sz w:val="20"/>
          <w:szCs w:val="20"/>
        </w:rPr>
        <w:t>ow-liquefaction susceptibility.</w:t>
      </w:r>
    </w:p>
    <w:p w14:paraId="60214958" w14:textId="77777777" w:rsidR="00922798" w:rsidRPr="00F713E0" w:rsidRDefault="00922798" w:rsidP="002C17CC">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position w:val="0"/>
          <w:sz w:val="20"/>
          <w:szCs w:val="20"/>
        </w:rPr>
        <w:sectPr w:rsidR="00922798" w:rsidRPr="00F713E0" w:rsidSect="00F713E0">
          <w:type w:val="continuous"/>
          <w:pgSz w:w="11907" w:h="16840"/>
          <w:pgMar w:top="1701" w:right="1134" w:bottom="1701" w:left="1701" w:header="680" w:footer="680" w:gutter="0"/>
          <w:cols w:num="2" w:space="284"/>
          <w:titlePg/>
        </w:sectPr>
      </w:pPr>
    </w:p>
    <w:p w14:paraId="78079B9E" w14:textId="77777777" w:rsidR="003C750B" w:rsidRPr="0090681E" w:rsidRDefault="00650477" w:rsidP="00D610D0">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position w:val="0"/>
          <w:sz w:val="20"/>
          <w:szCs w:val="20"/>
        </w:rPr>
      </w:pPr>
      <w:r w:rsidRPr="00650477">
        <w:rPr>
          <w:rFonts w:ascii="Arial" w:eastAsia="Times New Roman" w:hAnsi="Arial" w:cs="Arial"/>
          <w:b/>
          <w:bCs/>
          <w:noProof/>
          <w:position w:val="0"/>
          <w:sz w:val="20"/>
          <w:szCs w:val="20"/>
        </w:rPr>
        <w:drawing>
          <wp:inline distT="0" distB="0" distL="0" distR="0" wp14:anchorId="233132DD" wp14:editId="31790BA6">
            <wp:extent cx="5557764" cy="2965450"/>
            <wp:effectExtent l="0" t="0" r="508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099" t="4902" r="6177" b="6292"/>
                    <a:stretch/>
                  </pic:blipFill>
                  <pic:spPr bwMode="auto">
                    <a:xfrm>
                      <a:off x="0" y="0"/>
                      <a:ext cx="5559943" cy="2966613"/>
                    </a:xfrm>
                    <a:prstGeom prst="rect">
                      <a:avLst/>
                    </a:prstGeom>
                    <a:noFill/>
                    <a:ln>
                      <a:noFill/>
                    </a:ln>
                    <a:extLst>
                      <a:ext uri="{53640926-AAD7-44D8-BBD7-CCE9431645EC}">
                        <a14:shadowObscured xmlns:a14="http://schemas.microsoft.com/office/drawing/2010/main"/>
                      </a:ext>
                    </a:extLst>
                  </pic:spPr>
                </pic:pic>
              </a:graphicData>
            </a:graphic>
          </wp:inline>
        </w:drawing>
      </w:r>
      <w:r w:rsidR="00150E37" w:rsidRPr="00150E37">
        <w:rPr>
          <w:rFonts w:ascii="Arial" w:eastAsia="Times New Roman" w:hAnsi="Arial" w:cs="Arial"/>
          <w:b/>
          <w:bCs/>
          <w:position w:val="0"/>
          <w:sz w:val="20"/>
          <w:szCs w:val="20"/>
        </w:rPr>
        <w:t>Figure 5.</w:t>
      </w:r>
      <w:r w:rsidR="00150E37" w:rsidRPr="00150E37">
        <w:rPr>
          <w:rFonts w:ascii="Arial" w:eastAsia="Times New Roman" w:hAnsi="Arial" w:cs="Arial"/>
          <w:bCs/>
          <w:position w:val="0"/>
          <w:sz w:val="20"/>
          <w:szCs w:val="20"/>
        </w:rPr>
        <w:t xml:space="preserve"> </w:t>
      </w:r>
      <w:r w:rsidRPr="0090681E">
        <w:rPr>
          <w:rFonts w:ascii="Arial" w:hAnsi="Arial" w:cs="Arial"/>
          <w:sz w:val="20"/>
          <w:szCs w:val="20"/>
        </w:rPr>
        <w:t xml:space="preserve">Stress–strain </w:t>
      </w:r>
      <m:oMath>
        <m:r>
          <w:rPr>
            <w:rFonts w:ascii="Cambria Math" w:hAnsi="Cambria Math" w:cs="Arial"/>
            <w:sz w:val="20"/>
            <w:szCs w:val="20"/>
          </w:rPr>
          <m:t>(q-ε)</m:t>
        </m:r>
      </m:oMath>
      <w:r w:rsidRPr="0090681E">
        <w:rPr>
          <w:rFonts w:ascii="Arial" w:hAnsi="Arial" w:cs="Arial"/>
          <w:sz w:val="20"/>
          <w:szCs w:val="20"/>
        </w:rPr>
        <w:t xml:space="preserve"> behavior of Petobo sand at fines contents of 9% and 26.4% under initial mean effective stresses of 100, 150, and 200 kPa.</w:t>
      </w:r>
    </w:p>
    <w:p w14:paraId="56E9F6C1" w14:textId="77777777" w:rsidR="00D01970" w:rsidRDefault="00D01970" w:rsidP="008510A0">
      <w:pPr>
        <w:suppressAutoHyphens w:val="0"/>
        <w:spacing w:after="120"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pPr>
    </w:p>
    <w:p w14:paraId="68AC3BC7" w14:textId="77777777" w:rsidR="00890848" w:rsidRDefault="00890848" w:rsidP="008510A0">
      <w:pPr>
        <w:suppressAutoHyphens w:val="0"/>
        <w:spacing w:after="120"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sectPr w:rsidR="00890848" w:rsidSect="00D01970">
          <w:type w:val="continuous"/>
          <w:pgSz w:w="11907" w:h="16840"/>
          <w:pgMar w:top="1701" w:right="1134" w:bottom="1701" w:left="1701" w:header="680" w:footer="680" w:gutter="0"/>
          <w:cols w:space="720"/>
          <w:titlePg/>
        </w:sectPr>
      </w:pPr>
    </w:p>
    <w:p w14:paraId="327E3030" w14:textId="77777777" w:rsidR="004D1282" w:rsidRPr="004D1282" w:rsidRDefault="004D1282" w:rsidP="000F7670">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pPr>
      <w:r w:rsidRPr="004D1282">
        <w:rPr>
          <w:rFonts w:ascii="Arial" w:eastAsia="Times New Roman" w:hAnsi="Arial" w:cs="Arial"/>
          <w:b/>
          <w:bCs/>
          <w:position w:val="0"/>
          <w:sz w:val="20"/>
          <w:szCs w:val="20"/>
        </w:rPr>
        <w:t xml:space="preserve">Excess Pore Water Pressure Development </w:t>
      </w:r>
      <m:oMath>
        <m:r>
          <m:rPr>
            <m:sty m:val="bi"/>
          </m:rPr>
          <w:rPr>
            <w:rFonts w:ascii="Cambria Math" w:eastAsia="Times New Roman" w:hAnsi="Cambria Math" w:cs="Arial"/>
            <w:position w:val="0"/>
            <w:sz w:val="20"/>
            <w:szCs w:val="20"/>
          </w:rPr>
          <m:t>(Δu-ε)</m:t>
        </m:r>
      </m:oMath>
    </w:p>
    <w:p w14:paraId="2E0B74AF" w14:textId="77777777" w:rsidR="00076571" w:rsidRDefault="004D1282" w:rsidP="000F7670">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Cs/>
          <w:position w:val="0"/>
          <w:sz w:val="20"/>
          <w:szCs w:val="20"/>
        </w:rPr>
      </w:pPr>
      <w:r w:rsidRPr="004D1282">
        <w:rPr>
          <w:rFonts w:ascii="Arial" w:eastAsia="Times New Roman" w:hAnsi="Arial" w:cs="Arial"/>
          <w:bCs/>
          <w:position w:val="0"/>
          <w:sz w:val="20"/>
          <w:szCs w:val="20"/>
        </w:rPr>
        <w:t xml:space="preserve">The </w:t>
      </w:r>
      <m:oMath>
        <m:r>
          <w:rPr>
            <w:rFonts w:ascii="Cambria Math" w:eastAsia="Times New Roman" w:hAnsi="Cambria Math" w:cs="Arial"/>
            <w:position w:val="0"/>
            <w:sz w:val="20"/>
            <w:szCs w:val="20"/>
          </w:rPr>
          <m:t>Δu-ε</m:t>
        </m:r>
      </m:oMath>
      <w:r w:rsidRPr="004D1282">
        <w:rPr>
          <w:rFonts w:ascii="Arial" w:eastAsia="Times New Roman" w:hAnsi="Arial" w:cs="Arial"/>
          <w:bCs/>
          <w:position w:val="0"/>
          <w:sz w:val="20"/>
          <w:szCs w:val="20"/>
        </w:rPr>
        <w:t xml:space="preserve"> curves (Figure 6) </w:t>
      </w:r>
      <w:r w:rsidR="00076571" w:rsidRPr="00076571">
        <w:rPr>
          <w:rFonts w:ascii="Arial" w:eastAsia="Times New Roman" w:hAnsi="Arial" w:cs="Arial"/>
          <w:bCs/>
          <w:position w:val="0"/>
          <w:sz w:val="20"/>
          <w:szCs w:val="20"/>
        </w:rPr>
        <w:t>show a rapid increase in excess pore water pressure at small strains (&lt;10%) for all specimens, indicating strong contractive behavior typical of very loose sands. Both fines-content groups (FC = 9% and FC = 26.4%) reached similar maximum excess pore</w:t>
      </w:r>
      <w:r w:rsidR="003303C8">
        <w:rPr>
          <w:rFonts w:ascii="Arial" w:eastAsia="Times New Roman" w:hAnsi="Arial" w:cs="Arial"/>
          <w:bCs/>
          <w:position w:val="0"/>
          <w:sz w:val="20"/>
          <w:szCs w:val="20"/>
        </w:rPr>
        <w:t>-</w:t>
      </w:r>
      <w:r w:rsidR="00076571" w:rsidRPr="00076571">
        <w:rPr>
          <w:rFonts w:ascii="Arial" w:eastAsia="Times New Roman" w:hAnsi="Arial" w:cs="Arial"/>
          <w:bCs/>
          <w:position w:val="0"/>
          <w:sz w:val="20"/>
          <w:szCs w:val="20"/>
        </w:rPr>
        <w:t>pressures</w:t>
      </w:r>
      <w:r w:rsidRPr="004D1282">
        <w:rPr>
          <w:rFonts w:ascii="Arial" w:eastAsia="Times New Roman" w:hAnsi="Arial" w:cs="Arial"/>
          <w:bCs/>
          <w:position w:val="0"/>
          <w:sz w:val="20"/>
          <w:szCs w:val="20"/>
        </w:rPr>
        <w:t xml:space="preserve"> </w:t>
      </w:r>
      <m:oMath>
        <m:sSub>
          <m:sSubPr>
            <m:ctrlPr>
              <w:rPr>
                <w:rFonts w:ascii="Cambria Math" w:eastAsia="Times New Roman" w:hAnsi="Cambria Math" w:cs="Arial"/>
                <w:bCs/>
                <w:i/>
                <w:position w:val="0"/>
                <w:sz w:val="20"/>
                <w:szCs w:val="20"/>
              </w:rPr>
            </m:ctrlPr>
          </m:sSubPr>
          <m:e>
            <m:r>
              <w:rPr>
                <w:rFonts w:ascii="Cambria Math" w:eastAsia="Times New Roman" w:hAnsi="Cambria Math" w:cs="Arial"/>
                <w:position w:val="0"/>
                <w:sz w:val="20"/>
                <w:szCs w:val="20"/>
              </w:rPr>
              <m:t>Δu</m:t>
            </m:r>
          </m:e>
          <m:sub>
            <m:r>
              <w:rPr>
                <w:rFonts w:ascii="Cambria Math" w:eastAsia="Times New Roman" w:hAnsi="Cambria Math" w:cs="Arial"/>
                <w:position w:val="0"/>
                <w:sz w:val="20"/>
                <w:szCs w:val="20"/>
              </w:rPr>
              <m:t>max</m:t>
            </m:r>
          </m:sub>
        </m:sSub>
        <m:r>
          <w:rPr>
            <w:rFonts w:ascii="Cambria Math" w:eastAsia="Times New Roman" w:hAnsi="Cambria Math" w:cs="Arial"/>
            <w:position w:val="0"/>
            <w:sz w:val="20"/>
            <w:szCs w:val="20"/>
          </w:rPr>
          <m:t xml:space="preserve"> , </m:t>
        </m:r>
      </m:oMath>
      <w:r w:rsidR="00076571" w:rsidRPr="00076571">
        <w:rPr>
          <w:rFonts w:ascii="Arial" w:eastAsia="Times New Roman" w:hAnsi="Arial" w:cs="Arial"/>
          <w:bCs/>
          <w:position w:val="0"/>
          <w:sz w:val="20"/>
          <w:szCs w:val="20"/>
        </w:rPr>
        <w:t>demonstrating that at very low relative densities (Dr = 11</w:t>
      </w:r>
      <w:r w:rsidR="00076571">
        <w:rPr>
          <w:rFonts w:ascii="Arial" w:eastAsia="Times New Roman" w:hAnsi="Arial" w:cs="Arial"/>
          <w:bCs/>
          <w:position w:val="0"/>
          <w:sz w:val="20"/>
          <w:szCs w:val="20"/>
        </w:rPr>
        <w:t>-</w:t>
      </w:r>
      <w:r w:rsidR="00076571" w:rsidRPr="00076571">
        <w:rPr>
          <w:rFonts w:ascii="Arial" w:eastAsia="Times New Roman" w:hAnsi="Arial" w:cs="Arial"/>
          <w:bCs/>
          <w:position w:val="0"/>
          <w:sz w:val="20"/>
          <w:szCs w:val="20"/>
        </w:rPr>
        <w:t xml:space="preserve">20%), the predominant factor governing pore-pressure buildup is the </w:t>
      </w:r>
      <w:r w:rsidR="00076571" w:rsidRPr="00076571">
        <w:rPr>
          <w:rFonts w:ascii="Arial" w:eastAsia="Times New Roman" w:hAnsi="Arial" w:cs="Arial"/>
          <w:bCs/>
          <w:position w:val="0"/>
          <w:sz w:val="20"/>
          <w:szCs w:val="20"/>
        </w:rPr>
        <w:t>loose, compressible sand skeleton rather than fines content alone.</w:t>
      </w:r>
    </w:p>
    <w:p w14:paraId="08882FD9" w14:textId="77777777" w:rsidR="00715506" w:rsidRDefault="0088300C" w:rsidP="000F7670">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Cs/>
          <w:position w:val="0"/>
          <w:sz w:val="20"/>
          <w:szCs w:val="20"/>
        </w:rPr>
      </w:pPr>
      <w:r w:rsidRPr="0088300C">
        <w:rPr>
          <w:rFonts w:ascii="Arial" w:eastAsia="Times New Roman" w:hAnsi="Arial" w:cs="Arial"/>
          <w:bCs/>
          <w:position w:val="0"/>
          <w:sz w:val="20"/>
          <w:szCs w:val="20"/>
        </w:rPr>
        <w:t xml:space="preserve">Specimens with 26.4% fines generated slightly higher </w:t>
      </w:r>
      <m:oMath>
        <m:r>
          <w:rPr>
            <w:rFonts w:ascii="Cambria Math" w:eastAsia="Times New Roman" w:hAnsi="Cambria Math" w:cs="Arial"/>
            <w:position w:val="0"/>
            <w:sz w:val="20"/>
            <w:szCs w:val="20"/>
          </w:rPr>
          <m:t>Δu</m:t>
        </m:r>
      </m:oMath>
      <w:r w:rsidRPr="0088300C">
        <w:rPr>
          <w:rFonts w:ascii="Arial" w:eastAsia="Times New Roman" w:hAnsi="Arial" w:cs="Arial"/>
          <w:bCs/>
          <w:position w:val="0"/>
          <w:sz w:val="20"/>
          <w:szCs w:val="20"/>
        </w:rPr>
        <w:t xml:space="preserve"> at intermediate strains, but the overall difference in</w:t>
      </w:r>
      <w:r>
        <w:rPr>
          <w:rFonts w:ascii="Arial" w:eastAsia="Times New Roman" w:hAnsi="Arial" w:cs="Arial"/>
          <w:bCs/>
          <w:position w:val="0"/>
          <w:sz w:val="20"/>
          <w:szCs w:val="20"/>
        </w:rPr>
        <w:t xml:space="preserve"> </w:t>
      </w:r>
      <m:oMath>
        <m:sSub>
          <m:sSubPr>
            <m:ctrlPr>
              <w:rPr>
                <w:rFonts w:ascii="Cambria Math" w:eastAsia="Times New Roman" w:hAnsi="Cambria Math" w:cs="Arial"/>
                <w:bCs/>
                <w:i/>
                <w:position w:val="0"/>
                <w:sz w:val="20"/>
                <w:szCs w:val="20"/>
              </w:rPr>
            </m:ctrlPr>
          </m:sSubPr>
          <m:e>
            <m:r>
              <w:rPr>
                <w:rFonts w:ascii="Cambria Math" w:eastAsia="Times New Roman" w:hAnsi="Cambria Math" w:cs="Arial"/>
                <w:position w:val="0"/>
                <w:sz w:val="20"/>
                <w:szCs w:val="20"/>
              </w:rPr>
              <m:t>Δu</m:t>
            </m:r>
          </m:e>
          <m:sub>
            <m:r>
              <w:rPr>
                <w:rFonts w:ascii="Cambria Math" w:eastAsia="Times New Roman" w:hAnsi="Cambria Math" w:cs="Arial"/>
                <w:position w:val="0"/>
                <w:sz w:val="20"/>
                <w:szCs w:val="20"/>
              </w:rPr>
              <m:t>max</m:t>
            </m:r>
          </m:sub>
        </m:sSub>
      </m:oMath>
      <w:r>
        <w:rPr>
          <w:rFonts w:ascii="Arial" w:eastAsia="Times New Roman" w:hAnsi="Arial" w:cs="Arial"/>
          <w:bCs/>
          <w:position w:val="0"/>
          <w:sz w:val="20"/>
          <w:szCs w:val="20"/>
        </w:rPr>
        <w:t xml:space="preserve"> </w:t>
      </w:r>
      <w:r w:rsidRPr="0088300C">
        <w:rPr>
          <w:rFonts w:ascii="Arial" w:eastAsia="Times New Roman" w:hAnsi="Arial" w:cs="Arial"/>
          <w:bCs/>
          <w:position w:val="0"/>
          <w:sz w:val="20"/>
          <w:szCs w:val="20"/>
        </w:rPr>
        <w:t>between the two fines contents remained modest (generally within 5%). This suggests that, within the tested density range, fines influence the rate and shape of pore-pressure accumulation more strongly than the absolute magnitude</w:t>
      </w:r>
      <w:r>
        <w:rPr>
          <w:rFonts w:ascii="Arial" w:eastAsia="Times New Roman" w:hAnsi="Arial" w:cs="Arial"/>
          <w:bCs/>
          <w:position w:val="0"/>
          <w:sz w:val="20"/>
          <w:szCs w:val="20"/>
        </w:rPr>
        <w:t xml:space="preserve"> </w:t>
      </w:r>
      <m:oMath>
        <m:sSub>
          <m:sSubPr>
            <m:ctrlPr>
              <w:rPr>
                <w:rFonts w:ascii="Cambria Math" w:eastAsia="Times New Roman" w:hAnsi="Cambria Math" w:cs="Arial"/>
                <w:bCs/>
                <w:i/>
                <w:position w:val="0"/>
                <w:sz w:val="20"/>
                <w:szCs w:val="20"/>
              </w:rPr>
            </m:ctrlPr>
          </m:sSubPr>
          <m:e>
            <m:r>
              <w:rPr>
                <w:rFonts w:ascii="Cambria Math" w:eastAsia="Times New Roman" w:hAnsi="Cambria Math" w:cs="Arial"/>
                <w:position w:val="0"/>
                <w:sz w:val="20"/>
                <w:szCs w:val="20"/>
              </w:rPr>
              <m:t>Δu</m:t>
            </m:r>
          </m:e>
          <m:sub>
            <m:r>
              <w:rPr>
                <w:rFonts w:ascii="Cambria Math" w:eastAsia="Times New Roman" w:hAnsi="Cambria Math" w:cs="Arial"/>
                <w:position w:val="0"/>
                <w:sz w:val="20"/>
                <w:szCs w:val="20"/>
              </w:rPr>
              <m:t>max</m:t>
            </m:r>
          </m:sub>
        </m:sSub>
      </m:oMath>
    </w:p>
    <w:p w14:paraId="6BA05C3D" w14:textId="77777777" w:rsidR="00715506" w:rsidRDefault="00076571" w:rsidP="000F7670">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Cs/>
          <w:position w:val="0"/>
          <w:sz w:val="20"/>
          <w:szCs w:val="20"/>
        </w:rPr>
      </w:pPr>
      <w:r w:rsidRPr="00076571">
        <w:rPr>
          <w:rFonts w:ascii="Arial" w:eastAsia="Times New Roman" w:hAnsi="Arial" w:cs="Arial"/>
          <w:bCs/>
          <w:position w:val="0"/>
          <w:sz w:val="20"/>
          <w:szCs w:val="20"/>
        </w:rPr>
        <w:lastRenderedPageBreak/>
        <w:t>These observations are consistent with recent experimental studies on loose silty sands, which report that non-plastic fines modify soil microstructure and compressibility but do not necessarily produce large increases in</w:t>
      </w:r>
      <w:r w:rsidR="00715506" w:rsidRPr="00715506">
        <w:rPr>
          <w:rFonts w:ascii="Arial" w:eastAsia="Times New Roman" w:hAnsi="Arial" w:cs="Arial"/>
          <w:bCs/>
          <w:position w:val="0"/>
          <w:sz w:val="20"/>
          <w:szCs w:val="20"/>
        </w:rPr>
        <w:t xml:space="preserve"> </w:t>
      </w:r>
      <m:oMath>
        <m:sSub>
          <m:sSubPr>
            <m:ctrlPr>
              <w:rPr>
                <w:rFonts w:ascii="Cambria Math" w:eastAsia="Times New Roman" w:hAnsi="Cambria Math" w:cs="Arial"/>
                <w:bCs/>
                <w:i/>
                <w:position w:val="0"/>
                <w:sz w:val="20"/>
                <w:szCs w:val="20"/>
              </w:rPr>
            </m:ctrlPr>
          </m:sSubPr>
          <m:e>
            <m:r>
              <w:rPr>
                <w:rFonts w:ascii="Cambria Math" w:eastAsia="Times New Roman" w:hAnsi="Cambria Math" w:cs="Arial"/>
                <w:position w:val="0"/>
                <w:sz w:val="20"/>
                <w:szCs w:val="20"/>
              </w:rPr>
              <m:t>Δu</m:t>
            </m:r>
          </m:e>
          <m:sub>
            <m:r>
              <w:rPr>
                <w:rFonts w:ascii="Cambria Math" w:eastAsia="Times New Roman" w:hAnsi="Cambria Math" w:cs="Arial"/>
                <w:position w:val="0"/>
                <w:sz w:val="20"/>
                <w:szCs w:val="20"/>
              </w:rPr>
              <m:t>max</m:t>
            </m:r>
          </m:sub>
        </m:sSub>
        <m:r>
          <w:rPr>
            <w:rFonts w:ascii="Cambria Math" w:eastAsia="Times New Roman" w:hAnsi="Cambria Math" w:cs="Arial"/>
            <w:position w:val="0"/>
            <w:sz w:val="20"/>
            <w:szCs w:val="20"/>
          </w:rPr>
          <m:t xml:space="preserve"> </m:t>
        </m:r>
      </m:oMath>
      <w:r w:rsidRPr="00076571">
        <w:rPr>
          <w:rFonts w:ascii="Arial" w:eastAsia="Times New Roman" w:hAnsi="Arial" w:cs="Arial"/>
          <w:bCs/>
          <w:position w:val="0"/>
          <w:sz w:val="20"/>
          <w:szCs w:val="20"/>
        </w:rPr>
        <w:t>unless there is a substantial density contrast between specimens</w:t>
      </w:r>
      <w:r w:rsidR="00715506">
        <w:rPr>
          <w:rFonts w:ascii="Arial" w:eastAsia="Times New Roman" w:hAnsi="Arial" w:cs="Arial"/>
          <w:bCs/>
          <w:position w:val="0"/>
          <w:sz w:val="20"/>
          <w:szCs w:val="20"/>
        </w:rPr>
        <w:t xml:space="preserve"> </w:t>
      </w:r>
      <w:r w:rsidR="00A73B35">
        <w:rPr>
          <w:rFonts w:ascii="Arial" w:eastAsia="Times New Roman" w:hAnsi="Arial" w:cs="Arial"/>
          <w:bCs/>
          <w:position w:val="0"/>
          <w:sz w:val="20"/>
          <w:szCs w:val="20"/>
        </w:rPr>
        <w:fldChar w:fldCharType="begin" w:fldLock="1"/>
      </w:r>
      <w:r w:rsidR="001242FC">
        <w:rPr>
          <w:rFonts w:ascii="Arial" w:eastAsia="Times New Roman" w:hAnsi="Arial" w:cs="Arial"/>
          <w:bCs/>
          <w:position w:val="0"/>
          <w:sz w:val="20"/>
          <w:szCs w:val="20"/>
        </w:rPr>
        <w:instrText>ADDIN CSL_CITATION {"citationItems":[{"id":"ITEM-1","itemData":{"DOI":"10.1080/19386362.2020.1712532","ISSN":"19397879","abstract":"There are some ambiguities in understanding of the effect of non-plastic fine content (silt) on the liquefaction behaviour of sand in the literature. Reviewing the results of field and laboratory studies suggests that increasing the amount of non-plastic fine content in sand can lead to improvement or deterioration of liquefaction resistance. In this study, the effect of non-plastic silt on liquefaction resistance of Anzali sand is investigated using shaking table tests. According to the results, for the relative density of 30%, liquefaction resistance was found to be initially decreasing by increasing the silt content until the limiting fine content (LFC) as 15% and increasing thereafter. However, for the relative density of 60%, liquefaction resistance showed a continuously decreasing trend by increasing the silt content. Finally, comparison of the result through the limiting bounds of pore pressure obtained in this study with that of other researchers showed an appropriate consistency.","author":[{"dropping-particle":"","family":"Ghorbani","given":"Ali","non-dropping-particle":"","parse-names":false,"suffix":""},{"dropping-particle":"","family":"Eslami","given":"Amin","non-dropping-particle":"","parse-names":false,"suffix":""},{"dropping-particle":"","family":"Nezhad Moghadam","given":"Masoumeh","non-dropping-particle":"","parse-names":false,"suffix":""}],"container-title":"International Journal of Geotechnical Engineering","id":"ITEM-1","issue":"00","issued":{"date-parts":[["2020"]]},"page":"1-13","publisher":"Taylor &amp; Francis","title":"Effect of non-plastic silt on liquefaction susceptibility of marine sand by transparent laminar shear box in shaking table","type":"article-journal","volume":"00"},"uris":["http://www.mendeley.com/documents/?uuid=033445ee-b125-43c1-94b8-309ef51ece1b"]}],"mendeley":{"formattedCitation":"[10]","plainTextFormattedCitation":"[10]","previouslyFormattedCitation":"[10]"},"properties":{"noteIndex":0},"schema":"https://github.com/citation-style-language/schema/raw/master/csl-citation.json"}</w:instrText>
      </w:r>
      <w:r w:rsidR="00A73B35">
        <w:rPr>
          <w:rFonts w:ascii="Arial" w:eastAsia="Times New Roman" w:hAnsi="Arial" w:cs="Arial"/>
          <w:bCs/>
          <w:position w:val="0"/>
          <w:sz w:val="20"/>
          <w:szCs w:val="20"/>
        </w:rPr>
        <w:fldChar w:fldCharType="separate"/>
      </w:r>
      <w:r w:rsidR="00E63233" w:rsidRPr="00E63233">
        <w:rPr>
          <w:rFonts w:ascii="Arial" w:eastAsia="Times New Roman" w:hAnsi="Arial" w:cs="Arial"/>
          <w:bCs/>
          <w:noProof/>
          <w:position w:val="0"/>
          <w:sz w:val="20"/>
          <w:szCs w:val="20"/>
        </w:rPr>
        <w:t>[10]</w:t>
      </w:r>
      <w:r w:rsidR="00A73B35">
        <w:rPr>
          <w:rFonts w:ascii="Arial" w:eastAsia="Times New Roman" w:hAnsi="Arial" w:cs="Arial"/>
          <w:bCs/>
          <w:position w:val="0"/>
          <w:sz w:val="20"/>
          <w:szCs w:val="20"/>
        </w:rPr>
        <w:fldChar w:fldCharType="end"/>
      </w:r>
      <w:r w:rsidR="00A73B35">
        <w:rPr>
          <w:rFonts w:ascii="Arial" w:eastAsia="Times New Roman" w:hAnsi="Arial" w:cs="Arial"/>
          <w:bCs/>
          <w:position w:val="0"/>
          <w:sz w:val="20"/>
          <w:szCs w:val="20"/>
        </w:rPr>
        <w:fldChar w:fldCharType="begin" w:fldLock="1"/>
      </w:r>
      <w:r w:rsidR="001242FC">
        <w:rPr>
          <w:rFonts w:ascii="Arial" w:eastAsia="Times New Roman" w:hAnsi="Arial" w:cs="Arial"/>
          <w:bCs/>
          <w:position w:val="0"/>
          <w:sz w:val="20"/>
          <w:szCs w:val="20"/>
        </w:rPr>
        <w:instrText>ADDIN CSL_CITATION {"citationItems":[{"id":"ITEM-1","itemData":{"DOI":"10.1080/19648189.2021.1927195","ISSN":"19648189","abstract":"This paper presents a study of the influence of plastic and non-plastic fines on the resistance of sands to liquefaction. The study is carried out with the aid of a triaxial apparatus on reconstituted sand-fines mixtures at low fines content (≤ 5%). A description of the soils used in this study is first presented followed by the presentation of results of undrained monotonic liquefaction tests performed on sand specimens containing different fines fractions. Experimental results show that the increase in non-plastic fines content up to 5% increases the resistance of sand to liquefaction. Whereas the increase in plastic fines content reveals a decrease in the latter. This result is due to the contribution of the non-plastic fine particles to the overall chain forces and therefore they increase the resistance against liquefaction, however the decrease in the resistance with plastic fines could be attributed to their nature that lead to the sliding between the sand grains and therefore favour the contractancy of the whole specimen.","author":[{"dropping-particle":"","family":"Jradi","given":"Layal","non-dropping-particle":"","parse-names":false,"suffix":""},{"dropping-particle":"","family":"Dine","given":"Bassel Seif","non-dropping-particle":"El","parse-names":false,"suffix":""},{"dropping-particle":"","family":"Dupla","given":"Jean Claude","non-dropping-particle":"","parse-names":false,"suffix":""},{"dropping-particle":"","family":"Canou","given":"Jean","non-dropping-particle":"","parse-names":false,"suffix":""}],"container-title":"European Journal of Environmental and Civil Engineering","id":"ITEM-1","issue":"12","issued":{"date-parts":[["2022"]]},"page":"6012-6031","publisher":"Taylor &amp; Francis","title":"Influence of low fines content on the liquefaction resistance of sands","type":"article-journal","volume":"26"},"uris":["http://www.mendeley.com/documents/?uuid=e7416bdd-b6ef-4f6d-b2d4-6107ec7b6912"]}],"mendeley":{"formattedCitation":"[9]","plainTextFormattedCitation":"[9]","previouslyFormattedCitation":"[9]"},"properties":{"noteIndex":0},"schema":"https://github.com/citation-style-language/schema/raw/master/csl-citation.json"}</w:instrText>
      </w:r>
      <w:r w:rsidR="00A73B35">
        <w:rPr>
          <w:rFonts w:ascii="Arial" w:eastAsia="Times New Roman" w:hAnsi="Arial" w:cs="Arial"/>
          <w:bCs/>
          <w:position w:val="0"/>
          <w:sz w:val="20"/>
          <w:szCs w:val="20"/>
        </w:rPr>
        <w:fldChar w:fldCharType="separate"/>
      </w:r>
      <w:r w:rsidR="00E63233" w:rsidRPr="00E63233">
        <w:rPr>
          <w:rFonts w:ascii="Arial" w:eastAsia="Times New Roman" w:hAnsi="Arial" w:cs="Arial"/>
          <w:bCs/>
          <w:noProof/>
          <w:position w:val="0"/>
          <w:sz w:val="20"/>
          <w:szCs w:val="20"/>
        </w:rPr>
        <w:t>[9]</w:t>
      </w:r>
      <w:r w:rsidR="00A73B35">
        <w:rPr>
          <w:rFonts w:ascii="Arial" w:eastAsia="Times New Roman" w:hAnsi="Arial" w:cs="Arial"/>
          <w:bCs/>
          <w:position w:val="0"/>
          <w:sz w:val="20"/>
          <w:szCs w:val="20"/>
        </w:rPr>
        <w:fldChar w:fldCharType="end"/>
      </w:r>
      <w:r w:rsidR="00A73B35" w:rsidRPr="00A73B35">
        <w:rPr>
          <w:rFonts w:ascii="Arial" w:eastAsia="Times New Roman" w:hAnsi="Arial" w:cs="Arial"/>
          <w:bCs/>
          <w:position w:val="0"/>
          <w:sz w:val="20"/>
          <w:szCs w:val="20"/>
        </w:rPr>
        <w:t xml:space="preserve">. </w:t>
      </w:r>
      <w:r>
        <w:rPr>
          <w:rFonts w:ascii="Arial" w:eastAsia="Times New Roman" w:hAnsi="Arial" w:cs="Arial"/>
          <w:bCs/>
          <w:position w:val="0"/>
          <w:sz w:val="20"/>
          <w:szCs w:val="20"/>
        </w:rPr>
        <w:t xml:space="preserve">Additional hydraulic factors, </w:t>
      </w:r>
      <w:r w:rsidRPr="00076571">
        <w:rPr>
          <w:rFonts w:ascii="Arial" w:eastAsia="Times New Roman" w:hAnsi="Arial" w:cs="Arial"/>
          <w:bCs/>
          <w:position w:val="0"/>
          <w:sz w:val="20"/>
          <w:szCs w:val="20"/>
        </w:rPr>
        <w:t>su</w:t>
      </w:r>
      <w:r>
        <w:rPr>
          <w:rFonts w:ascii="Arial" w:eastAsia="Times New Roman" w:hAnsi="Arial" w:cs="Arial"/>
          <w:bCs/>
          <w:position w:val="0"/>
          <w:sz w:val="20"/>
          <w:szCs w:val="20"/>
        </w:rPr>
        <w:t xml:space="preserve">ch as partial saturation, pore </w:t>
      </w:r>
      <w:r w:rsidRPr="00076571">
        <w:rPr>
          <w:rFonts w:ascii="Arial" w:eastAsia="Times New Roman" w:hAnsi="Arial" w:cs="Arial"/>
          <w:bCs/>
          <w:position w:val="0"/>
          <w:sz w:val="20"/>
          <w:szCs w:val="20"/>
        </w:rPr>
        <w:t>fluid c</w:t>
      </w:r>
      <w:r>
        <w:rPr>
          <w:rFonts w:ascii="Arial" w:eastAsia="Times New Roman" w:hAnsi="Arial" w:cs="Arial"/>
          <w:bCs/>
          <w:position w:val="0"/>
          <w:sz w:val="20"/>
          <w:szCs w:val="20"/>
        </w:rPr>
        <w:t xml:space="preserve">ompressibility, and strain rate, </w:t>
      </w:r>
      <w:r w:rsidRPr="00076571">
        <w:rPr>
          <w:rFonts w:ascii="Arial" w:eastAsia="Times New Roman" w:hAnsi="Arial" w:cs="Arial"/>
          <w:bCs/>
          <w:position w:val="0"/>
          <w:sz w:val="20"/>
          <w:szCs w:val="20"/>
        </w:rPr>
        <w:t>have also been shown to influence t</w:t>
      </w:r>
      <w:r>
        <w:rPr>
          <w:rFonts w:ascii="Arial" w:eastAsia="Times New Roman" w:hAnsi="Arial" w:cs="Arial"/>
          <w:bCs/>
          <w:position w:val="0"/>
          <w:sz w:val="20"/>
          <w:szCs w:val="20"/>
        </w:rPr>
        <w:t>he intensity and timing of pore</w:t>
      </w:r>
      <w:r w:rsidR="003303C8">
        <w:rPr>
          <w:rFonts w:ascii="Arial" w:eastAsia="Times New Roman" w:hAnsi="Arial" w:cs="Arial"/>
          <w:bCs/>
          <w:position w:val="0"/>
          <w:sz w:val="20"/>
          <w:szCs w:val="20"/>
        </w:rPr>
        <w:t>-</w:t>
      </w:r>
      <w:r w:rsidRPr="00076571">
        <w:rPr>
          <w:rFonts w:ascii="Arial" w:eastAsia="Times New Roman" w:hAnsi="Arial" w:cs="Arial"/>
          <w:bCs/>
          <w:position w:val="0"/>
          <w:sz w:val="20"/>
          <w:szCs w:val="20"/>
        </w:rPr>
        <w:t>pressure generation, particularly at small strains</w:t>
      </w:r>
      <w:r>
        <w:rPr>
          <w:rFonts w:ascii="Arial" w:eastAsia="Times New Roman" w:hAnsi="Arial" w:cs="Arial"/>
          <w:bCs/>
          <w:position w:val="0"/>
          <w:sz w:val="20"/>
          <w:szCs w:val="20"/>
        </w:rPr>
        <w:t xml:space="preserve"> </w:t>
      </w:r>
      <w:r w:rsidR="00A73B35">
        <w:rPr>
          <w:rFonts w:ascii="Arial" w:eastAsia="Times New Roman" w:hAnsi="Arial" w:cs="Arial"/>
          <w:bCs/>
          <w:position w:val="0"/>
          <w:sz w:val="20"/>
          <w:szCs w:val="20"/>
        </w:rPr>
        <w:fldChar w:fldCharType="begin" w:fldLock="1"/>
      </w:r>
      <w:r w:rsidR="005052C4">
        <w:rPr>
          <w:rFonts w:ascii="Arial" w:eastAsia="Times New Roman" w:hAnsi="Arial" w:cs="Arial"/>
          <w:bCs/>
          <w:position w:val="0"/>
          <w:sz w:val="20"/>
          <w:szCs w:val="20"/>
        </w:rPr>
        <w:instrText>ADDIN CSL_CITATION {"citationItems":[{"id":"ITEM-1","itemData":{"DOI":"10.1016/j.enggeo.2025.108042","ISSN":"00137952","abstract":"Landslides commonly evolve from slow, progressive movements to sudden catastrophic failures, with saturation and displacement rates playing significant roles in this transition. In this paper, we investigate the influence of saturation, displacement rate, and normal stress on the residual shear strength and creep behaviour of shear-zone soils from a reactivated slow-moving landslide in the Three Gorges Reservoir Region, China. Results reveal a critical transition from rate-strengthening to rate-weakening behaviour with increasing displacement rates, significantly influenced by the degree of saturation. This transition governs the observed patterns of slow movement punctuated by periods of accelerated creep, highlighting the potential for exceeding critical displacement rates to trigger catastrophic failure. Furthermore, partially saturated soils exhibited higher residual strength and greater resistance to creep failure compared to nearly and fully saturated soils, underscoring the contribution of matric suction to shear strength.","author":[{"dropping-particle":"","family":"Cueva","given":"Miguel","non-dropping-particle":"","parse-names":false,"suffix":""},{"dropping-particle":"","family":"Kang","given":"Xuan","non-dropping-particle":"","parse-names":false,"suffix":""},{"dropping-particle":"","family":"Wang","given":"Shun","non-dropping-particle":"","parse-names":false,"suffix":""},{"dropping-particle":"","family":"Soranzo","given":"Enrico","non-dropping-particle":"","parse-names":false,"suffix":""},{"dropping-particle":"","family":"Wu","given":"Wei","non-dropping-particle":"","parse-names":false,"suffix":""}],"container-title":"Engineering Geology","id":"ITEM-1","issue":"April","issued":{"date-parts":[["2025"]]},"page":"108042","publisher":"Elsevier B.V.","title":"Unveiling the role of saturation and displacement rate in the transition from slow movement to catastrophic failure in landslides","type":"article-journal","volume":"352"},"uris":["http://www.mendeley.com/documents/?uuid=fc274c6b-f480-420a-83b7-4fa2ef6a1613"]}],"mendeley":{"formattedCitation":"[30]","plainTextFormattedCitation":"[30]","previouslyFormattedCitation":"[31]"},"properties":{"noteIndex":0},"schema":"https://github.com/citation-style-language/schema/raw/master/csl-citation.json"}</w:instrText>
      </w:r>
      <w:r w:rsidR="00A73B35">
        <w:rPr>
          <w:rFonts w:ascii="Arial" w:eastAsia="Times New Roman" w:hAnsi="Arial" w:cs="Arial"/>
          <w:bCs/>
          <w:position w:val="0"/>
          <w:sz w:val="20"/>
          <w:szCs w:val="20"/>
        </w:rPr>
        <w:fldChar w:fldCharType="separate"/>
      </w:r>
      <w:r w:rsidR="005052C4" w:rsidRPr="005052C4">
        <w:rPr>
          <w:rFonts w:ascii="Arial" w:eastAsia="Times New Roman" w:hAnsi="Arial" w:cs="Arial"/>
          <w:bCs/>
          <w:noProof/>
          <w:position w:val="0"/>
          <w:sz w:val="20"/>
          <w:szCs w:val="20"/>
        </w:rPr>
        <w:t>[30]</w:t>
      </w:r>
      <w:r w:rsidR="00A73B35">
        <w:rPr>
          <w:rFonts w:ascii="Arial" w:eastAsia="Times New Roman" w:hAnsi="Arial" w:cs="Arial"/>
          <w:bCs/>
          <w:position w:val="0"/>
          <w:sz w:val="20"/>
          <w:szCs w:val="20"/>
        </w:rPr>
        <w:fldChar w:fldCharType="end"/>
      </w:r>
      <w:r w:rsidR="00A73B35">
        <w:rPr>
          <w:rFonts w:ascii="Arial" w:eastAsia="Times New Roman" w:hAnsi="Arial" w:cs="Arial"/>
          <w:bCs/>
          <w:position w:val="0"/>
          <w:sz w:val="20"/>
          <w:szCs w:val="20"/>
        </w:rPr>
        <w:t xml:space="preserve">. </w:t>
      </w:r>
      <w:r w:rsidRPr="00076571">
        <w:rPr>
          <w:rFonts w:ascii="Arial" w:eastAsia="Times New Roman" w:hAnsi="Arial" w:cs="Arial"/>
          <w:bCs/>
          <w:position w:val="0"/>
          <w:sz w:val="20"/>
          <w:szCs w:val="20"/>
        </w:rPr>
        <w:t xml:space="preserve">The minor differences observed in </w:t>
      </w:r>
      <m:oMath>
        <m:r>
          <w:rPr>
            <w:rFonts w:ascii="Cambria Math" w:eastAsia="Times New Roman" w:hAnsi="Cambria Math" w:cs="Arial"/>
            <w:position w:val="0"/>
            <w:sz w:val="20"/>
            <w:szCs w:val="20"/>
          </w:rPr>
          <m:t>Δu</m:t>
        </m:r>
      </m:oMath>
      <w:r w:rsidRPr="00076571">
        <w:rPr>
          <w:rFonts w:ascii="Arial" w:eastAsia="Times New Roman" w:hAnsi="Arial" w:cs="Arial"/>
          <w:bCs/>
          <w:position w:val="0"/>
          <w:sz w:val="20"/>
          <w:szCs w:val="20"/>
        </w:rPr>
        <w:t xml:space="preserve"> between the two fines-content groups are therefore attributable to a combination of microstructural and hydraulic effects.</w:t>
      </w:r>
    </w:p>
    <w:p w14:paraId="01FF8A26" w14:textId="77777777" w:rsidR="00715506" w:rsidRDefault="00715506" w:rsidP="000F7670">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sectPr w:rsidR="00715506" w:rsidSect="00FD660B">
          <w:type w:val="continuous"/>
          <w:pgSz w:w="11907" w:h="16840"/>
          <w:pgMar w:top="1701" w:right="1134" w:bottom="1701" w:left="1701" w:header="680" w:footer="680" w:gutter="0"/>
          <w:cols w:num="2" w:space="720" w:equalWidth="0">
            <w:col w:w="4394" w:space="284"/>
            <w:col w:w="4394" w:space="0"/>
          </w:cols>
          <w:titlePg/>
        </w:sectPr>
      </w:pPr>
    </w:p>
    <w:p w14:paraId="43637C31" w14:textId="77777777" w:rsidR="00715506" w:rsidRDefault="00715506" w:rsidP="000F7670">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sectPr w:rsidR="00715506" w:rsidSect="00715506">
          <w:type w:val="continuous"/>
          <w:pgSz w:w="11907" w:h="16840"/>
          <w:pgMar w:top="1701" w:right="1134" w:bottom="1701" w:left="1701" w:header="680" w:footer="680" w:gutter="0"/>
          <w:cols w:space="284"/>
          <w:titlePg/>
        </w:sectPr>
      </w:pPr>
    </w:p>
    <w:p w14:paraId="5AA039F8" w14:textId="77777777" w:rsidR="003058DD" w:rsidRDefault="004B1001" w:rsidP="003058DD">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
          <w:bCs/>
          <w:position w:val="0"/>
          <w:sz w:val="20"/>
          <w:szCs w:val="20"/>
        </w:rPr>
      </w:pPr>
      <w:r w:rsidRPr="004B1001">
        <w:rPr>
          <w:rFonts w:ascii="Arial" w:eastAsia="Times New Roman" w:hAnsi="Arial" w:cs="Arial"/>
          <w:b/>
          <w:bCs/>
          <w:noProof/>
          <w:position w:val="0"/>
          <w:sz w:val="20"/>
          <w:szCs w:val="20"/>
        </w:rPr>
        <w:drawing>
          <wp:inline distT="0" distB="0" distL="0" distR="0" wp14:anchorId="0BC09E19" wp14:editId="777DE0CC">
            <wp:extent cx="5201920" cy="312480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8" t="11650" r="5953" b="11725"/>
                    <a:stretch/>
                  </pic:blipFill>
                  <pic:spPr bwMode="auto">
                    <a:xfrm>
                      <a:off x="0" y="0"/>
                      <a:ext cx="5217230" cy="3134005"/>
                    </a:xfrm>
                    <a:prstGeom prst="rect">
                      <a:avLst/>
                    </a:prstGeom>
                    <a:noFill/>
                    <a:ln>
                      <a:noFill/>
                    </a:ln>
                    <a:extLst>
                      <a:ext uri="{53640926-AAD7-44D8-BBD7-CCE9431645EC}">
                        <a14:shadowObscured xmlns:a14="http://schemas.microsoft.com/office/drawing/2010/main"/>
                      </a:ext>
                    </a:extLst>
                  </pic:spPr>
                </pic:pic>
              </a:graphicData>
            </a:graphic>
          </wp:inline>
        </w:drawing>
      </w:r>
    </w:p>
    <w:p w14:paraId="4FDCCB97" w14:textId="77777777" w:rsidR="003C750B" w:rsidRPr="0090681E" w:rsidRDefault="004D1282" w:rsidP="003058DD">
      <w:pPr>
        <w:suppressAutoHyphens w:val="0"/>
        <w:spacing w:after="0" w:line="240" w:lineRule="auto"/>
        <w:ind w:leftChars="0" w:left="0" w:firstLineChars="0" w:firstLine="0"/>
        <w:jc w:val="center"/>
        <w:textDirection w:val="lrTb"/>
        <w:textAlignment w:val="auto"/>
        <w:outlineLvl w:val="9"/>
        <w:rPr>
          <w:rFonts w:ascii="Arial" w:eastAsia="Times New Roman" w:hAnsi="Arial" w:cs="Arial"/>
          <w:bCs/>
          <w:position w:val="0"/>
          <w:sz w:val="20"/>
          <w:szCs w:val="20"/>
        </w:rPr>
      </w:pPr>
      <w:r w:rsidRPr="004D1282">
        <w:rPr>
          <w:rFonts w:ascii="Arial" w:eastAsia="Times New Roman" w:hAnsi="Arial" w:cs="Arial"/>
          <w:b/>
          <w:bCs/>
          <w:position w:val="0"/>
          <w:sz w:val="20"/>
          <w:szCs w:val="20"/>
        </w:rPr>
        <w:t>Figure 6.</w:t>
      </w:r>
      <w:r w:rsidRPr="004D1282">
        <w:rPr>
          <w:rFonts w:ascii="Arial" w:eastAsia="Times New Roman" w:hAnsi="Arial" w:cs="Arial"/>
          <w:bCs/>
          <w:position w:val="0"/>
          <w:sz w:val="20"/>
          <w:szCs w:val="20"/>
        </w:rPr>
        <w:t xml:space="preserve"> </w:t>
      </w:r>
      <w:r w:rsidRPr="0090681E">
        <w:rPr>
          <w:rFonts w:ascii="Arial" w:eastAsia="Times New Roman" w:hAnsi="Arial" w:cs="Arial"/>
          <w:bCs/>
          <w:position w:val="0"/>
          <w:sz w:val="20"/>
          <w:szCs w:val="20"/>
        </w:rPr>
        <w:t>Excess pore water pressure</w:t>
      </w:r>
      <w:r w:rsidR="00D41FB0" w:rsidRPr="0090681E">
        <w:rPr>
          <w:rFonts w:ascii="Arial" w:eastAsia="Times New Roman" w:hAnsi="Arial" w:cs="Arial"/>
          <w:bCs/>
          <w:position w:val="0"/>
          <w:sz w:val="20"/>
          <w:szCs w:val="20"/>
        </w:rPr>
        <w:t>-</w:t>
      </w:r>
      <w:r w:rsidRPr="0090681E">
        <w:rPr>
          <w:rFonts w:ascii="Arial" w:eastAsia="Times New Roman" w:hAnsi="Arial" w:cs="Arial"/>
          <w:bCs/>
          <w:position w:val="0"/>
          <w:sz w:val="20"/>
          <w:szCs w:val="20"/>
        </w:rPr>
        <w:t xml:space="preserve">strain </w:t>
      </w:r>
      <m:oMath>
        <m:r>
          <w:rPr>
            <w:rFonts w:ascii="Cambria Math" w:eastAsia="Times New Roman" w:hAnsi="Cambria Math" w:cs="Arial"/>
            <w:position w:val="0"/>
            <w:sz w:val="20"/>
            <w:szCs w:val="20"/>
          </w:rPr>
          <m:t>(Δu-ε)</m:t>
        </m:r>
      </m:oMath>
      <w:r w:rsidRPr="0090681E">
        <w:rPr>
          <w:rFonts w:ascii="Arial" w:eastAsia="Times New Roman" w:hAnsi="Arial" w:cs="Arial"/>
          <w:bCs/>
          <w:position w:val="0"/>
          <w:sz w:val="20"/>
          <w:szCs w:val="20"/>
        </w:rPr>
        <w:t xml:space="preserve"> curves of Petobo sand at different fines contents and initial mean effective stresses</w:t>
      </w:r>
    </w:p>
    <w:p w14:paraId="647B3A4B" w14:textId="77777777" w:rsidR="00890848" w:rsidRDefault="00890848" w:rsidP="00B96C4D">
      <w:pPr>
        <w:suppressAutoHyphens w:val="0"/>
        <w:spacing w:after="120"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pPr>
    </w:p>
    <w:p w14:paraId="6678324D" w14:textId="77777777" w:rsidR="003058DD" w:rsidRDefault="003058DD" w:rsidP="00B96C4D">
      <w:pPr>
        <w:suppressAutoHyphens w:val="0"/>
        <w:spacing w:after="120"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sectPr w:rsidR="003058DD" w:rsidSect="00890848">
          <w:type w:val="continuous"/>
          <w:pgSz w:w="11907" w:h="16840"/>
          <w:pgMar w:top="1701" w:right="1134" w:bottom="1701" w:left="1701" w:header="680" w:footer="680" w:gutter="0"/>
          <w:cols w:space="720"/>
          <w:titlePg/>
        </w:sectPr>
      </w:pPr>
    </w:p>
    <w:p w14:paraId="2C2E92C2" w14:textId="77777777" w:rsidR="00B96C4D" w:rsidRDefault="00B96C4D" w:rsidP="003058DD">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pPr>
      <w:r>
        <w:rPr>
          <w:rFonts w:ascii="Arial" w:eastAsia="Times New Roman" w:hAnsi="Arial" w:cs="Arial"/>
          <w:b/>
          <w:bCs/>
          <w:position w:val="0"/>
          <w:sz w:val="20"/>
          <w:szCs w:val="20"/>
        </w:rPr>
        <w:t>Critical State Line (CSL)</w:t>
      </w:r>
    </w:p>
    <w:p w14:paraId="11C0EDB4" w14:textId="77777777" w:rsidR="00D41FB0" w:rsidRPr="006C7FFE" w:rsidRDefault="00696D34" w:rsidP="003058DD">
      <w:pPr>
        <w:suppressAutoHyphens w:val="0"/>
        <w:spacing w:before="60" w:after="60" w:line="240" w:lineRule="auto"/>
        <w:ind w:leftChars="0" w:left="0" w:firstLineChars="0" w:hanging="2"/>
        <w:jc w:val="both"/>
        <w:textDirection w:val="lrTb"/>
        <w:textAlignment w:val="auto"/>
        <w:outlineLvl w:val="9"/>
        <w:rPr>
          <w:rFonts w:ascii="Arial" w:eastAsia="Times New Roman" w:hAnsi="Arial" w:cs="Arial"/>
          <w:color w:val="000000" w:themeColor="text1"/>
          <w:position w:val="0"/>
          <w:sz w:val="20"/>
          <w:szCs w:val="20"/>
        </w:rPr>
      </w:pPr>
      <w:r w:rsidRPr="006C7FFE">
        <w:rPr>
          <w:rFonts w:ascii="Arial" w:eastAsia="Times New Roman" w:hAnsi="Arial" w:cs="Arial"/>
          <w:color w:val="000000" w:themeColor="text1"/>
          <w:position w:val="0"/>
          <w:sz w:val="20"/>
          <w:szCs w:val="20"/>
        </w:rPr>
        <w:t xml:space="preserve">The Critical State Line (CSL) defines the condition at which soil continues to deform at constant shear stress, effective mean stress, and volume. Within the framework of Critical State Soil Mechanics (CSSM), the slope of the line in </w:t>
      </w:r>
      <m:oMath>
        <m:r>
          <w:rPr>
            <w:rFonts w:ascii="Cambria Math" w:eastAsia="Times New Roman" w:hAnsi="Cambria Math" w:cs="Arial"/>
            <w:color w:val="000000" w:themeColor="text1"/>
            <w:position w:val="0"/>
            <w:sz w:val="20"/>
            <w:szCs w:val="20"/>
          </w:rPr>
          <m:t>p'-q</m:t>
        </m:r>
      </m:oMath>
      <w:r w:rsidRPr="006C7FFE">
        <w:rPr>
          <w:rFonts w:ascii="Arial" w:eastAsia="Times New Roman" w:hAnsi="Arial" w:cs="Arial"/>
          <w:color w:val="000000" w:themeColor="text1"/>
          <w:position w:val="0"/>
          <w:sz w:val="20"/>
          <w:szCs w:val="20"/>
        </w:rPr>
        <w:t xml:space="preserve"> space (</w:t>
      </w:r>
      <m:oMath>
        <m:r>
          <w:rPr>
            <w:rFonts w:ascii="Cambria Math" w:eastAsia="Times New Roman" w:hAnsi="Cambria Math" w:cs="Arial"/>
            <w:color w:val="000000" w:themeColor="text1"/>
            <w:position w:val="0"/>
            <w:sz w:val="20"/>
            <w:szCs w:val="20"/>
          </w:rPr>
          <m:t>M = q/p'</m:t>
        </m:r>
      </m:oMath>
      <w:r w:rsidRPr="006C7FFE">
        <w:rPr>
          <w:rFonts w:ascii="Arial" w:eastAsia="Times New Roman" w:hAnsi="Arial" w:cs="Arial"/>
          <w:color w:val="000000" w:themeColor="text1"/>
          <w:position w:val="0"/>
          <w:sz w:val="20"/>
          <w:szCs w:val="20"/>
        </w:rPr>
        <w:t>) represents the critical</w:t>
      </w:r>
      <w:r w:rsidR="00D311AA">
        <w:rPr>
          <w:rFonts w:ascii="Arial" w:eastAsia="Times New Roman" w:hAnsi="Arial" w:cs="Arial"/>
          <w:color w:val="000000" w:themeColor="text1"/>
          <w:position w:val="0"/>
          <w:sz w:val="20"/>
          <w:szCs w:val="20"/>
        </w:rPr>
        <w:t>-</w:t>
      </w:r>
      <w:r w:rsidRPr="006C7FFE">
        <w:rPr>
          <w:rFonts w:ascii="Arial" w:eastAsia="Times New Roman" w:hAnsi="Arial" w:cs="Arial"/>
          <w:color w:val="000000" w:themeColor="text1"/>
          <w:position w:val="0"/>
          <w:sz w:val="20"/>
          <w:szCs w:val="20"/>
        </w:rPr>
        <w:t>state stress ratio</w:t>
      </w:r>
      <w:r w:rsidR="00D41FB0" w:rsidRPr="006C7FFE">
        <w:rPr>
          <w:color w:val="000000" w:themeColor="text1"/>
        </w:rPr>
        <w:t xml:space="preserve"> </w:t>
      </w:r>
      <w:r w:rsidR="00D41FB0" w:rsidRPr="006C7FFE">
        <w:rPr>
          <w:rFonts w:ascii="Arial" w:eastAsia="Times New Roman" w:hAnsi="Arial" w:cs="Arial"/>
          <w:color w:val="000000" w:themeColor="text1"/>
          <w:position w:val="0"/>
          <w:sz w:val="20"/>
          <w:szCs w:val="20"/>
        </w:rPr>
        <w:t>and provides a quantitative index of the soil’s steady-state shear strength.</w:t>
      </w:r>
    </w:p>
    <w:p w14:paraId="316BC1F9" w14:textId="77777777" w:rsidR="00715506" w:rsidRDefault="00D311AA" w:rsidP="003058DD">
      <w:pPr>
        <w:suppressAutoHyphens w:val="0"/>
        <w:spacing w:before="60" w:after="60" w:line="240" w:lineRule="auto"/>
        <w:ind w:leftChars="0" w:left="0" w:firstLineChars="0" w:hanging="2"/>
        <w:jc w:val="both"/>
        <w:textDirection w:val="lrTb"/>
        <w:textAlignment w:val="auto"/>
        <w:outlineLvl w:val="9"/>
        <w:rPr>
          <w:rFonts w:ascii="Arial" w:eastAsia="Times New Roman" w:hAnsi="Arial" w:cs="Arial"/>
          <w:color w:val="000000" w:themeColor="text1"/>
          <w:position w:val="0"/>
          <w:sz w:val="20"/>
          <w:szCs w:val="20"/>
        </w:rPr>
      </w:pPr>
      <w:r w:rsidRPr="00D311AA">
        <w:rPr>
          <w:rFonts w:ascii="Arial" w:eastAsia="Times New Roman" w:hAnsi="Arial" w:cs="Arial"/>
          <w:color w:val="000000" w:themeColor="text1"/>
          <w:position w:val="0"/>
          <w:sz w:val="20"/>
          <w:szCs w:val="20"/>
        </w:rPr>
        <w:t>In this study, the CSL was derived from monotonic CU triaxial tests on reconstituted Petobo silty sand. The steady-state portion of each effective stress path was identified at large strains (</w:t>
      </w:r>
      <w:r w:rsidR="002D13B1">
        <w:rPr>
          <w:rFonts w:ascii="Arial" w:eastAsia="Times New Roman" w:hAnsi="Arial" w:cs="Arial"/>
          <w:color w:val="000000" w:themeColor="text1"/>
          <w:position w:val="0"/>
          <w:sz w:val="20"/>
          <w:szCs w:val="20"/>
        </w:rPr>
        <w:t>=</w:t>
      </w:r>
      <w:r w:rsidRPr="00D311AA">
        <w:rPr>
          <w:rFonts w:ascii="Arial" w:eastAsia="Times New Roman" w:hAnsi="Arial" w:cs="Arial"/>
          <w:color w:val="000000" w:themeColor="text1"/>
          <w:position w:val="0"/>
          <w:sz w:val="20"/>
          <w:szCs w:val="20"/>
        </w:rPr>
        <w:t>15</w:t>
      </w:r>
      <w:r w:rsidR="002D13B1">
        <w:rPr>
          <w:rFonts w:ascii="Arial" w:eastAsia="Times New Roman" w:hAnsi="Arial" w:cs="Arial"/>
          <w:color w:val="000000" w:themeColor="text1"/>
          <w:position w:val="0"/>
          <w:sz w:val="20"/>
          <w:szCs w:val="20"/>
        </w:rPr>
        <w:t>-</w:t>
      </w:r>
      <w:r w:rsidRPr="00D311AA">
        <w:rPr>
          <w:rFonts w:ascii="Arial" w:eastAsia="Times New Roman" w:hAnsi="Arial" w:cs="Arial"/>
          <w:color w:val="000000" w:themeColor="text1"/>
          <w:position w:val="0"/>
          <w:sz w:val="20"/>
          <w:szCs w:val="20"/>
        </w:rPr>
        <w:t>20%), where both deviator stress</w:t>
      </w:r>
      <w:r>
        <w:rPr>
          <w:rFonts w:ascii="Arial" w:eastAsia="Times New Roman" w:hAnsi="Arial" w:cs="Arial"/>
          <w:color w:val="000000" w:themeColor="text1"/>
          <w:position w:val="0"/>
          <w:sz w:val="20"/>
          <w:szCs w:val="20"/>
        </w:rPr>
        <w:t xml:space="preserve"> </w:t>
      </w:r>
      <m:oMath>
        <m:r>
          <w:rPr>
            <w:rFonts w:ascii="Cambria Math" w:eastAsia="Times New Roman" w:hAnsi="Cambria Math" w:cs="Arial"/>
            <w:color w:val="000000" w:themeColor="text1"/>
            <w:position w:val="0"/>
            <w:sz w:val="20"/>
            <w:szCs w:val="20"/>
          </w:rPr>
          <m:t>(q)</m:t>
        </m:r>
      </m:oMath>
      <w:r w:rsidR="00696D34" w:rsidRPr="006C7FFE">
        <w:rPr>
          <w:rFonts w:ascii="Arial" w:eastAsia="Times New Roman" w:hAnsi="Arial" w:cs="Arial"/>
          <w:color w:val="000000" w:themeColor="text1"/>
          <w:position w:val="0"/>
          <w:sz w:val="20"/>
          <w:szCs w:val="20"/>
        </w:rPr>
        <w:t xml:space="preserve"> and mean effective stress </w:t>
      </w:r>
      <m:oMath>
        <m:r>
          <w:rPr>
            <w:rFonts w:ascii="Cambria Math" w:eastAsia="Times New Roman" w:hAnsi="Cambria Math" w:cs="Arial"/>
            <w:color w:val="000000" w:themeColor="text1"/>
            <w:position w:val="0"/>
            <w:sz w:val="20"/>
            <w:szCs w:val="20"/>
          </w:rPr>
          <m:t>(p')</m:t>
        </m:r>
      </m:oMath>
      <w:r w:rsidR="00696D34" w:rsidRPr="006C7FFE">
        <w:rPr>
          <w:rFonts w:ascii="Arial" w:eastAsia="Times New Roman" w:hAnsi="Arial" w:cs="Arial"/>
          <w:color w:val="000000" w:themeColor="text1"/>
          <w:position w:val="0"/>
          <w:sz w:val="20"/>
          <w:szCs w:val="20"/>
        </w:rPr>
        <w:t xml:space="preserve"> </w:t>
      </w:r>
      <w:r w:rsidR="00D41FB0" w:rsidRPr="006C7FFE">
        <w:rPr>
          <w:rFonts w:ascii="Arial" w:eastAsia="Times New Roman" w:hAnsi="Arial" w:cs="Arial"/>
          <w:color w:val="000000" w:themeColor="text1"/>
          <w:position w:val="0"/>
          <w:sz w:val="20"/>
          <w:szCs w:val="20"/>
        </w:rPr>
        <w:t xml:space="preserve">approached nearly constant values. The corresponding stress ratio </w:t>
      </w:r>
      <m:oMath>
        <m:r>
          <w:rPr>
            <w:rFonts w:ascii="Cambria Math" w:eastAsia="Times New Roman" w:hAnsi="Cambria Math" w:cs="Arial"/>
            <w:color w:val="000000" w:themeColor="text1"/>
            <w:position w:val="0"/>
            <w:sz w:val="20"/>
            <w:szCs w:val="20"/>
          </w:rPr>
          <m:t>M = q/p'</m:t>
        </m:r>
      </m:oMath>
      <w:r w:rsidR="00696D34" w:rsidRPr="006C7FFE">
        <w:rPr>
          <w:rFonts w:ascii="Arial" w:eastAsia="Times New Roman" w:hAnsi="Arial" w:cs="Arial"/>
          <w:color w:val="000000" w:themeColor="text1"/>
          <w:position w:val="0"/>
          <w:sz w:val="20"/>
          <w:szCs w:val="20"/>
        </w:rPr>
        <w:t xml:space="preserve"> </w:t>
      </w:r>
      <w:r w:rsidRPr="00D311AA">
        <w:rPr>
          <w:rFonts w:ascii="Arial" w:eastAsia="Times New Roman" w:hAnsi="Arial" w:cs="Arial"/>
          <w:color w:val="000000" w:themeColor="text1"/>
          <w:position w:val="0"/>
          <w:sz w:val="20"/>
          <w:szCs w:val="20"/>
        </w:rPr>
        <w:t>was calculated to determine the critical-state stress ratio for each specimen.</w:t>
      </w:r>
      <w:r w:rsidR="00715506">
        <w:rPr>
          <w:rFonts w:ascii="Arial" w:eastAsia="Times New Roman" w:hAnsi="Arial" w:cs="Arial"/>
          <w:color w:val="000000" w:themeColor="text1"/>
          <w:position w:val="0"/>
          <w:sz w:val="20"/>
          <w:szCs w:val="20"/>
        </w:rPr>
        <w:t xml:space="preserve"> </w:t>
      </w:r>
    </w:p>
    <w:p w14:paraId="0DFD2E0C" w14:textId="77777777" w:rsidR="00D311AA" w:rsidRDefault="005F2932" w:rsidP="003058DD">
      <w:pPr>
        <w:suppressAutoHyphens w:val="0"/>
        <w:spacing w:before="60" w:after="60" w:line="240" w:lineRule="auto"/>
        <w:ind w:leftChars="0" w:left="0" w:firstLineChars="0" w:hanging="2"/>
        <w:jc w:val="both"/>
        <w:textDirection w:val="lrTb"/>
        <w:textAlignment w:val="auto"/>
        <w:outlineLvl w:val="9"/>
        <w:rPr>
          <w:rFonts w:ascii="Arial" w:eastAsia="Times New Roman" w:hAnsi="Arial" w:cs="Arial"/>
          <w:color w:val="000000" w:themeColor="text1"/>
          <w:position w:val="0"/>
          <w:sz w:val="20"/>
          <w:szCs w:val="20"/>
        </w:rPr>
      </w:pPr>
      <w:r w:rsidRPr="005F2932">
        <w:rPr>
          <w:rFonts w:ascii="Arial" w:eastAsia="Times New Roman" w:hAnsi="Arial" w:cs="Arial"/>
          <w:color w:val="000000" w:themeColor="text1"/>
          <w:position w:val="0"/>
          <w:sz w:val="20"/>
          <w:szCs w:val="20"/>
        </w:rPr>
        <w:t xml:space="preserve">The computed M-values were consistent </w:t>
      </w:r>
      <w:r>
        <w:rPr>
          <w:rFonts w:ascii="Arial" w:eastAsia="Times New Roman" w:hAnsi="Arial" w:cs="Arial"/>
          <w:color w:val="000000" w:themeColor="text1"/>
          <w:position w:val="0"/>
          <w:sz w:val="20"/>
          <w:szCs w:val="20"/>
        </w:rPr>
        <w:t xml:space="preserve">within each fines-content group, </w:t>
      </w:r>
      <w:r w:rsidR="00D311AA" w:rsidRPr="00D311AA">
        <w:rPr>
          <w:rFonts w:ascii="Arial" w:eastAsia="Times New Roman" w:hAnsi="Arial" w:cs="Arial"/>
          <w:color w:val="000000" w:themeColor="text1"/>
          <w:position w:val="0"/>
          <w:sz w:val="20"/>
          <w:szCs w:val="20"/>
        </w:rPr>
        <w:t>averaging about</w:t>
      </w:r>
      <w:r w:rsidRPr="005F2932">
        <w:rPr>
          <w:rFonts w:ascii="Arial" w:eastAsia="Times New Roman" w:hAnsi="Arial" w:cs="Arial"/>
          <w:color w:val="000000" w:themeColor="text1"/>
          <w:position w:val="0"/>
          <w:sz w:val="20"/>
          <w:szCs w:val="20"/>
        </w:rPr>
        <w:t xml:space="preserve"> </w:t>
      </w:r>
      <w:r w:rsidR="00D311AA" w:rsidRPr="00D311AA">
        <w:rPr>
          <w:rFonts w:ascii="Arial" w:eastAsia="Times New Roman" w:hAnsi="Arial" w:cs="Arial"/>
          <w:color w:val="000000" w:themeColor="text1"/>
          <w:position w:val="0"/>
          <w:sz w:val="20"/>
          <w:szCs w:val="20"/>
        </w:rPr>
        <w:t>1.</w:t>
      </w:r>
      <w:r w:rsidR="00137C2F">
        <w:rPr>
          <w:rFonts w:ascii="Arial" w:eastAsia="Times New Roman" w:hAnsi="Arial" w:cs="Arial"/>
          <w:color w:val="000000" w:themeColor="text1"/>
          <w:position w:val="0"/>
          <w:sz w:val="20"/>
          <w:szCs w:val="20"/>
        </w:rPr>
        <w:t>312</w:t>
      </w:r>
      <w:r w:rsidR="00D311AA" w:rsidRPr="00D311AA">
        <w:rPr>
          <w:rFonts w:ascii="Arial" w:eastAsia="Times New Roman" w:hAnsi="Arial" w:cs="Arial"/>
          <w:color w:val="000000" w:themeColor="text1"/>
          <w:position w:val="0"/>
          <w:sz w:val="20"/>
          <w:szCs w:val="20"/>
        </w:rPr>
        <w:t xml:space="preserve"> for FC = 9% and 1.3</w:t>
      </w:r>
      <w:r w:rsidR="00137C2F">
        <w:rPr>
          <w:rFonts w:ascii="Arial" w:eastAsia="Times New Roman" w:hAnsi="Arial" w:cs="Arial"/>
          <w:color w:val="000000" w:themeColor="text1"/>
          <w:position w:val="0"/>
          <w:sz w:val="20"/>
          <w:szCs w:val="20"/>
        </w:rPr>
        <w:t>55</w:t>
      </w:r>
      <w:r w:rsidR="00D311AA" w:rsidRPr="00D311AA">
        <w:rPr>
          <w:rFonts w:ascii="Arial" w:eastAsia="Times New Roman" w:hAnsi="Arial" w:cs="Arial"/>
          <w:color w:val="000000" w:themeColor="text1"/>
          <w:position w:val="0"/>
          <w:sz w:val="20"/>
          <w:szCs w:val="20"/>
        </w:rPr>
        <w:t xml:space="preserve"> for FC = 26.4%</w:t>
      </w:r>
      <w:r w:rsidRPr="005F2932">
        <w:rPr>
          <w:rFonts w:ascii="Arial" w:eastAsia="Times New Roman" w:hAnsi="Arial" w:cs="Arial"/>
          <w:color w:val="000000" w:themeColor="text1"/>
          <w:position w:val="0"/>
          <w:sz w:val="20"/>
          <w:szCs w:val="20"/>
        </w:rPr>
        <w:t>. Although recen</w:t>
      </w:r>
      <w:r w:rsidR="00783DFC">
        <w:rPr>
          <w:rFonts w:ascii="Arial" w:eastAsia="Times New Roman" w:hAnsi="Arial" w:cs="Arial"/>
          <w:color w:val="000000" w:themeColor="text1"/>
          <w:position w:val="0"/>
          <w:sz w:val="20"/>
          <w:szCs w:val="20"/>
        </w:rPr>
        <w:t xml:space="preserve">t studies on silty and volcanic </w:t>
      </w:r>
      <w:r w:rsidRPr="005F2932">
        <w:rPr>
          <w:rFonts w:ascii="Arial" w:eastAsia="Times New Roman" w:hAnsi="Arial" w:cs="Arial"/>
          <w:color w:val="000000" w:themeColor="text1"/>
          <w:position w:val="0"/>
          <w:sz w:val="20"/>
          <w:szCs w:val="20"/>
        </w:rPr>
        <w:t>derived sands do not report explicit numerical M</w:t>
      </w:r>
      <w:r w:rsidR="00783DFC">
        <w:rPr>
          <w:rFonts w:ascii="Arial" w:eastAsia="Times New Roman" w:hAnsi="Arial" w:cs="Arial"/>
          <w:color w:val="000000" w:themeColor="text1"/>
          <w:position w:val="0"/>
          <w:sz w:val="20"/>
          <w:szCs w:val="20"/>
        </w:rPr>
        <w:t>-</w:t>
      </w:r>
      <w:r w:rsidRPr="005F2932">
        <w:rPr>
          <w:rFonts w:ascii="Arial" w:eastAsia="Times New Roman" w:hAnsi="Arial" w:cs="Arial"/>
          <w:color w:val="000000" w:themeColor="text1"/>
          <w:position w:val="0"/>
          <w:sz w:val="20"/>
          <w:szCs w:val="20"/>
        </w:rPr>
        <w:t xml:space="preserve">values </w:t>
      </w:r>
      <w:r w:rsidR="00D311AA" w:rsidRPr="00D311AA">
        <w:rPr>
          <w:rFonts w:ascii="Arial" w:eastAsia="Times New Roman" w:hAnsi="Arial" w:cs="Arial"/>
          <w:color w:val="000000" w:themeColor="text1"/>
          <w:position w:val="0"/>
          <w:sz w:val="20"/>
          <w:szCs w:val="20"/>
        </w:rPr>
        <w:t xml:space="preserve">for </w:t>
      </w:r>
      <w:r w:rsidR="00D311AA" w:rsidRPr="00D311AA">
        <w:rPr>
          <w:rFonts w:ascii="Arial" w:eastAsia="Times New Roman" w:hAnsi="Arial" w:cs="Arial"/>
          <w:color w:val="000000" w:themeColor="text1"/>
          <w:position w:val="0"/>
          <w:sz w:val="20"/>
          <w:szCs w:val="20"/>
        </w:rPr>
        <w:t>specific fines contents, they consistently show that fines influence contractive tendency, pore-pressure generation, and the curvature of the effective stress path rather than producing major shifts in the CSL slope itself</w:t>
      </w:r>
      <w:r w:rsidR="00D311AA">
        <w:rPr>
          <w:rFonts w:ascii="Arial" w:eastAsia="Times New Roman" w:hAnsi="Arial" w:cs="Arial"/>
          <w:color w:val="000000" w:themeColor="text1"/>
          <w:position w:val="0"/>
          <w:sz w:val="20"/>
          <w:szCs w:val="20"/>
        </w:rPr>
        <w:t xml:space="preserve"> </w:t>
      </w:r>
      <w:r w:rsidR="00783DFC">
        <w:rPr>
          <w:rFonts w:ascii="Arial" w:eastAsia="Times New Roman" w:hAnsi="Arial" w:cs="Arial"/>
          <w:color w:val="000000" w:themeColor="text1"/>
          <w:position w:val="0"/>
          <w:sz w:val="20"/>
          <w:szCs w:val="20"/>
        </w:rPr>
        <w:fldChar w:fldCharType="begin" w:fldLock="1"/>
      </w:r>
      <w:r w:rsidR="005052C4">
        <w:rPr>
          <w:rFonts w:ascii="Arial" w:eastAsia="Times New Roman" w:hAnsi="Arial" w:cs="Arial"/>
          <w:color w:val="000000" w:themeColor="text1"/>
          <w:position w:val="0"/>
          <w:sz w:val="20"/>
          <w:szCs w:val="20"/>
        </w:rPr>
        <w:instrText xml:space="preserve">ADDIN CSL_CITATION {"citationItems":[{"id":"ITEM-1","itemData":{"DOI":"10.1680/jgeot.18.P.211","ISSN":"17517656","abstract":"The discrete-element method (DEM) has gained popularity for developing a qualitative understanding of soil behaviour under a critical state soil mechanics (CSSM) framework. Most studies with a three-dimensional assembly of particles have used spheres as representative granular material to reduce computational demands. However, most granular materials - for example, sands - are not rounded, but possess features of angularity. Therefore, ellipsoid and cluster particles with different degrees of eccentricity were used in this study to evaluate the effect of the particle shape on the drained and undrained triaxial loading behaviour after isotropic and K0 consolidation. The particle numerical properties and grain size distributions were kept the same for all specimens, irrespective of particle shape. The critical state data points for spheres and ellipsoids plotted on almost the same critical state line (CSL) in e-log(p′) space, whereas the CSLs of clusters plotted above them. Additionally, M lines shifted downward with increasing sphericity. It was also found that the stress ratio at the triggering of static liquefaction (IS=q/p′) in ηIS-ψ space was affected by particle shape and consolidation path. The dilatancy (d=dϵvp/dϵqp) was also affected by particle shape. It was found that dilatancy parameters for the SANISAND constitutive model are affected by particle shape, which may contribute to an improved understanding of particle shape in constitutive modelling.","author":[{"dropping-particle":"","family":"Nguyen","given":"Hoang Bao Khoi","non-dropping-particle":"","parse-names":false,"suffix":""},{"dropping-particle":"","family":"Rahman","given":"Md Mizanur","non-dropping-particle":"","parse-names":false,"suffix":""},{"dropping-particle":"","family":"Fourie","given":"Andy B.","non-dropping-particle":"","parse-names":false,"suffix":""}],"container-title":"Geotechnique","id":"ITEM-1","issue":"9","issued":{"date-parts":[["2021"]]},"page":"749-764","title":"How particle shape affects the critical state, triggering of instability and dilatancy of granular materials - Results from a DEM study","type":"article-journal","volume":"71"},"uris":["http://www.mendeley.com/documents/?uuid=929713cc-de3c-4c50-9205-451923952682"]},{"id":"ITEM-2","itemData":{"DOI":"10.3390/geosciences14060166","ISSN":"20763263","abstract":"During an earthquake, excess pore water pressure generation in saturated silty sands causes a reduction in shear strength and even liquefaction of the soil. A comprehensive experimental program consisting of undrained cyclic simple-shear tests was undertaken to explore the key factors affecting the energy-based excess pore water pressure generation models for non-plastic silty sands. The examined influencing factors were non-plastic fines content (less than and greater than the threshold value </w:instrText>
      </w:r>
      <w:r w:rsidR="005052C4">
        <w:rPr>
          <w:rFonts w:ascii="Cambria Math" w:eastAsia="Times New Roman" w:hAnsi="Cambria Math" w:cs="Cambria Math"/>
          <w:color w:val="000000" w:themeColor="text1"/>
          <w:position w:val="0"/>
          <w:sz w:val="20"/>
          <w:szCs w:val="20"/>
        </w:rPr>
        <w:instrText>≅</w:instrText>
      </w:r>
      <w:r w:rsidR="005052C4">
        <w:rPr>
          <w:rFonts w:ascii="Arial" w:eastAsia="Times New Roman" w:hAnsi="Arial" w:cs="Arial"/>
          <w:color w:val="000000" w:themeColor="text1"/>
          <w:position w:val="0"/>
          <w:sz w:val="20"/>
          <w:szCs w:val="20"/>
        </w:rPr>
        <w:instrText xml:space="preserve"> 25%), packing density, vertical effective stress, applied cyclic stress ratio, and soil fabric. The relationship between excess pore water pressure ratio and dissipated energy per unit volume was found to be mainly dependent on the relative density and fines content of soil, whereas the cyclic stress ratio, initial vertical effective stress, and soil fabric (i.e. the reconstitution method) appeared to have a minor impact. A revision of the original energy-based model developed for clean sand by Berrill and Davis was proposed to improve prediction accuracy in terms of residual excess pore water pressures versus normalised cumulative dissipated energy. Nonlinear multivariable regression analyses were performed to develop correlations for the calibration parameters of the revised model. Lastly, these correlations were validated through additional cyclic simple-shear tests performed on different silty sands recovered at a site where liquefaction occurred after the 2012 Emilia Romagna (Italy) earthquake.","author":[{"dropping-particle":"","family":"Tomasello","given":"Giuseppe","non-dropping-particle":"","parse-names":false,"suffix":""},{"dropping-particle":"","family":"Porcino","given":"Daniela Dominica","non-dropping-particle":"","parse-names":false,"suffix":""}],"container-title":"Geosciences (Switzerland)","id":"ITEM-2","issue":"6","issued":{"date-parts":[["2024"]]},"title":"Energy-Based Pore Pressure Generation Models in Silty Sands under Earthquake Loading","type":"article-journal","volume":"14"},"uris":["http://www.mendeley.com/documents/?uuid=96b83197-f9a3-4108-b8cc-9d3cdc66d1f9"]},{"id":"ITEM-3","itemData":{"DOI":"https://doi.org/10.1051/e3sconf/202454414014","author":[{"dropping-particle":"","family":"Papadopoulou","given":"Anthi.","non-dropping-particle":"","parse-names":false,"suffix":""},{"dropping-particle":"","family":"Tika","given":"Theodora.","non-dropping-particle":"","parse-names":false,"suffix":""}],"container-title":"E3S Web of Conferences","id":"ITEM-3","issued":{"date-parts":[["2024"]]},"page":"544, 14014.","title":"Monotonic and cyclic behaviour of sand-silt mixtures through the equivalent state parameter","type":"paper-conference"},"uris":["http://www.mendeley.com/documents/?uuid=790ff2c1-ad03-4a5b-89b4-22b1f0724dcd"]},{"id":"ITEM-4","itemData":{"DOI":"10.1007/s10035-021-01178-3","ISBN":"0123456789","ISSN":"14347636","abstract":"Abstract: Gobi sand is a commonly used soil material in China that can be classified as silty sand with a fines content of 30.1%. A series of laboratory tests were conducted on Gobi sand and many unique physical behaviors were found, such as a low permeability coefficient, sticky behavior after moisturization, and being located in the CL (low liquid limit clay) classification group. In addition, the critical state lines (CSL) of the Gobi silty sand in the e-lnp space decrease in parallel with decreasing initial void ratio e0, and the critical state stress ratio Mcs is not a constant but decreases with increasing confining pressure σ3 and initial void ratio e0. This is quite different from the unique CSL and Mcs observed from quartz clean sand and silty sand. Therefore, unified CSL and Mcs equations for the Gobi sand were proposed to express the unique critical state behavior affected by various pressure conditions and initial void ratios. It is believed that the composite mineral composition (containing 5 minerals) of Gobi silty sand plays a significant role in the reaction of these unique physical behaviors as well as the critical state behaviors. Graphical Abstract: [Figure not available: see fulltext.].","author":[{"dropping-particle":"","family":"Wanli","given":"Guo","non-dropping-particle":"","parse-names":false,"suffix":""},{"dropping-particle":"","family":"Zhengyin","given":"Cai","non-dropping-particle":"","parse-names":false,"suffix":""}],"container-title":"Granular Matter","id":"ITEM-4","issue":"1","issued":{"date-parts":[["2022"]]},"page":"1-8","publisher":"Springer Berlin Heidelberg","title":"Study on the critical state of a unique silty sand","type":"article-journal","volume":"24"},"uris":["http://www.mendeley.com/documents/?uuid=40854165-891b-4c45-8c35-e7f18d53849d"]}],"mendeley":{"formattedCitation":"[15], [22], [25], [31]","manualFormatting":"[16], [23], [26]","plainTextFormattedCitation":"[15], [22], [25], [31]","previouslyFormattedCitation":"[16], [23], [26], [32]"},"properties":{"noteIndex":0},"schema":"https://github.com/citation-style-language/schema/raw/master/csl-citation.json"}</w:instrText>
      </w:r>
      <w:r w:rsidR="00783DFC">
        <w:rPr>
          <w:rFonts w:ascii="Arial" w:eastAsia="Times New Roman" w:hAnsi="Arial" w:cs="Arial"/>
          <w:color w:val="000000" w:themeColor="text1"/>
          <w:position w:val="0"/>
          <w:sz w:val="20"/>
          <w:szCs w:val="20"/>
        </w:rPr>
        <w:fldChar w:fldCharType="separate"/>
      </w:r>
      <w:r w:rsidR="005052C4">
        <w:rPr>
          <w:rFonts w:ascii="Arial" w:eastAsia="Times New Roman" w:hAnsi="Arial" w:cs="Arial"/>
          <w:noProof/>
          <w:color w:val="000000" w:themeColor="text1"/>
          <w:position w:val="0"/>
          <w:sz w:val="20"/>
          <w:szCs w:val="20"/>
        </w:rPr>
        <w:t>[16], [23], [26]</w:t>
      </w:r>
      <w:r w:rsidR="00783DFC">
        <w:rPr>
          <w:rFonts w:ascii="Arial" w:eastAsia="Times New Roman" w:hAnsi="Arial" w:cs="Arial"/>
          <w:color w:val="000000" w:themeColor="text1"/>
          <w:position w:val="0"/>
          <w:sz w:val="20"/>
          <w:szCs w:val="20"/>
        </w:rPr>
        <w:fldChar w:fldCharType="end"/>
      </w:r>
      <w:r w:rsidR="00D311AA">
        <w:rPr>
          <w:rFonts w:ascii="Arial" w:eastAsia="Times New Roman" w:hAnsi="Arial" w:cs="Arial"/>
          <w:color w:val="000000" w:themeColor="text1"/>
          <w:position w:val="0"/>
          <w:sz w:val="20"/>
          <w:szCs w:val="20"/>
        </w:rPr>
        <w:t>.</w:t>
      </w:r>
      <w:r w:rsidR="00783DFC">
        <w:rPr>
          <w:rFonts w:ascii="Arial" w:eastAsia="Times New Roman" w:hAnsi="Arial" w:cs="Arial"/>
          <w:color w:val="000000" w:themeColor="text1"/>
          <w:position w:val="0"/>
          <w:sz w:val="20"/>
          <w:szCs w:val="20"/>
        </w:rPr>
        <w:t xml:space="preserve"> </w:t>
      </w:r>
      <w:r w:rsidR="00D311AA" w:rsidRPr="00D311AA">
        <w:rPr>
          <w:rFonts w:ascii="Arial" w:eastAsia="Times New Roman" w:hAnsi="Arial" w:cs="Arial"/>
          <w:color w:val="000000" w:themeColor="text1"/>
          <w:position w:val="0"/>
          <w:sz w:val="20"/>
          <w:szCs w:val="20"/>
        </w:rPr>
        <w:t>This behavior aligns with the present results, where both fines levels converged toward similar critical-state stress ratios despite noticeable differences in early-stage contractive behavior and residual strength</w:t>
      </w:r>
      <w:r w:rsidR="00D311AA">
        <w:rPr>
          <w:rFonts w:ascii="Arial" w:eastAsia="Times New Roman" w:hAnsi="Arial" w:cs="Arial"/>
          <w:color w:val="000000" w:themeColor="text1"/>
          <w:position w:val="0"/>
          <w:sz w:val="20"/>
          <w:szCs w:val="20"/>
        </w:rPr>
        <w:t>.</w:t>
      </w:r>
    </w:p>
    <w:p w14:paraId="44DC4BDD" w14:textId="77777777" w:rsidR="00D311AA" w:rsidRDefault="00D311AA" w:rsidP="003058DD">
      <w:pPr>
        <w:suppressAutoHyphens w:val="0"/>
        <w:spacing w:before="60" w:after="60" w:line="240" w:lineRule="auto"/>
        <w:ind w:leftChars="0" w:left="0" w:firstLineChars="0" w:hanging="2"/>
        <w:jc w:val="both"/>
        <w:textDirection w:val="lrTb"/>
        <w:textAlignment w:val="auto"/>
        <w:outlineLvl w:val="9"/>
        <w:rPr>
          <w:rFonts w:ascii="Arial" w:eastAsia="Times New Roman" w:hAnsi="Arial" w:cs="Arial"/>
          <w:color w:val="000000" w:themeColor="text1"/>
          <w:position w:val="0"/>
          <w:sz w:val="20"/>
          <w:szCs w:val="20"/>
        </w:rPr>
      </w:pPr>
      <w:r w:rsidRPr="00D311AA">
        <w:rPr>
          <w:rFonts w:ascii="Arial" w:eastAsia="Times New Roman" w:hAnsi="Arial" w:cs="Arial"/>
          <w:color w:val="000000" w:themeColor="text1"/>
          <w:position w:val="0"/>
          <w:sz w:val="20"/>
          <w:szCs w:val="20"/>
        </w:rPr>
        <w:t xml:space="preserve">The quantitative </w:t>
      </w:r>
      <w:r w:rsidR="00CF6153">
        <w:rPr>
          <w:rFonts w:ascii="Arial" w:eastAsia="Times New Roman" w:hAnsi="Arial" w:cs="Arial"/>
          <w:color w:val="000000" w:themeColor="text1"/>
          <w:position w:val="0"/>
          <w:sz w:val="20"/>
          <w:szCs w:val="20"/>
        </w:rPr>
        <w:t>M</w:t>
      </w:r>
      <w:r w:rsidRPr="00D311AA">
        <w:rPr>
          <w:rFonts w:ascii="Arial" w:eastAsia="Times New Roman" w:hAnsi="Arial" w:cs="Arial"/>
          <w:color w:val="000000" w:themeColor="text1"/>
          <w:position w:val="0"/>
          <w:sz w:val="20"/>
          <w:szCs w:val="20"/>
        </w:rPr>
        <w:t>-values used to construct the CSL are summarized in</w:t>
      </w:r>
      <w:r>
        <w:rPr>
          <w:rFonts w:ascii="Arial" w:eastAsia="Times New Roman" w:hAnsi="Arial" w:cs="Arial"/>
          <w:color w:val="000000" w:themeColor="text1"/>
          <w:position w:val="0"/>
          <w:sz w:val="20"/>
          <w:szCs w:val="20"/>
        </w:rPr>
        <w:t xml:space="preserve"> </w:t>
      </w:r>
      <w:r w:rsidR="00696D34" w:rsidRPr="00F713E0">
        <w:rPr>
          <w:rFonts w:ascii="Arial" w:eastAsia="Times New Roman" w:hAnsi="Arial" w:cs="Arial"/>
          <w:bCs/>
          <w:color w:val="000000" w:themeColor="text1"/>
          <w:position w:val="0"/>
          <w:sz w:val="20"/>
          <w:szCs w:val="20"/>
        </w:rPr>
        <w:t xml:space="preserve">Table </w:t>
      </w:r>
      <w:r w:rsidR="009C5674" w:rsidRPr="00F713E0">
        <w:rPr>
          <w:rFonts w:ascii="Arial" w:eastAsia="Times New Roman" w:hAnsi="Arial" w:cs="Arial"/>
          <w:bCs/>
          <w:color w:val="000000" w:themeColor="text1"/>
          <w:position w:val="0"/>
          <w:sz w:val="20"/>
          <w:szCs w:val="20"/>
        </w:rPr>
        <w:t>3</w:t>
      </w:r>
      <w:r w:rsidR="00696D34" w:rsidRPr="00F713E0">
        <w:rPr>
          <w:rFonts w:ascii="Arial" w:eastAsia="Times New Roman" w:hAnsi="Arial" w:cs="Arial"/>
          <w:color w:val="000000" w:themeColor="text1"/>
          <w:position w:val="0"/>
          <w:sz w:val="20"/>
          <w:szCs w:val="20"/>
        </w:rPr>
        <w:t xml:space="preserve">, </w:t>
      </w:r>
      <w:r w:rsidRPr="00D311AA">
        <w:rPr>
          <w:rFonts w:ascii="Arial" w:eastAsia="Times New Roman" w:hAnsi="Arial" w:cs="Arial"/>
          <w:color w:val="000000" w:themeColor="text1"/>
          <w:position w:val="0"/>
          <w:sz w:val="20"/>
          <w:szCs w:val="20"/>
        </w:rPr>
        <w:t>and the corresponding effective stress paths are presented in Figure 7.</w:t>
      </w:r>
    </w:p>
    <w:p w14:paraId="52573E64" w14:textId="77777777" w:rsidR="00696D34" w:rsidRPr="0090681E" w:rsidRDefault="0069444E" w:rsidP="0090681E">
      <w:pPr>
        <w:suppressAutoHyphens w:val="0"/>
        <w:spacing w:before="120" w:after="120" w:line="240" w:lineRule="auto"/>
        <w:ind w:leftChars="0" w:left="0" w:firstLineChars="0" w:hanging="2"/>
        <w:jc w:val="center"/>
        <w:textDirection w:val="lrTb"/>
        <w:textAlignment w:val="auto"/>
        <w:outlineLvl w:val="9"/>
        <w:rPr>
          <w:rFonts w:ascii="Arial" w:eastAsia="Times New Roman" w:hAnsi="Arial" w:cs="Arial"/>
          <w:bCs/>
          <w:color w:val="000000" w:themeColor="text1"/>
          <w:position w:val="0"/>
          <w:sz w:val="20"/>
          <w:szCs w:val="20"/>
        </w:rPr>
      </w:pPr>
      <w:r w:rsidRPr="0090681E">
        <w:rPr>
          <w:rFonts w:ascii="Arial" w:eastAsia="Times New Roman" w:hAnsi="Arial" w:cs="Arial"/>
          <w:bCs/>
          <w:color w:val="000000" w:themeColor="text1"/>
          <w:position w:val="0"/>
          <w:sz w:val="20"/>
          <w:szCs w:val="20"/>
        </w:rPr>
        <w:t xml:space="preserve">Table </w:t>
      </w:r>
      <w:r w:rsidR="009C5674" w:rsidRPr="0090681E">
        <w:rPr>
          <w:rFonts w:ascii="Arial" w:eastAsia="Times New Roman" w:hAnsi="Arial" w:cs="Arial"/>
          <w:bCs/>
          <w:color w:val="000000" w:themeColor="text1"/>
          <w:position w:val="0"/>
          <w:sz w:val="20"/>
          <w:szCs w:val="20"/>
        </w:rPr>
        <w:t>3</w:t>
      </w:r>
      <w:r w:rsidRPr="0090681E">
        <w:rPr>
          <w:rFonts w:ascii="Arial" w:eastAsia="Times New Roman" w:hAnsi="Arial" w:cs="Arial"/>
          <w:bCs/>
          <w:color w:val="000000" w:themeColor="text1"/>
          <w:position w:val="0"/>
          <w:sz w:val="20"/>
          <w:szCs w:val="20"/>
        </w:rPr>
        <w:t xml:space="preserve">. </w:t>
      </w:r>
      <w:r w:rsidR="009C5674" w:rsidRPr="0090681E">
        <w:rPr>
          <w:rFonts w:ascii="Arial" w:eastAsia="Times New Roman" w:hAnsi="Arial" w:cs="Arial"/>
          <w:bCs/>
          <w:color w:val="000000" w:themeColor="text1"/>
          <w:position w:val="0"/>
          <w:sz w:val="20"/>
          <w:szCs w:val="20"/>
        </w:rPr>
        <w:t xml:space="preserve">Summary of Critical-State Stress Ratios </w:t>
      </w:r>
    </w:p>
    <w:tbl>
      <w:tblPr>
        <w:tblStyle w:val="PlainTable2"/>
        <w:tblW w:w="5269" w:type="pct"/>
        <w:tblBorders>
          <w:top w:val="single" w:sz="4" w:space="0" w:color="auto"/>
          <w:bottom w:val="single" w:sz="4" w:space="0" w:color="auto"/>
        </w:tblBorders>
        <w:tblLook w:val="04A0" w:firstRow="1" w:lastRow="0" w:firstColumn="1" w:lastColumn="0" w:noHBand="0" w:noVBand="1"/>
      </w:tblPr>
      <w:tblGrid>
        <w:gridCol w:w="952"/>
        <w:gridCol w:w="607"/>
        <w:gridCol w:w="710"/>
        <w:gridCol w:w="904"/>
        <w:gridCol w:w="1228"/>
      </w:tblGrid>
      <w:tr w:rsidR="00B577B9" w:rsidRPr="00696D34" w14:paraId="334CC750" w14:textId="77777777" w:rsidTr="005963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pct"/>
            <w:tcBorders>
              <w:top w:val="single" w:sz="4" w:space="0" w:color="auto"/>
              <w:bottom w:val="single" w:sz="4" w:space="0" w:color="auto"/>
            </w:tcBorders>
            <w:hideMark/>
          </w:tcPr>
          <w:p w14:paraId="78016BC0" w14:textId="77777777" w:rsidR="00B577B9" w:rsidRPr="004E129C" w:rsidRDefault="00B577B9" w:rsidP="00696D34">
            <w:pPr>
              <w:suppressAutoHyphens w:val="0"/>
              <w:ind w:leftChars="0" w:left="0" w:firstLineChars="0" w:firstLine="0"/>
              <w:jc w:val="center"/>
              <w:textDirection w:val="lrTb"/>
              <w:textAlignment w:val="auto"/>
              <w:outlineLvl w:val="9"/>
              <w:rPr>
                <w:rFonts w:ascii="Arial" w:eastAsia="Times New Roman" w:hAnsi="Arial" w:cs="Arial"/>
                <w:bCs w:val="0"/>
                <w:position w:val="0"/>
                <w:sz w:val="20"/>
                <w:szCs w:val="20"/>
              </w:rPr>
            </w:pPr>
            <w:r w:rsidRPr="004E129C">
              <w:rPr>
                <w:rFonts w:ascii="Arial" w:eastAsia="Times New Roman" w:hAnsi="Arial" w:cs="Arial"/>
                <w:position w:val="0"/>
                <w:sz w:val="20"/>
                <w:szCs w:val="20"/>
              </w:rPr>
              <w:t>Spec</w:t>
            </w:r>
          </w:p>
        </w:tc>
        <w:tc>
          <w:tcPr>
            <w:tcW w:w="690" w:type="pct"/>
            <w:tcBorders>
              <w:top w:val="single" w:sz="4" w:space="0" w:color="auto"/>
              <w:bottom w:val="single" w:sz="4" w:space="0" w:color="auto"/>
            </w:tcBorders>
            <w:hideMark/>
          </w:tcPr>
          <w:p w14:paraId="698F9464" w14:textId="77777777" w:rsidR="00B577B9" w:rsidRPr="004E129C" w:rsidRDefault="00B577B9" w:rsidP="00696D34">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position w:val="0"/>
                <w:sz w:val="20"/>
                <w:szCs w:val="20"/>
              </w:rPr>
            </w:pPr>
            <w:r w:rsidRPr="004E129C">
              <w:rPr>
                <w:rFonts w:ascii="Arial" w:eastAsia="Times New Roman" w:hAnsi="Arial" w:cs="Arial"/>
                <w:position w:val="0"/>
                <w:sz w:val="20"/>
                <w:szCs w:val="20"/>
              </w:rPr>
              <w:t>FC (%)</w:t>
            </w:r>
          </w:p>
        </w:tc>
        <w:tc>
          <w:tcPr>
            <w:tcW w:w="807" w:type="pct"/>
            <w:tcBorders>
              <w:top w:val="single" w:sz="4" w:space="0" w:color="auto"/>
              <w:bottom w:val="single" w:sz="4" w:space="0" w:color="auto"/>
            </w:tcBorders>
            <w:hideMark/>
          </w:tcPr>
          <w:p w14:paraId="443CB30B" w14:textId="77777777" w:rsidR="00B577B9" w:rsidRPr="004E129C" w:rsidRDefault="00D03648" w:rsidP="00923100">
            <w:pPr>
              <w:suppressAutoHyphens w:val="0"/>
              <w:ind w:leftChars="0" w:left="-111" w:right="-10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Arial" w:eastAsia="Times New Roman" w:hAnsi="Arial" w:cs="Arial"/>
                <w:position w:val="0"/>
                <w:sz w:val="20"/>
                <w:szCs w:val="20"/>
              </w:rPr>
            </w:pPr>
            <m:oMath>
              <m:r>
                <m:rPr>
                  <m:sty m:val="bi"/>
                </m:rPr>
                <w:rPr>
                  <w:rFonts w:ascii="Cambria Math" w:eastAsia="Times New Roman" w:hAnsi="Cambria Math" w:cs="Arial"/>
                  <w:position w:val="0"/>
                  <w:sz w:val="20"/>
                  <w:szCs w:val="20"/>
                </w:rPr>
                <m:t>p'</m:t>
              </m:r>
              <m:r>
                <m:rPr>
                  <m:sty m:val="bi"/>
                </m:rPr>
                <w:rPr>
                  <w:rFonts w:ascii="Cambria Math" w:eastAsia="Times New Roman" w:hAnsi="Cambria Math" w:cs="Cambria Math"/>
                  <w:position w:val="0"/>
                  <w:sz w:val="20"/>
                  <w:szCs w:val="20"/>
                </w:rPr>
                <m:t>₀</m:t>
              </m:r>
            </m:oMath>
            <w:r w:rsidR="00B577B9" w:rsidRPr="004E129C">
              <w:rPr>
                <w:rFonts w:ascii="Arial" w:eastAsia="Times New Roman" w:hAnsi="Arial" w:cs="Arial"/>
                <w:position w:val="0"/>
                <w:sz w:val="20"/>
                <w:szCs w:val="20"/>
              </w:rPr>
              <w:t xml:space="preserve"> </w:t>
            </w:r>
          </w:p>
          <w:p w14:paraId="67AD8A5B" w14:textId="77777777" w:rsidR="00B577B9" w:rsidRPr="004E129C" w:rsidRDefault="00B577B9" w:rsidP="00923100">
            <w:pPr>
              <w:suppressAutoHyphens w:val="0"/>
              <w:ind w:leftChars="0" w:left="-111" w:right="-10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position w:val="0"/>
                <w:sz w:val="20"/>
                <w:szCs w:val="20"/>
              </w:rPr>
            </w:pPr>
            <w:r w:rsidRPr="004E129C">
              <w:rPr>
                <w:rFonts w:ascii="Arial" w:eastAsia="Times New Roman" w:hAnsi="Arial" w:cs="Arial"/>
                <w:position w:val="0"/>
                <w:sz w:val="20"/>
                <w:szCs w:val="20"/>
              </w:rPr>
              <w:t>(kPa)</w:t>
            </w:r>
          </w:p>
        </w:tc>
        <w:tc>
          <w:tcPr>
            <w:tcW w:w="1027" w:type="pct"/>
            <w:tcBorders>
              <w:top w:val="single" w:sz="4" w:space="0" w:color="auto"/>
              <w:bottom w:val="single" w:sz="4" w:space="0" w:color="auto"/>
            </w:tcBorders>
            <w:hideMark/>
          </w:tcPr>
          <w:p w14:paraId="07A1AB57" w14:textId="77777777" w:rsidR="00B577B9" w:rsidRPr="004E129C" w:rsidRDefault="00D03648" w:rsidP="00B577B9">
            <w:pPr>
              <w:suppressAutoHyphens w:val="0"/>
              <w:ind w:leftChars="0" w:left="-14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position w:val="0"/>
                <w:sz w:val="20"/>
                <w:szCs w:val="20"/>
              </w:rPr>
            </w:pPr>
            <m:oMathPara>
              <m:oMath>
                <m:r>
                  <m:rPr>
                    <m:sty m:val="bi"/>
                  </m:rPr>
                  <w:rPr>
                    <w:rFonts w:ascii="Cambria Math" w:eastAsia="Times New Roman" w:hAnsi="Cambria Math" w:cs="Arial"/>
                    <w:color w:val="000000" w:themeColor="text1"/>
                    <w:position w:val="0"/>
                    <w:sz w:val="20"/>
                    <w:szCs w:val="20"/>
                  </w:rPr>
                  <m:t xml:space="preserve">M= </m:t>
                </m:r>
                <m:f>
                  <m:fPr>
                    <m:ctrlPr>
                      <w:rPr>
                        <w:rFonts w:ascii="Cambria Math" w:eastAsia="Times New Roman" w:hAnsi="Cambria Math" w:cs="Arial"/>
                        <w:i/>
                        <w:color w:val="000000" w:themeColor="text1"/>
                        <w:position w:val="0"/>
                        <w:sz w:val="20"/>
                        <w:szCs w:val="20"/>
                      </w:rPr>
                    </m:ctrlPr>
                  </m:fPr>
                  <m:num>
                    <m:r>
                      <m:rPr>
                        <m:sty m:val="bi"/>
                      </m:rPr>
                      <w:rPr>
                        <w:rFonts w:ascii="Cambria Math" w:eastAsia="Times New Roman" w:hAnsi="Cambria Math" w:cs="Arial"/>
                        <w:color w:val="000000" w:themeColor="text1"/>
                        <w:position w:val="0"/>
                        <w:sz w:val="20"/>
                        <w:szCs w:val="20"/>
                      </w:rPr>
                      <m:t>q</m:t>
                    </m:r>
                  </m:num>
                  <m:den>
                    <m:r>
                      <m:rPr>
                        <m:sty m:val="bi"/>
                      </m:rPr>
                      <w:rPr>
                        <w:rFonts w:ascii="Cambria Math" w:eastAsia="Times New Roman" w:hAnsi="Cambria Math" w:cs="Arial"/>
                        <w:color w:val="000000" w:themeColor="text1"/>
                        <w:position w:val="0"/>
                        <w:sz w:val="20"/>
                        <w:szCs w:val="20"/>
                      </w:rPr>
                      <m:t>p'</m:t>
                    </m:r>
                  </m:den>
                </m:f>
              </m:oMath>
            </m:oMathPara>
          </w:p>
        </w:tc>
        <w:tc>
          <w:tcPr>
            <w:tcW w:w="1395" w:type="pct"/>
            <w:tcBorders>
              <w:top w:val="single" w:sz="4" w:space="0" w:color="auto"/>
              <w:bottom w:val="single" w:sz="4" w:space="0" w:color="auto"/>
            </w:tcBorders>
            <w:hideMark/>
          </w:tcPr>
          <w:p w14:paraId="6036D9C2" w14:textId="77777777" w:rsidR="00B577B9" w:rsidRPr="004E129C" w:rsidRDefault="00B577B9" w:rsidP="00696D34">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position w:val="0"/>
                <w:sz w:val="20"/>
                <w:szCs w:val="20"/>
              </w:rPr>
            </w:pPr>
            <w:r w:rsidRPr="004E129C">
              <w:rPr>
                <w:rFonts w:ascii="Arial" w:eastAsia="Times New Roman" w:hAnsi="Arial" w:cs="Arial"/>
                <w:bCs w:val="0"/>
                <w:position w:val="0"/>
                <w:sz w:val="20"/>
                <w:szCs w:val="20"/>
              </w:rPr>
              <w:t>Behavior</w:t>
            </w:r>
          </w:p>
        </w:tc>
      </w:tr>
      <w:tr w:rsidR="005963D7" w:rsidRPr="00696D34" w14:paraId="7CF7A561" w14:textId="77777777" w:rsidTr="00596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pct"/>
            <w:tcBorders>
              <w:top w:val="single" w:sz="4" w:space="0" w:color="auto"/>
              <w:bottom w:val="none" w:sz="0" w:space="0" w:color="auto"/>
            </w:tcBorders>
            <w:hideMark/>
          </w:tcPr>
          <w:p w14:paraId="238707C1" w14:textId="77777777" w:rsidR="005963D7" w:rsidRPr="00D03648" w:rsidRDefault="005963D7" w:rsidP="005963D7">
            <w:pPr>
              <w:suppressAutoHyphens w:val="0"/>
              <w:ind w:leftChars="0" w:left="0" w:firstLineChars="0" w:firstLine="0"/>
              <w:jc w:val="center"/>
              <w:textDirection w:val="lrTb"/>
              <w:textAlignment w:val="auto"/>
              <w:outlineLvl w:val="9"/>
              <w:rPr>
                <w:rFonts w:ascii="Arial" w:eastAsia="Times New Roman" w:hAnsi="Arial" w:cs="Arial"/>
                <w:b w:val="0"/>
                <w:position w:val="0"/>
                <w:sz w:val="20"/>
                <w:szCs w:val="20"/>
              </w:rPr>
            </w:pPr>
            <w:r w:rsidRPr="00D03648">
              <w:rPr>
                <w:rFonts w:ascii="Arial" w:eastAsia="Times New Roman" w:hAnsi="Arial" w:cs="Arial"/>
                <w:b w:val="0"/>
                <w:position w:val="0"/>
                <w:sz w:val="20"/>
                <w:szCs w:val="20"/>
              </w:rPr>
              <w:t>TG1</w:t>
            </w:r>
          </w:p>
        </w:tc>
        <w:tc>
          <w:tcPr>
            <w:tcW w:w="690" w:type="pct"/>
            <w:tcBorders>
              <w:top w:val="single" w:sz="4" w:space="0" w:color="auto"/>
              <w:bottom w:val="none" w:sz="0" w:space="0" w:color="auto"/>
            </w:tcBorders>
            <w:hideMark/>
          </w:tcPr>
          <w:p w14:paraId="0E4139BA" w14:textId="77777777" w:rsidR="005963D7" w:rsidRPr="00B577B9" w:rsidRDefault="005963D7" w:rsidP="005963D7">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20"/>
                <w:szCs w:val="20"/>
              </w:rPr>
            </w:pPr>
            <w:r w:rsidRPr="00B577B9">
              <w:rPr>
                <w:rFonts w:ascii="Arial" w:eastAsia="Times New Roman" w:hAnsi="Arial" w:cs="Arial"/>
                <w:position w:val="0"/>
                <w:sz w:val="20"/>
                <w:szCs w:val="20"/>
              </w:rPr>
              <w:t>9</w:t>
            </w:r>
          </w:p>
        </w:tc>
        <w:tc>
          <w:tcPr>
            <w:tcW w:w="807" w:type="pct"/>
            <w:tcBorders>
              <w:top w:val="single" w:sz="4" w:space="0" w:color="auto"/>
              <w:bottom w:val="none" w:sz="0" w:space="0" w:color="auto"/>
            </w:tcBorders>
            <w:hideMark/>
          </w:tcPr>
          <w:p w14:paraId="77505A67" w14:textId="77777777" w:rsidR="005963D7" w:rsidRPr="00B577B9" w:rsidRDefault="005963D7" w:rsidP="005963D7">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20"/>
                <w:szCs w:val="20"/>
              </w:rPr>
            </w:pPr>
            <w:r w:rsidRPr="00B577B9">
              <w:rPr>
                <w:rFonts w:ascii="Arial" w:eastAsia="Times New Roman" w:hAnsi="Arial" w:cs="Arial"/>
                <w:position w:val="0"/>
                <w:sz w:val="20"/>
                <w:szCs w:val="20"/>
              </w:rPr>
              <w:t>100</w:t>
            </w:r>
          </w:p>
        </w:tc>
        <w:tc>
          <w:tcPr>
            <w:tcW w:w="1027" w:type="pct"/>
            <w:tcBorders>
              <w:top w:val="single" w:sz="4" w:space="0" w:color="auto"/>
              <w:bottom w:val="none" w:sz="0" w:space="0" w:color="auto"/>
            </w:tcBorders>
            <w:hideMark/>
          </w:tcPr>
          <w:p w14:paraId="60A90658" w14:textId="77777777" w:rsidR="005963D7" w:rsidRPr="005963D7" w:rsidRDefault="005963D7" w:rsidP="005963D7">
            <w:pPr>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963D7">
              <w:rPr>
                <w:rFonts w:ascii="Arial" w:hAnsi="Arial" w:cs="Arial"/>
                <w:sz w:val="20"/>
                <w:szCs w:val="20"/>
              </w:rPr>
              <w:t>1.321</w:t>
            </w:r>
          </w:p>
        </w:tc>
        <w:tc>
          <w:tcPr>
            <w:tcW w:w="1395" w:type="pct"/>
            <w:tcBorders>
              <w:top w:val="single" w:sz="4" w:space="0" w:color="auto"/>
              <w:bottom w:val="none" w:sz="0" w:space="0" w:color="auto"/>
            </w:tcBorders>
            <w:hideMark/>
          </w:tcPr>
          <w:p w14:paraId="4F655195" w14:textId="77777777" w:rsidR="005963D7" w:rsidRPr="00B577B9" w:rsidRDefault="005963D7" w:rsidP="005963D7">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20"/>
                <w:szCs w:val="20"/>
              </w:rPr>
            </w:pPr>
            <w:r w:rsidRPr="00B577B9">
              <w:rPr>
                <w:rFonts w:ascii="Arial" w:eastAsia="Times New Roman" w:hAnsi="Arial" w:cs="Arial"/>
                <w:position w:val="0"/>
                <w:sz w:val="20"/>
                <w:szCs w:val="20"/>
              </w:rPr>
              <w:t>Contractive</w:t>
            </w:r>
          </w:p>
        </w:tc>
      </w:tr>
      <w:tr w:rsidR="005963D7" w:rsidRPr="00696D34" w14:paraId="0BA7D74E" w14:textId="77777777" w:rsidTr="005963D7">
        <w:tc>
          <w:tcPr>
            <w:cnfStyle w:val="001000000000" w:firstRow="0" w:lastRow="0" w:firstColumn="1" w:lastColumn="0" w:oddVBand="0" w:evenVBand="0" w:oddHBand="0" w:evenHBand="0" w:firstRowFirstColumn="0" w:firstRowLastColumn="0" w:lastRowFirstColumn="0" w:lastRowLastColumn="0"/>
            <w:tcW w:w="1082" w:type="pct"/>
            <w:hideMark/>
          </w:tcPr>
          <w:p w14:paraId="43907BCA" w14:textId="77777777" w:rsidR="005963D7" w:rsidRPr="00D03648" w:rsidRDefault="005963D7" w:rsidP="005963D7">
            <w:pPr>
              <w:suppressAutoHyphens w:val="0"/>
              <w:ind w:leftChars="0" w:left="0" w:firstLineChars="0" w:firstLine="0"/>
              <w:jc w:val="center"/>
              <w:textDirection w:val="lrTb"/>
              <w:textAlignment w:val="auto"/>
              <w:outlineLvl w:val="9"/>
              <w:rPr>
                <w:rFonts w:ascii="Arial" w:eastAsia="Times New Roman" w:hAnsi="Arial" w:cs="Arial"/>
                <w:b w:val="0"/>
                <w:position w:val="0"/>
                <w:sz w:val="20"/>
                <w:szCs w:val="20"/>
              </w:rPr>
            </w:pPr>
            <w:r w:rsidRPr="00D03648">
              <w:rPr>
                <w:rFonts w:ascii="Arial" w:eastAsia="Times New Roman" w:hAnsi="Arial" w:cs="Arial"/>
                <w:b w:val="0"/>
                <w:position w:val="0"/>
                <w:sz w:val="20"/>
                <w:szCs w:val="20"/>
              </w:rPr>
              <w:t>TG2</w:t>
            </w:r>
          </w:p>
        </w:tc>
        <w:tc>
          <w:tcPr>
            <w:tcW w:w="690" w:type="pct"/>
            <w:hideMark/>
          </w:tcPr>
          <w:p w14:paraId="18E9D079" w14:textId="77777777" w:rsidR="005963D7" w:rsidRPr="00B577B9" w:rsidRDefault="005963D7" w:rsidP="005963D7">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20"/>
                <w:szCs w:val="20"/>
              </w:rPr>
            </w:pPr>
            <w:r w:rsidRPr="00B577B9">
              <w:rPr>
                <w:rFonts w:ascii="Arial" w:eastAsia="Times New Roman" w:hAnsi="Arial" w:cs="Arial"/>
                <w:position w:val="0"/>
                <w:sz w:val="20"/>
                <w:szCs w:val="20"/>
              </w:rPr>
              <w:t>9</w:t>
            </w:r>
          </w:p>
        </w:tc>
        <w:tc>
          <w:tcPr>
            <w:tcW w:w="807" w:type="pct"/>
            <w:hideMark/>
          </w:tcPr>
          <w:p w14:paraId="5CEF6E7F" w14:textId="77777777" w:rsidR="005963D7" w:rsidRPr="00B577B9" w:rsidRDefault="005963D7" w:rsidP="005963D7">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20"/>
                <w:szCs w:val="20"/>
              </w:rPr>
            </w:pPr>
            <w:r w:rsidRPr="00B577B9">
              <w:rPr>
                <w:rFonts w:ascii="Arial" w:eastAsia="Times New Roman" w:hAnsi="Arial" w:cs="Arial"/>
                <w:position w:val="0"/>
                <w:sz w:val="20"/>
                <w:szCs w:val="20"/>
              </w:rPr>
              <w:t>150</w:t>
            </w:r>
          </w:p>
        </w:tc>
        <w:tc>
          <w:tcPr>
            <w:tcW w:w="1027" w:type="pct"/>
            <w:hideMark/>
          </w:tcPr>
          <w:p w14:paraId="686EF558" w14:textId="77777777" w:rsidR="005963D7" w:rsidRPr="005963D7" w:rsidRDefault="005963D7" w:rsidP="005963D7">
            <w:pPr>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963D7">
              <w:rPr>
                <w:rFonts w:ascii="Arial" w:hAnsi="Arial" w:cs="Arial"/>
                <w:sz w:val="20"/>
                <w:szCs w:val="20"/>
              </w:rPr>
              <w:t>1.310</w:t>
            </w:r>
          </w:p>
        </w:tc>
        <w:tc>
          <w:tcPr>
            <w:tcW w:w="1395" w:type="pct"/>
            <w:hideMark/>
          </w:tcPr>
          <w:p w14:paraId="03C730CD" w14:textId="77777777" w:rsidR="005963D7" w:rsidRPr="00B577B9" w:rsidRDefault="005963D7" w:rsidP="005963D7">
            <w:pPr>
              <w:ind w:left="0" w:hanging="2"/>
              <w:cnfStyle w:val="000000000000" w:firstRow="0" w:lastRow="0" w:firstColumn="0" w:lastColumn="0" w:oddVBand="0" w:evenVBand="0" w:oddHBand="0" w:evenHBand="0" w:firstRowFirstColumn="0" w:firstRowLastColumn="0" w:lastRowFirstColumn="0" w:lastRowLastColumn="0"/>
              <w:rPr>
                <w:sz w:val="20"/>
                <w:szCs w:val="20"/>
              </w:rPr>
            </w:pPr>
            <w:r w:rsidRPr="00B577B9">
              <w:rPr>
                <w:rFonts w:ascii="Arial" w:eastAsia="Times New Roman" w:hAnsi="Arial" w:cs="Arial"/>
                <w:position w:val="0"/>
                <w:sz w:val="20"/>
                <w:szCs w:val="20"/>
              </w:rPr>
              <w:t>Contractive</w:t>
            </w:r>
          </w:p>
        </w:tc>
      </w:tr>
      <w:tr w:rsidR="005963D7" w:rsidRPr="00696D34" w14:paraId="4C256966" w14:textId="77777777" w:rsidTr="00596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pct"/>
            <w:tcBorders>
              <w:top w:val="none" w:sz="0" w:space="0" w:color="auto"/>
              <w:bottom w:val="none" w:sz="0" w:space="0" w:color="auto"/>
            </w:tcBorders>
            <w:hideMark/>
          </w:tcPr>
          <w:p w14:paraId="40FB92F8" w14:textId="77777777" w:rsidR="005963D7" w:rsidRPr="00D03648" w:rsidRDefault="005963D7" w:rsidP="005963D7">
            <w:pPr>
              <w:suppressAutoHyphens w:val="0"/>
              <w:ind w:leftChars="0" w:left="0" w:firstLineChars="0" w:firstLine="0"/>
              <w:jc w:val="center"/>
              <w:textDirection w:val="lrTb"/>
              <w:textAlignment w:val="auto"/>
              <w:outlineLvl w:val="9"/>
              <w:rPr>
                <w:rFonts w:ascii="Arial" w:eastAsia="Times New Roman" w:hAnsi="Arial" w:cs="Arial"/>
                <w:b w:val="0"/>
                <w:position w:val="0"/>
                <w:sz w:val="20"/>
                <w:szCs w:val="20"/>
              </w:rPr>
            </w:pPr>
            <w:r w:rsidRPr="00D03648">
              <w:rPr>
                <w:rFonts w:ascii="Arial" w:eastAsia="Times New Roman" w:hAnsi="Arial" w:cs="Arial"/>
                <w:b w:val="0"/>
                <w:position w:val="0"/>
                <w:sz w:val="20"/>
                <w:szCs w:val="20"/>
              </w:rPr>
              <w:t>TG3</w:t>
            </w:r>
          </w:p>
        </w:tc>
        <w:tc>
          <w:tcPr>
            <w:tcW w:w="690" w:type="pct"/>
            <w:tcBorders>
              <w:top w:val="none" w:sz="0" w:space="0" w:color="auto"/>
              <w:bottom w:val="none" w:sz="0" w:space="0" w:color="auto"/>
            </w:tcBorders>
            <w:hideMark/>
          </w:tcPr>
          <w:p w14:paraId="0E420073" w14:textId="77777777" w:rsidR="005963D7" w:rsidRPr="00B577B9" w:rsidRDefault="005963D7" w:rsidP="005963D7">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20"/>
                <w:szCs w:val="20"/>
              </w:rPr>
            </w:pPr>
            <w:r w:rsidRPr="00B577B9">
              <w:rPr>
                <w:rFonts w:ascii="Arial" w:eastAsia="Times New Roman" w:hAnsi="Arial" w:cs="Arial"/>
                <w:position w:val="0"/>
                <w:sz w:val="20"/>
                <w:szCs w:val="20"/>
              </w:rPr>
              <w:t>9</w:t>
            </w:r>
          </w:p>
        </w:tc>
        <w:tc>
          <w:tcPr>
            <w:tcW w:w="807" w:type="pct"/>
            <w:tcBorders>
              <w:top w:val="none" w:sz="0" w:space="0" w:color="auto"/>
              <w:bottom w:val="none" w:sz="0" w:space="0" w:color="auto"/>
            </w:tcBorders>
            <w:hideMark/>
          </w:tcPr>
          <w:p w14:paraId="1517F2C7" w14:textId="77777777" w:rsidR="005963D7" w:rsidRPr="00B577B9" w:rsidRDefault="005963D7" w:rsidP="005963D7">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20"/>
                <w:szCs w:val="20"/>
              </w:rPr>
            </w:pPr>
            <w:r w:rsidRPr="00B577B9">
              <w:rPr>
                <w:rFonts w:ascii="Arial" w:eastAsia="Times New Roman" w:hAnsi="Arial" w:cs="Arial"/>
                <w:position w:val="0"/>
                <w:sz w:val="20"/>
                <w:szCs w:val="20"/>
              </w:rPr>
              <w:t>200</w:t>
            </w:r>
          </w:p>
        </w:tc>
        <w:tc>
          <w:tcPr>
            <w:tcW w:w="1027" w:type="pct"/>
            <w:tcBorders>
              <w:top w:val="none" w:sz="0" w:space="0" w:color="auto"/>
              <w:bottom w:val="none" w:sz="0" w:space="0" w:color="auto"/>
            </w:tcBorders>
            <w:hideMark/>
          </w:tcPr>
          <w:p w14:paraId="52C97C35" w14:textId="77777777" w:rsidR="005963D7" w:rsidRPr="005963D7" w:rsidRDefault="005963D7" w:rsidP="005963D7">
            <w:pPr>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963D7">
              <w:rPr>
                <w:rFonts w:ascii="Arial" w:hAnsi="Arial" w:cs="Arial"/>
                <w:sz w:val="20"/>
                <w:szCs w:val="20"/>
              </w:rPr>
              <w:t>1.306</w:t>
            </w:r>
          </w:p>
        </w:tc>
        <w:tc>
          <w:tcPr>
            <w:tcW w:w="1395" w:type="pct"/>
            <w:tcBorders>
              <w:top w:val="none" w:sz="0" w:space="0" w:color="auto"/>
              <w:bottom w:val="none" w:sz="0" w:space="0" w:color="auto"/>
            </w:tcBorders>
            <w:hideMark/>
          </w:tcPr>
          <w:p w14:paraId="16AED4C6" w14:textId="77777777" w:rsidR="005963D7" w:rsidRPr="00B577B9" w:rsidRDefault="005963D7" w:rsidP="005963D7">
            <w:pPr>
              <w:ind w:left="0" w:hanging="2"/>
              <w:cnfStyle w:val="000000100000" w:firstRow="0" w:lastRow="0" w:firstColumn="0" w:lastColumn="0" w:oddVBand="0" w:evenVBand="0" w:oddHBand="1" w:evenHBand="0" w:firstRowFirstColumn="0" w:firstRowLastColumn="0" w:lastRowFirstColumn="0" w:lastRowLastColumn="0"/>
              <w:rPr>
                <w:sz w:val="20"/>
                <w:szCs w:val="20"/>
              </w:rPr>
            </w:pPr>
            <w:r w:rsidRPr="00B577B9">
              <w:rPr>
                <w:rFonts w:ascii="Arial" w:eastAsia="Times New Roman" w:hAnsi="Arial" w:cs="Arial"/>
                <w:position w:val="0"/>
                <w:sz w:val="20"/>
                <w:szCs w:val="20"/>
              </w:rPr>
              <w:t>Contractive</w:t>
            </w:r>
          </w:p>
        </w:tc>
      </w:tr>
      <w:tr w:rsidR="00B577B9" w:rsidRPr="00696D34" w14:paraId="699E44CD" w14:textId="77777777" w:rsidTr="005963D7">
        <w:tc>
          <w:tcPr>
            <w:cnfStyle w:val="001000000000" w:firstRow="0" w:lastRow="0" w:firstColumn="1" w:lastColumn="0" w:oddVBand="0" w:evenVBand="0" w:oddHBand="0" w:evenHBand="0" w:firstRowFirstColumn="0" w:firstRowLastColumn="0" w:lastRowFirstColumn="0" w:lastRowLastColumn="0"/>
            <w:tcW w:w="2578" w:type="pct"/>
            <w:gridSpan w:val="3"/>
            <w:hideMark/>
          </w:tcPr>
          <w:p w14:paraId="5249541B" w14:textId="77777777" w:rsidR="00B577B9" w:rsidRPr="00B577B9" w:rsidRDefault="00B577B9" w:rsidP="00B577B9">
            <w:pPr>
              <w:suppressAutoHyphens w:val="0"/>
              <w:ind w:leftChars="0" w:left="0" w:firstLineChars="0" w:firstLine="0"/>
              <w:textDirection w:val="lrTb"/>
              <w:textAlignment w:val="auto"/>
              <w:outlineLvl w:val="9"/>
              <w:rPr>
                <w:rFonts w:ascii="Arial" w:eastAsia="Times New Roman" w:hAnsi="Arial" w:cs="Arial"/>
                <w:b w:val="0"/>
                <w:bCs w:val="0"/>
                <w:position w:val="0"/>
                <w:sz w:val="20"/>
                <w:szCs w:val="20"/>
              </w:rPr>
            </w:pPr>
            <w:r w:rsidRPr="00B577B9">
              <w:rPr>
                <w:rFonts w:ascii="Arial" w:eastAsia="Times New Roman" w:hAnsi="Arial" w:cs="Arial"/>
                <w:position w:val="0"/>
                <w:sz w:val="20"/>
                <w:szCs w:val="20"/>
              </w:rPr>
              <w:t>Average (FC = 9%)</w:t>
            </w:r>
          </w:p>
        </w:tc>
        <w:tc>
          <w:tcPr>
            <w:tcW w:w="1027" w:type="pct"/>
            <w:hideMark/>
          </w:tcPr>
          <w:p w14:paraId="622C78C8" w14:textId="77777777" w:rsidR="00B577B9" w:rsidRPr="00B577B9" w:rsidRDefault="00137C2F" w:rsidP="00737DAE">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position w:val="0"/>
                <w:sz w:val="20"/>
                <w:szCs w:val="20"/>
              </w:rPr>
            </w:pPr>
            <w:r w:rsidRPr="00137C2F">
              <w:rPr>
                <w:rFonts w:ascii="Arial" w:eastAsia="Times New Roman" w:hAnsi="Arial" w:cs="Arial"/>
                <w:b/>
                <w:bCs/>
                <w:position w:val="0"/>
                <w:sz w:val="20"/>
                <w:szCs w:val="20"/>
              </w:rPr>
              <w:t>1.312</w:t>
            </w:r>
          </w:p>
        </w:tc>
        <w:tc>
          <w:tcPr>
            <w:tcW w:w="1395" w:type="pct"/>
            <w:hideMark/>
          </w:tcPr>
          <w:p w14:paraId="5F227CDA" w14:textId="77777777" w:rsidR="00B577B9" w:rsidRDefault="00B577B9" w:rsidP="00737DAE">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20"/>
                <w:szCs w:val="20"/>
              </w:rPr>
            </w:pPr>
          </w:p>
          <w:p w14:paraId="491C9C20" w14:textId="77777777" w:rsidR="00B577B9" w:rsidRPr="00B577B9" w:rsidRDefault="00B577B9" w:rsidP="00737DAE">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20"/>
                <w:szCs w:val="20"/>
              </w:rPr>
            </w:pPr>
          </w:p>
        </w:tc>
      </w:tr>
      <w:tr w:rsidR="005963D7" w:rsidRPr="00696D34" w14:paraId="72E03CA7" w14:textId="77777777" w:rsidTr="00596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pct"/>
            <w:tcBorders>
              <w:top w:val="none" w:sz="0" w:space="0" w:color="auto"/>
              <w:bottom w:val="none" w:sz="0" w:space="0" w:color="auto"/>
            </w:tcBorders>
            <w:hideMark/>
          </w:tcPr>
          <w:p w14:paraId="77C249C1" w14:textId="77777777" w:rsidR="005963D7" w:rsidRPr="00D03648" w:rsidRDefault="005963D7" w:rsidP="005963D7">
            <w:pPr>
              <w:suppressAutoHyphens w:val="0"/>
              <w:ind w:leftChars="0" w:left="0" w:firstLineChars="0" w:firstLine="0"/>
              <w:jc w:val="center"/>
              <w:textDirection w:val="lrTb"/>
              <w:textAlignment w:val="auto"/>
              <w:outlineLvl w:val="9"/>
              <w:rPr>
                <w:rFonts w:ascii="Arial" w:eastAsia="Times New Roman" w:hAnsi="Arial" w:cs="Arial"/>
                <w:b w:val="0"/>
                <w:position w:val="0"/>
                <w:sz w:val="20"/>
                <w:szCs w:val="20"/>
              </w:rPr>
            </w:pPr>
            <w:r w:rsidRPr="00D03648">
              <w:rPr>
                <w:rFonts w:ascii="Arial" w:eastAsia="Times New Roman" w:hAnsi="Arial" w:cs="Arial"/>
                <w:b w:val="0"/>
                <w:position w:val="0"/>
                <w:sz w:val="20"/>
                <w:szCs w:val="20"/>
              </w:rPr>
              <w:t>AP1</w:t>
            </w:r>
          </w:p>
        </w:tc>
        <w:tc>
          <w:tcPr>
            <w:tcW w:w="690" w:type="pct"/>
            <w:tcBorders>
              <w:top w:val="none" w:sz="0" w:space="0" w:color="auto"/>
              <w:bottom w:val="none" w:sz="0" w:space="0" w:color="auto"/>
            </w:tcBorders>
            <w:hideMark/>
          </w:tcPr>
          <w:p w14:paraId="739476C8" w14:textId="77777777" w:rsidR="005963D7" w:rsidRPr="00B577B9" w:rsidRDefault="005963D7" w:rsidP="005963D7">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20"/>
                <w:szCs w:val="20"/>
              </w:rPr>
            </w:pPr>
            <w:r w:rsidRPr="00B577B9">
              <w:rPr>
                <w:rFonts w:ascii="Arial" w:eastAsia="Times New Roman" w:hAnsi="Arial" w:cs="Arial"/>
                <w:position w:val="0"/>
                <w:sz w:val="20"/>
                <w:szCs w:val="20"/>
              </w:rPr>
              <w:t>26.4</w:t>
            </w:r>
          </w:p>
        </w:tc>
        <w:tc>
          <w:tcPr>
            <w:tcW w:w="807" w:type="pct"/>
            <w:tcBorders>
              <w:top w:val="none" w:sz="0" w:space="0" w:color="auto"/>
              <w:bottom w:val="none" w:sz="0" w:space="0" w:color="auto"/>
            </w:tcBorders>
            <w:hideMark/>
          </w:tcPr>
          <w:p w14:paraId="219DD8A9" w14:textId="77777777" w:rsidR="005963D7" w:rsidRPr="00B577B9" w:rsidRDefault="005963D7" w:rsidP="005963D7">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20"/>
                <w:szCs w:val="20"/>
              </w:rPr>
            </w:pPr>
            <w:r w:rsidRPr="00B577B9">
              <w:rPr>
                <w:rFonts w:ascii="Arial" w:eastAsia="Times New Roman" w:hAnsi="Arial" w:cs="Arial"/>
                <w:position w:val="0"/>
                <w:sz w:val="20"/>
                <w:szCs w:val="20"/>
              </w:rPr>
              <w:t>100</w:t>
            </w:r>
          </w:p>
        </w:tc>
        <w:tc>
          <w:tcPr>
            <w:tcW w:w="1027" w:type="pct"/>
            <w:tcBorders>
              <w:top w:val="none" w:sz="0" w:space="0" w:color="auto"/>
              <w:bottom w:val="none" w:sz="0" w:space="0" w:color="auto"/>
            </w:tcBorders>
            <w:hideMark/>
          </w:tcPr>
          <w:p w14:paraId="3F8D8491" w14:textId="77777777" w:rsidR="005963D7" w:rsidRPr="005963D7" w:rsidRDefault="005963D7" w:rsidP="005963D7">
            <w:pPr>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963D7">
              <w:rPr>
                <w:rFonts w:ascii="Arial" w:hAnsi="Arial" w:cs="Arial"/>
                <w:sz w:val="20"/>
                <w:szCs w:val="20"/>
              </w:rPr>
              <w:t>1.359</w:t>
            </w:r>
          </w:p>
        </w:tc>
        <w:tc>
          <w:tcPr>
            <w:tcW w:w="1395" w:type="pct"/>
            <w:tcBorders>
              <w:top w:val="none" w:sz="0" w:space="0" w:color="auto"/>
              <w:bottom w:val="none" w:sz="0" w:space="0" w:color="auto"/>
            </w:tcBorders>
            <w:hideMark/>
          </w:tcPr>
          <w:p w14:paraId="332378DB" w14:textId="77777777" w:rsidR="005963D7" w:rsidRPr="00B577B9" w:rsidRDefault="005963D7" w:rsidP="005963D7">
            <w:pPr>
              <w:ind w:left="0" w:hanging="2"/>
              <w:cnfStyle w:val="000000100000" w:firstRow="0" w:lastRow="0" w:firstColumn="0" w:lastColumn="0" w:oddVBand="0" w:evenVBand="0" w:oddHBand="1" w:evenHBand="0" w:firstRowFirstColumn="0" w:firstRowLastColumn="0" w:lastRowFirstColumn="0" w:lastRowLastColumn="0"/>
              <w:rPr>
                <w:sz w:val="20"/>
                <w:szCs w:val="20"/>
              </w:rPr>
            </w:pPr>
            <w:r w:rsidRPr="00B577B9">
              <w:rPr>
                <w:rFonts w:ascii="Arial" w:eastAsia="Times New Roman" w:hAnsi="Arial" w:cs="Arial"/>
                <w:position w:val="0"/>
                <w:sz w:val="20"/>
                <w:szCs w:val="20"/>
              </w:rPr>
              <w:t>Contractive</w:t>
            </w:r>
          </w:p>
        </w:tc>
      </w:tr>
      <w:tr w:rsidR="005963D7" w:rsidRPr="00696D34" w14:paraId="2131CF41" w14:textId="77777777" w:rsidTr="005963D7">
        <w:tc>
          <w:tcPr>
            <w:cnfStyle w:val="001000000000" w:firstRow="0" w:lastRow="0" w:firstColumn="1" w:lastColumn="0" w:oddVBand="0" w:evenVBand="0" w:oddHBand="0" w:evenHBand="0" w:firstRowFirstColumn="0" w:firstRowLastColumn="0" w:lastRowFirstColumn="0" w:lastRowLastColumn="0"/>
            <w:tcW w:w="1082" w:type="pct"/>
            <w:hideMark/>
          </w:tcPr>
          <w:p w14:paraId="1F83BD5E" w14:textId="77777777" w:rsidR="005963D7" w:rsidRPr="00D03648" w:rsidRDefault="005963D7" w:rsidP="005963D7">
            <w:pPr>
              <w:suppressAutoHyphens w:val="0"/>
              <w:ind w:leftChars="0" w:left="0" w:firstLineChars="0" w:firstLine="0"/>
              <w:jc w:val="center"/>
              <w:textDirection w:val="lrTb"/>
              <w:textAlignment w:val="auto"/>
              <w:outlineLvl w:val="9"/>
              <w:rPr>
                <w:rFonts w:ascii="Arial" w:eastAsia="Times New Roman" w:hAnsi="Arial" w:cs="Arial"/>
                <w:b w:val="0"/>
                <w:position w:val="0"/>
                <w:sz w:val="20"/>
                <w:szCs w:val="20"/>
              </w:rPr>
            </w:pPr>
            <w:r w:rsidRPr="00D03648">
              <w:rPr>
                <w:rFonts w:ascii="Arial" w:eastAsia="Times New Roman" w:hAnsi="Arial" w:cs="Arial"/>
                <w:b w:val="0"/>
                <w:position w:val="0"/>
                <w:sz w:val="20"/>
                <w:szCs w:val="20"/>
              </w:rPr>
              <w:lastRenderedPageBreak/>
              <w:t>AP2</w:t>
            </w:r>
          </w:p>
        </w:tc>
        <w:tc>
          <w:tcPr>
            <w:tcW w:w="690" w:type="pct"/>
            <w:hideMark/>
          </w:tcPr>
          <w:p w14:paraId="1C048BCD" w14:textId="77777777" w:rsidR="005963D7" w:rsidRPr="00B577B9" w:rsidRDefault="005963D7" w:rsidP="005963D7">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20"/>
                <w:szCs w:val="20"/>
              </w:rPr>
            </w:pPr>
            <w:r w:rsidRPr="00B577B9">
              <w:rPr>
                <w:rFonts w:ascii="Arial" w:eastAsia="Times New Roman" w:hAnsi="Arial" w:cs="Arial"/>
                <w:position w:val="0"/>
                <w:sz w:val="20"/>
                <w:szCs w:val="20"/>
              </w:rPr>
              <w:t>26.4</w:t>
            </w:r>
          </w:p>
        </w:tc>
        <w:tc>
          <w:tcPr>
            <w:tcW w:w="807" w:type="pct"/>
            <w:hideMark/>
          </w:tcPr>
          <w:p w14:paraId="75740A57" w14:textId="77777777" w:rsidR="005963D7" w:rsidRPr="00B577B9" w:rsidRDefault="005963D7" w:rsidP="005963D7">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20"/>
                <w:szCs w:val="20"/>
              </w:rPr>
            </w:pPr>
            <w:r w:rsidRPr="00B577B9">
              <w:rPr>
                <w:rFonts w:ascii="Arial" w:eastAsia="Times New Roman" w:hAnsi="Arial" w:cs="Arial"/>
                <w:position w:val="0"/>
                <w:sz w:val="20"/>
                <w:szCs w:val="20"/>
              </w:rPr>
              <w:t>150</w:t>
            </w:r>
          </w:p>
        </w:tc>
        <w:tc>
          <w:tcPr>
            <w:tcW w:w="1027" w:type="pct"/>
            <w:hideMark/>
          </w:tcPr>
          <w:p w14:paraId="7FBDA7C2" w14:textId="77777777" w:rsidR="005963D7" w:rsidRPr="005963D7" w:rsidRDefault="005963D7" w:rsidP="005963D7">
            <w:pPr>
              <w:ind w:left="0" w:hanging="2"/>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963D7">
              <w:rPr>
                <w:rFonts w:ascii="Arial" w:hAnsi="Arial" w:cs="Arial"/>
                <w:sz w:val="20"/>
                <w:szCs w:val="20"/>
              </w:rPr>
              <w:t>1.353</w:t>
            </w:r>
          </w:p>
        </w:tc>
        <w:tc>
          <w:tcPr>
            <w:tcW w:w="1395" w:type="pct"/>
            <w:hideMark/>
          </w:tcPr>
          <w:p w14:paraId="29D9BCEE" w14:textId="77777777" w:rsidR="005963D7" w:rsidRPr="00B577B9" w:rsidRDefault="005963D7" w:rsidP="005963D7">
            <w:pPr>
              <w:ind w:left="0" w:hanging="2"/>
              <w:cnfStyle w:val="000000000000" w:firstRow="0" w:lastRow="0" w:firstColumn="0" w:lastColumn="0" w:oddVBand="0" w:evenVBand="0" w:oddHBand="0" w:evenHBand="0" w:firstRowFirstColumn="0" w:firstRowLastColumn="0" w:lastRowFirstColumn="0" w:lastRowLastColumn="0"/>
              <w:rPr>
                <w:sz w:val="20"/>
                <w:szCs w:val="20"/>
              </w:rPr>
            </w:pPr>
            <w:r w:rsidRPr="00B577B9">
              <w:rPr>
                <w:rFonts w:ascii="Arial" w:eastAsia="Times New Roman" w:hAnsi="Arial" w:cs="Arial"/>
                <w:position w:val="0"/>
                <w:sz w:val="20"/>
                <w:szCs w:val="20"/>
              </w:rPr>
              <w:t>Contractive</w:t>
            </w:r>
          </w:p>
        </w:tc>
      </w:tr>
      <w:tr w:rsidR="005963D7" w:rsidRPr="00696D34" w14:paraId="3BCD6D9A" w14:textId="77777777" w:rsidTr="00596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2" w:type="pct"/>
            <w:tcBorders>
              <w:top w:val="none" w:sz="0" w:space="0" w:color="auto"/>
              <w:bottom w:val="none" w:sz="0" w:space="0" w:color="auto"/>
            </w:tcBorders>
            <w:hideMark/>
          </w:tcPr>
          <w:p w14:paraId="0EE8AD75" w14:textId="77777777" w:rsidR="005963D7" w:rsidRPr="00D03648" w:rsidRDefault="005963D7" w:rsidP="005963D7">
            <w:pPr>
              <w:suppressAutoHyphens w:val="0"/>
              <w:ind w:leftChars="0" w:left="0" w:firstLineChars="0" w:firstLine="0"/>
              <w:jc w:val="center"/>
              <w:textDirection w:val="lrTb"/>
              <w:textAlignment w:val="auto"/>
              <w:outlineLvl w:val="9"/>
              <w:rPr>
                <w:rFonts w:ascii="Arial" w:eastAsia="Times New Roman" w:hAnsi="Arial" w:cs="Arial"/>
                <w:b w:val="0"/>
                <w:position w:val="0"/>
                <w:sz w:val="20"/>
                <w:szCs w:val="20"/>
              </w:rPr>
            </w:pPr>
            <w:r w:rsidRPr="00D03648">
              <w:rPr>
                <w:rFonts w:ascii="Arial" w:eastAsia="Times New Roman" w:hAnsi="Arial" w:cs="Arial"/>
                <w:b w:val="0"/>
                <w:position w:val="0"/>
                <w:sz w:val="20"/>
                <w:szCs w:val="20"/>
              </w:rPr>
              <w:t>AP3</w:t>
            </w:r>
          </w:p>
        </w:tc>
        <w:tc>
          <w:tcPr>
            <w:tcW w:w="690" w:type="pct"/>
            <w:tcBorders>
              <w:top w:val="none" w:sz="0" w:space="0" w:color="auto"/>
              <w:bottom w:val="none" w:sz="0" w:space="0" w:color="auto"/>
            </w:tcBorders>
            <w:hideMark/>
          </w:tcPr>
          <w:p w14:paraId="0F5327DD" w14:textId="77777777" w:rsidR="005963D7" w:rsidRPr="00B577B9" w:rsidRDefault="005963D7" w:rsidP="005963D7">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20"/>
                <w:szCs w:val="20"/>
              </w:rPr>
            </w:pPr>
            <w:r w:rsidRPr="00B577B9">
              <w:rPr>
                <w:rFonts w:ascii="Arial" w:eastAsia="Times New Roman" w:hAnsi="Arial" w:cs="Arial"/>
                <w:position w:val="0"/>
                <w:sz w:val="20"/>
                <w:szCs w:val="20"/>
              </w:rPr>
              <w:t>26.4</w:t>
            </w:r>
          </w:p>
        </w:tc>
        <w:tc>
          <w:tcPr>
            <w:tcW w:w="807" w:type="pct"/>
            <w:tcBorders>
              <w:top w:val="none" w:sz="0" w:space="0" w:color="auto"/>
              <w:bottom w:val="none" w:sz="0" w:space="0" w:color="auto"/>
            </w:tcBorders>
            <w:hideMark/>
          </w:tcPr>
          <w:p w14:paraId="042D1245" w14:textId="77777777" w:rsidR="005963D7" w:rsidRPr="00B577B9" w:rsidRDefault="005963D7" w:rsidP="005963D7">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Arial" w:eastAsia="Times New Roman" w:hAnsi="Arial" w:cs="Arial"/>
                <w:position w:val="0"/>
                <w:sz w:val="20"/>
                <w:szCs w:val="20"/>
              </w:rPr>
            </w:pPr>
            <w:r w:rsidRPr="00B577B9">
              <w:rPr>
                <w:rFonts w:ascii="Arial" w:eastAsia="Times New Roman" w:hAnsi="Arial" w:cs="Arial"/>
                <w:position w:val="0"/>
                <w:sz w:val="20"/>
                <w:szCs w:val="20"/>
              </w:rPr>
              <w:t>200</w:t>
            </w:r>
          </w:p>
        </w:tc>
        <w:tc>
          <w:tcPr>
            <w:tcW w:w="1027" w:type="pct"/>
            <w:tcBorders>
              <w:top w:val="none" w:sz="0" w:space="0" w:color="auto"/>
              <w:bottom w:val="none" w:sz="0" w:space="0" w:color="auto"/>
            </w:tcBorders>
            <w:hideMark/>
          </w:tcPr>
          <w:p w14:paraId="50229165" w14:textId="77777777" w:rsidR="005963D7" w:rsidRPr="005963D7" w:rsidRDefault="005963D7" w:rsidP="005963D7">
            <w:pPr>
              <w:ind w:left="0" w:hanging="2"/>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963D7">
              <w:rPr>
                <w:rFonts w:ascii="Arial" w:hAnsi="Arial" w:cs="Arial"/>
                <w:sz w:val="20"/>
                <w:szCs w:val="20"/>
              </w:rPr>
              <w:t>1.352</w:t>
            </w:r>
          </w:p>
        </w:tc>
        <w:tc>
          <w:tcPr>
            <w:tcW w:w="1395" w:type="pct"/>
            <w:tcBorders>
              <w:top w:val="none" w:sz="0" w:space="0" w:color="auto"/>
              <w:bottom w:val="none" w:sz="0" w:space="0" w:color="auto"/>
            </w:tcBorders>
            <w:hideMark/>
          </w:tcPr>
          <w:p w14:paraId="5930AF99" w14:textId="77777777" w:rsidR="005963D7" w:rsidRPr="00B577B9" w:rsidRDefault="005963D7" w:rsidP="005963D7">
            <w:pPr>
              <w:ind w:left="0" w:hanging="2"/>
              <w:cnfStyle w:val="000000100000" w:firstRow="0" w:lastRow="0" w:firstColumn="0" w:lastColumn="0" w:oddVBand="0" w:evenVBand="0" w:oddHBand="1" w:evenHBand="0" w:firstRowFirstColumn="0" w:firstRowLastColumn="0" w:lastRowFirstColumn="0" w:lastRowLastColumn="0"/>
              <w:rPr>
                <w:sz w:val="20"/>
                <w:szCs w:val="20"/>
              </w:rPr>
            </w:pPr>
            <w:r w:rsidRPr="00B577B9">
              <w:rPr>
                <w:rFonts w:ascii="Arial" w:eastAsia="Times New Roman" w:hAnsi="Arial" w:cs="Arial"/>
                <w:position w:val="0"/>
                <w:sz w:val="20"/>
                <w:szCs w:val="20"/>
              </w:rPr>
              <w:t>Contractive</w:t>
            </w:r>
          </w:p>
        </w:tc>
      </w:tr>
      <w:tr w:rsidR="00B577B9" w:rsidRPr="00696D34" w14:paraId="56B3F355" w14:textId="77777777" w:rsidTr="005963D7">
        <w:tc>
          <w:tcPr>
            <w:cnfStyle w:val="001000000000" w:firstRow="0" w:lastRow="0" w:firstColumn="1" w:lastColumn="0" w:oddVBand="0" w:evenVBand="0" w:oddHBand="0" w:evenHBand="0" w:firstRowFirstColumn="0" w:firstRowLastColumn="0" w:lastRowFirstColumn="0" w:lastRowLastColumn="0"/>
            <w:tcW w:w="2578" w:type="pct"/>
            <w:gridSpan w:val="3"/>
            <w:hideMark/>
          </w:tcPr>
          <w:p w14:paraId="52F291CC" w14:textId="77777777" w:rsidR="00B577B9" w:rsidRPr="00B577B9" w:rsidRDefault="00B577B9" w:rsidP="003058DD">
            <w:pPr>
              <w:suppressAutoHyphens w:val="0"/>
              <w:ind w:leftChars="0" w:left="0" w:firstLineChars="0" w:firstLine="0"/>
              <w:textDirection w:val="lrTb"/>
              <w:textAlignment w:val="auto"/>
              <w:outlineLvl w:val="9"/>
              <w:rPr>
                <w:rFonts w:ascii="Arial" w:eastAsia="Times New Roman" w:hAnsi="Arial" w:cs="Arial"/>
                <w:b w:val="0"/>
                <w:bCs w:val="0"/>
                <w:position w:val="0"/>
                <w:sz w:val="20"/>
                <w:szCs w:val="20"/>
              </w:rPr>
            </w:pPr>
            <w:r w:rsidRPr="00B577B9">
              <w:rPr>
                <w:rFonts w:ascii="Arial" w:eastAsia="Times New Roman" w:hAnsi="Arial" w:cs="Arial"/>
                <w:position w:val="0"/>
                <w:sz w:val="20"/>
                <w:szCs w:val="20"/>
              </w:rPr>
              <w:t>Average (FC = 26.4%)</w:t>
            </w:r>
          </w:p>
        </w:tc>
        <w:tc>
          <w:tcPr>
            <w:tcW w:w="1027" w:type="pct"/>
            <w:hideMark/>
          </w:tcPr>
          <w:p w14:paraId="3ED02BAE" w14:textId="77777777" w:rsidR="00B577B9" w:rsidRPr="00B577B9" w:rsidRDefault="005963D7" w:rsidP="00737DAE">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position w:val="0"/>
                <w:sz w:val="20"/>
                <w:szCs w:val="20"/>
              </w:rPr>
            </w:pPr>
            <w:r w:rsidRPr="005963D7">
              <w:rPr>
                <w:rFonts w:ascii="Arial" w:eastAsia="Times New Roman" w:hAnsi="Arial" w:cs="Arial"/>
                <w:b/>
                <w:bCs/>
                <w:position w:val="0"/>
                <w:sz w:val="20"/>
                <w:szCs w:val="20"/>
              </w:rPr>
              <w:t>1.355</w:t>
            </w:r>
          </w:p>
        </w:tc>
        <w:tc>
          <w:tcPr>
            <w:tcW w:w="1395" w:type="pct"/>
            <w:hideMark/>
          </w:tcPr>
          <w:p w14:paraId="5328939E" w14:textId="77777777" w:rsidR="00B577B9" w:rsidRPr="00B577B9" w:rsidRDefault="00B577B9" w:rsidP="00737DAE">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Arial" w:eastAsia="Times New Roman" w:hAnsi="Arial" w:cs="Arial"/>
                <w:position w:val="0"/>
                <w:sz w:val="20"/>
                <w:szCs w:val="20"/>
              </w:rPr>
            </w:pPr>
          </w:p>
        </w:tc>
      </w:tr>
    </w:tbl>
    <w:p w14:paraId="508AE30A" w14:textId="77777777" w:rsidR="00922798" w:rsidRDefault="00922798" w:rsidP="0018047B">
      <w:pPr>
        <w:suppressAutoHyphens w:val="0"/>
        <w:spacing w:before="120" w:after="120"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pPr>
    </w:p>
    <w:p w14:paraId="7B34C455" w14:textId="77777777" w:rsidR="004D1282" w:rsidRDefault="004D1282" w:rsidP="0018047B">
      <w:pPr>
        <w:suppressAutoHyphens w:val="0"/>
        <w:spacing w:before="120" w:after="120" w:line="240" w:lineRule="auto"/>
        <w:ind w:leftChars="0" w:left="0" w:firstLineChars="0" w:firstLine="0"/>
        <w:jc w:val="both"/>
        <w:textDirection w:val="lrTb"/>
        <w:textAlignment w:val="auto"/>
        <w:outlineLvl w:val="9"/>
        <w:rPr>
          <w:rFonts w:ascii="Arial" w:eastAsia="Times New Roman" w:hAnsi="Arial" w:cs="Arial"/>
          <w:b/>
          <w:position w:val="0"/>
          <w:sz w:val="20"/>
          <w:szCs w:val="20"/>
        </w:rPr>
      </w:pPr>
      <w:r w:rsidRPr="004D1282">
        <w:rPr>
          <w:rFonts w:ascii="Arial" w:eastAsia="Times New Roman" w:hAnsi="Arial" w:cs="Arial"/>
          <w:b/>
          <w:bCs/>
          <w:position w:val="0"/>
          <w:sz w:val="20"/>
          <w:szCs w:val="20"/>
        </w:rPr>
        <w:t xml:space="preserve">Effective Stress Path </w:t>
      </w:r>
      <m:oMath>
        <m:r>
          <m:rPr>
            <m:sty m:val="bi"/>
          </m:rPr>
          <w:rPr>
            <w:rFonts w:ascii="Cambria Math" w:eastAsia="Times New Roman" w:hAnsi="Cambria Math" w:cs="Arial"/>
            <w:position w:val="0"/>
            <w:sz w:val="20"/>
            <w:szCs w:val="20"/>
          </w:rPr>
          <m:t>(p'-q)</m:t>
        </m:r>
      </m:oMath>
    </w:p>
    <w:p w14:paraId="325CD895" w14:textId="77777777" w:rsidR="00444812" w:rsidRPr="00292B5B" w:rsidRDefault="00444812" w:rsidP="0018047B">
      <w:pPr>
        <w:suppressAutoHyphens w:val="0"/>
        <w:spacing w:before="120" w:after="120" w:line="240" w:lineRule="auto"/>
        <w:ind w:leftChars="0" w:left="0" w:firstLineChars="0" w:hanging="2"/>
        <w:jc w:val="both"/>
        <w:textDirection w:val="lrTb"/>
        <w:textAlignment w:val="auto"/>
        <w:outlineLvl w:val="9"/>
        <w:rPr>
          <w:rFonts w:ascii="Arial" w:eastAsia="Times New Roman" w:hAnsi="Arial" w:cs="Arial"/>
          <w:position w:val="0"/>
          <w:sz w:val="20"/>
          <w:szCs w:val="20"/>
        </w:rPr>
      </w:pPr>
      <w:r w:rsidRPr="00292B5B">
        <w:rPr>
          <w:rFonts w:ascii="Arial" w:eastAsia="Times New Roman" w:hAnsi="Arial" w:cs="Arial"/>
          <w:position w:val="0"/>
          <w:sz w:val="20"/>
          <w:szCs w:val="20"/>
        </w:rPr>
        <w:t xml:space="preserve">The effective stress paths (Figure 7) consistently moved downward to the left, reflecting the progressive reduction in mean effective stress </w:t>
      </w:r>
      <m:oMath>
        <m:r>
          <w:rPr>
            <w:rFonts w:ascii="Cambria Math" w:eastAsia="Times New Roman" w:hAnsi="Cambria Math" w:cs="Arial"/>
            <w:position w:val="0"/>
            <w:sz w:val="20"/>
            <w:szCs w:val="20"/>
          </w:rPr>
          <m:t>(p')</m:t>
        </m:r>
      </m:oMath>
      <w:r w:rsidRPr="00292B5B">
        <w:rPr>
          <w:rFonts w:ascii="Arial" w:eastAsia="Times New Roman" w:hAnsi="Arial" w:cs="Arial"/>
          <w:position w:val="0"/>
          <w:sz w:val="20"/>
          <w:szCs w:val="20"/>
        </w:rPr>
        <w:t xml:space="preserve"> associated with contractive behavior under undrained loading. The addition of fine particles significantly influenced this contractive response. Specimens with higher fines content (FC </w:t>
      </w:r>
      <w:r w:rsidR="00F713E0">
        <w:rPr>
          <w:rFonts w:ascii="Arial" w:eastAsia="Times New Roman" w:hAnsi="Arial" w:cs="Arial"/>
          <w:position w:val="0"/>
          <w:sz w:val="20"/>
          <w:szCs w:val="20"/>
        </w:rPr>
        <w:t>=</w:t>
      </w:r>
      <w:r w:rsidRPr="00292B5B">
        <w:rPr>
          <w:rFonts w:ascii="Arial" w:eastAsia="Times New Roman" w:hAnsi="Arial" w:cs="Arial"/>
          <w:position w:val="0"/>
          <w:sz w:val="20"/>
          <w:szCs w:val="20"/>
        </w:rPr>
        <w:t xml:space="preserve"> 26.4%) shifted more rapidly toward the lower-left region of the </w:t>
      </w:r>
      <m:oMath>
        <m:r>
          <w:rPr>
            <w:rFonts w:ascii="Cambria Math" w:eastAsia="Times New Roman" w:hAnsi="Cambria Math" w:cs="Arial"/>
            <w:position w:val="0"/>
            <w:sz w:val="20"/>
            <w:szCs w:val="20"/>
          </w:rPr>
          <m:t>p'-q</m:t>
        </m:r>
      </m:oMath>
      <w:r w:rsidRPr="00292B5B">
        <w:rPr>
          <w:rFonts w:ascii="Arial" w:eastAsia="Times New Roman" w:hAnsi="Arial" w:cs="Arial"/>
          <w:position w:val="0"/>
          <w:sz w:val="20"/>
          <w:szCs w:val="20"/>
        </w:rPr>
        <w:t xml:space="preserve"> plane compared to those with lower fines content (FC </w:t>
      </w:r>
      <w:r w:rsidR="00F713E0">
        <w:rPr>
          <w:rFonts w:ascii="Arial" w:eastAsia="Times New Roman" w:hAnsi="Arial" w:cs="Arial"/>
          <w:position w:val="0"/>
          <w:sz w:val="20"/>
          <w:szCs w:val="20"/>
        </w:rPr>
        <w:t>=</w:t>
      </w:r>
      <w:r w:rsidRPr="00292B5B">
        <w:rPr>
          <w:rFonts w:ascii="Arial" w:eastAsia="Times New Roman" w:hAnsi="Arial" w:cs="Arial"/>
          <w:position w:val="0"/>
          <w:sz w:val="20"/>
          <w:szCs w:val="20"/>
        </w:rPr>
        <w:t xml:space="preserve"> 9%). This tendency indicates greater excess pore water pressure </w:t>
      </w:r>
      <m:oMath>
        <m:r>
          <w:rPr>
            <w:rFonts w:ascii="Cambria Math" w:eastAsia="Times New Roman" w:hAnsi="Cambria Math" w:cs="Arial"/>
            <w:position w:val="0"/>
            <w:sz w:val="20"/>
            <w:szCs w:val="20"/>
          </w:rPr>
          <m:t>(Δu)</m:t>
        </m:r>
      </m:oMath>
      <w:r w:rsidRPr="00292B5B">
        <w:rPr>
          <w:rFonts w:ascii="Arial" w:eastAsia="Times New Roman" w:hAnsi="Arial" w:cs="Arial"/>
          <w:position w:val="0"/>
          <w:sz w:val="20"/>
          <w:szCs w:val="20"/>
        </w:rPr>
        <w:t xml:space="preserve"> gene</w:t>
      </w:r>
      <w:r w:rsidR="005016D3">
        <w:rPr>
          <w:rFonts w:ascii="Arial" w:eastAsia="Times New Roman" w:hAnsi="Arial" w:cs="Arial"/>
          <w:position w:val="0"/>
          <w:sz w:val="20"/>
          <w:szCs w:val="20"/>
        </w:rPr>
        <w:t>ration at small strains (&lt; 10%).</w:t>
      </w:r>
      <w:r w:rsidRPr="00292B5B">
        <w:rPr>
          <w:rFonts w:ascii="Arial" w:eastAsia="Times New Roman" w:hAnsi="Arial" w:cs="Arial"/>
          <w:position w:val="0"/>
          <w:sz w:val="20"/>
          <w:szCs w:val="20"/>
        </w:rPr>
        <w:t xml:space="preserve"> </w:t>
      </w:r>
      <w:r w:rsidR="005016D3" w:rsidRPr="005016D3">
        <w:rPr>
          <w:rFonts w:ascii="Arial" w:eastAsia="Times New Roman" w:hAnsi="Arial" w:cs="Arial"/>
          <w:position w:val="0"/>
          <w:sz w:val="20"/>
          <w:szCs w:val="20"/>
        </w:rPr>
        <w:t xml:space="preserve">This </w:t>
      </w:r>
      <w:r w:rsidR="00565950" w:rsidRPr="00565950">
        <w:rPr>
          <w:rFonts w:ascii="Arial" w:eastAsia="Times New Roman" w:hAnsi="Arial" w:cs="Arial"/>
          <w:position w:val="0"/>
          <w:sz w:val="20"/>
          <w:szCs w:val="20"/>
        </w:rPr>
        <w:t xml:space="preserve">trend </w:t>
      </w:r>
      <w:r w:rsidR="003303C8">
        <w:rPr>
          <w:rFonts w:ascii="Arial" w:eastAsia="Times New Roman" w:hAnsi="Arial" w:cs="Arial"/>
          <w:position w:val="0"/>
          <w:sz w:val="20"/>
          <w:szCs w:val="20"/>
        </w:rPr>
        <w:t xml:space="preserve">is </w:t>
      </w:r>
      <w:r w:rsidR="00565950" w:rsidRPr="00565950">
        <w:rPr>
          <w:rFonts w:ascii="Arial" w:eastAsia="Times New Roman" w:hAnsi="Arial" w:cs="Arial"/>
          <w:position w:val="0"/>
          <w:sz w:val="20"/>
          <w:szCs w:val="20"/>
        </w:rPr>
        <w:t>consistent with previous findings that non-plastic fines intensify contractive response and accelerate</w:t>
      </w:r>
      <w:r w:rsidRPr="00292B5B">
        <w:rPr>
          <w:rFonts w:ascii="Arial" w:eastAsia="Times New Roman" w:hAnsi="Arial" w:cs="Arial"/>
          <w:position w:val="0"/>
          <w:sz w:val="20"/>
          <w:szCs w:val="20"/>
        </w:rPr>
        <w:t xml:space="preserve"> </w:t>
      </w:r>
      <w:r w:rsidR="00292B5B" w:rsidRPr="00292B5B">
        <w:rPr>
          <w:rFonts w:ascii="Arial" w:eastAsia="Times New Roman" w:hAnsi="Arial" w:cs="Arial"/>
          <w:position w:val="0"/>
          <w:sz w:val="20"/>
          <w:szCs w:val="20"/>
        </w:rPr>
        <w:fldChar w:fldCharType="begin" w:fldLock="1"/>
      </w:r>
      <w:r w:rsidR="001242FC">
        <w:rPr>
          <w:rFonts w:ascii="Arial" w:eastAsia="Times New Roman" w:hAnsi="Arial" w:cs="Arial"/>
          <w:position w:val="0"/>
          <w:sz w:val="20"/>
          <w:szCs w:val="20"/>
        </w:rPr>
        <w:instrText>ADDIN CSL_CITATION {"citationItems":[{"id":"ITEM-1","itemData":{"DOI":"10.1080/19648189.2021.1927195","ISSN":"19648189","abstract":"This paper presents a study of the influence of plastic and non-plastic fines on the resistance of sands to liquefaction. The study is carried out with the aid of a triaxial apparatus on reconstituted sand-fines mixtures at low fines content (≤ 5%). A description of the soils used in this study is first presented followed by the presentation of results of undrained monotonic liquefaction tests performed on sand specimens containing different fines fractions. Experimental results show that the increase in non-plastic fines content up to 5% increases the resistance of sand to liquefaction. Whereas the increase in plastic fines content reveals a decrease in the latter. This result is due to the contribution of the non-plastic fine particles to the overall chain forces and therefore they increase the resistance against liquefaction, however the decrease in the resistance with plastic fines could be attributed to their nature that lead to the sliding between the sand grains and therefore favour the contractancy of the whole specimen.","author":[{"dropping-particle":"","family":"Jradi","given":"Layal","non-dropping-particle":"","parse-names":false,"suffix":""},{"dropping-particle":"","family":"Dine","given":"Bassel Seif","non-dropping-particle":"El","parse-names":false,"suffix":""},{"dropping-particle":"","family":"Dupla","given":"Jean Claude","non-dropping-particle":"","parse-names":false,"suffix":""},{"dropping-particle":"","family":"Canou","given":"Jean","non-dropping-particle":"","parse-names":false,"suffix":""}],"container-title":"European Journal of Environmental and Civil Engineering","id":"ITEM-1","issue":"12","issued":{"date-parts":[["2022"]]},"page":"6012-6031","publisher":"Taylor &amp; Francis","title":"Influence of low fines content on the liquefaction resistance of sands","type":"article-journal","volume":"26"},"uris":["http://www.mendeley.com/documents/?uuid=e7416bdd-b6ef-4f6d-b2d4-6107ec7b6912"]}],"mendeley":{"formattedCitation":"[9]","plainTextFormattedCitation":"[9]","previouslyFormattedCitation":"[9]"},"properties":{"noteIndex":0},"schema":"https://github.com/citation-style-language/schema/raw/master/csl-citation.json"}</w:instrText>
      </w:r>
      <w:r w:rsidR="00292B5B" w:rsidRPr="00292B5B">
        <w:rPr>
          <w:rFonts w:ascii="Arial" w:eastAsia="Times New Roman" w:hAnsi="Arial" w:cs="Arial"/>
          <w:position w:val="0"/>
          <w:sz w:val="20"/>
          <w:szCs w:val="20"/>
        </w:rPr>
        <w:fldChar w:fldCharType="separate"/>
      </w:r>
      <w:r w:rsidR="00E63233" w:rsidRPr="00E63233">
        <w:rPr>
          <w:rFonts w:ascii="Arial" w:eastAsia="Times New Roman" w:hAnsi="Arial" w:cs="Arial"/>
          <w:noProof/>
          <w:position w:val="0"/>
          <w:sz w:val="20"/>
          <w:szCs w:val="20"/>
        </w:rPr>
        <w:t>[9]</w:t>
      </w:r>
      <w:r w:rsidR="00292B5B" w:rsidRPr="00292B5B">
        <w:rPr>
          <w:rFonts w:ascii="Arial" w:eastAsia="Times New Roman" w:hAnsi="Arial" w:cs="Arial"/>
          <w:position w:val="0"/>
          <w:sz w:val="20"/>
          <w:szCs w:val="20"/>
        </w:rPr>
        <w:fldChar w:fldCharType="end"/>
      </w:r>
      <w:r w:rsidR="00292B5B" w:rsidRPr="00292B5B">
        <w:rPr>
          <w:rFonts w:ascii="Arial" w:eastAsia="Times New Roman" w:hAnsi="Arial" w:cs="Arial"/>
          <w:position w:val="0"/>
          <w:sz w:val="20"/>
          <w:szCs w:val="20"/>
        </w:rPr>
        <w:fldChar w:fldCharType="begin" w:fldLock="1"/>
      </w:r>
      <w:r w:rsidR="001242FC">
        <w:rPr>
          <w:rFonts w:ascii="Arial" w:eastAsia="Times New Roman" w:hAnsi="Arial" w:cs="Arial"/>
          <w:position w:val="0"/>
          <w:sz w:val="20"/>
          <w:szCs w:val="20"/>
        </w:rPr>
        <w:instrText>ADDIN CSL_CITATION {"citationItems":[{"id":"ITEM-1","itemData":{"DOI":"10.1080/19386362.2020.1712532","ISSN":"19397879","abstract":"There are some ambiguities in understanding of the effect of non-plastic fine content (silt) on the liquefaction behaviour of sand in the literature. Reviewing the results of field and laboratory studies suggests that increasing the amount of non-plastic fine content in sand can lead to improvement or deterioration of liquefaction resistance. In this study, the effect of non-plastic silt on liquefaction resistance of Anzali sand is investigated using shaking table tests. According to the results, for the relative density of 30%, liquefaction resistance was found to be initially decreasing by increasing the silt content until the limiting fine content (LFC) as 15% and increasing thereafter. However, for the relative density of 60%, liquefaction resistance showed a continuously decreasing trend by increasing the silt content. Finally, comparison of the result through the limiting bounds of pore pressure obtained in this study with that of other researchers showed an appropriate consistency.","author":[{"dropping-particle":"","family":"Ghorbani","given":"Ali","non-dropping-particle":"","parse-names":false,"suffix":""},{"dropping-particle":"","family":"Eslami","given":"Amin","non-dropping-particle":"","parse-names":false,"suffix":""},{"dropping-particle":"","family":"Nezhad Moghadam","given":"Masoumeh","non-dropping-particle":"","parse-names":false,"suffix":""}],"container-title":"International Journal of Geotechnical Engineering","id":"ITEM-1","issue":"00","issued":{"date-parts":[["2020"]]},"page":"1-13","publisher":"Taylor &amp; Francis","title":"Effect of non-plastic silt on liquefaction susceptibility of marine sand by transparent laminar shear box in shaking table","type":"article-journal","volume":"00"},"uris":["http://www.mendeley.com/documents/?uuid=033445ee-b125-43c1-94b8-309ef51ece1b"]}],"mendeley":{"formattedCitation":"[10]","plainTextFormattedCitation":"[10]","previouslyFormattedCitation":"[10]"},"properties":{"noteIndex":0},"schema":"https://github.com/citation-style-language/schema/raw/master/csl-citation.json"}</w:instrText>
      </w:r>
      <w:r w:rsidR="00292B5B" w:rsidRPr="00292B5B">
        <w:rPr>
          <w:rFonts w:ascii="Arial" w:eastAsia="Times New Roman" w:hAnsi="Arial" w:cs="Arial"/>
          <w:position w:val="0"/>
          <w:sz w:val="20"/>
          <w:szCs w:val="20"/>
        </w:rPr>
        <w:fldChar w:fldCharType="separate"/>
      </w:r>
      <w:r w:rsidR="00E63233" w:rsidRPr="00E63233">
        <w:rPr>
          <w:rFonts w:ascii="Arial" w:eastAsia="Times New Roman" w:hAnsi="Arial" w:cs="Arial"/>
          <w:noProof/>
          <w:position w:val="0"/>
          <w:sz w:val="20"/>
          <w:szCs w:val="20"/>
        </w:rPr>
        <w:t>[10]</w:t>
      </w:r>
      <w:r w:rsidR="00292B5B" w:rsidRPr="00292B5B">
        <w:rPr>
          <w:rFonts w:ascii="Arial" w:eastAsia="Times New Roman" w:hAnsi="Arial" w:cs="Arial"/>
          <w:position w:val="0"/>
          <w:sz w:val="20"/>
          <w:szCs w:val="20"/>
        </w:rPr>
        <w:fldChar w:fldCharType="end"/>
      </w:r>
      <w:r w:rsidRPr="00292B5B">
        <w:rPr>
          <w:rFonts w:ascii="Arial" w:eastAsia="Times New Roman" w:hAnsi="Arial" w:cs="Arial"/>
          <w:position w:val="0"/>
          <w:sz w:val="20"/>
          <w:szCs w:val="20"/>
        </w:rPr>
        <w:t>.</w:t>
      </w:r>
    </w:p>
    <w:p w14:paraId="2EED8E97" w14:textId="77777777" w:rsidR="00444812" w:rsidRPr="00292B5B" w:rsidRDefault="005016D3" w:rsidP="0018047B">
      <w:pPr>
        <w:suppressAutoHyphens w:val="0"/>
        <w:spacing w:before="120" w:after="120" w:line="240" w:lineRule="auto"/>
        <w:ind w:leftChars="0" w:left="0" w:firstLineChars="0" w:firstLine="0"/>
        <w:jc w:val="both"/>
        <w:textDirection w:val="lrTb"/>
        <w:textAlignment w:val="auto"/>
        <w:outlineLvl w:val="9"/>
        <w:rPr>
          <w:rFonts w:ascii="Arial" w:eastAsia="Times New Roman" w:hAnsi="Arial" w:cs="Arial"/>
          <w:position w:val="0"/>
          <w:sz w:val="20"/>
          <w:szCs w:val="20"/>
        </w:rPr>
      </w:pPr>
      <w:r w:rsidRPr="005016D3">
        <w:rPr>
          <w:rFonts w:ascii="Arial" w:eastAsia="Times New Roman" w:hAnsi="Arial" w:cs="Arial"/>
          <w:position w:val="0"/>
          <w:sz w:val="20"/>
          <w:szCs w:val="20"/>
        </w:rPr>
        <w:t xml:space="preserve">At larger strains, however, the two soils diverged markedly. The high-fines specimens reached </w:t>
      </w:r>
      <w:r w:rsidR="00565950" w:rsidRPr="00565950">
        <w:rPr>
          <w:rFonts w:ascii="Arial" w:eastAsia="Times New Roman" w:hAnsi="Arial" w:cs="Arial"/>
          <w:position w:val="0"/>
          <w:sz w:val="20"/>
          <w:szCs w:val="20"/>
        </w:rPr>
        <w:t xml:space="preserve">slightly higher normalized residual strength ratios </w:t>
      </w:r>
      <w:r w:rsidR="00292B5B" w:rsidRPr="00292B5B">
        <w:rPr>
          <w:rFonts w:ascii="Arial" w:eastAsia="Times New Roman" w:hAnsi="Arial" w:cs="Arial"/>
          <w:bCs/>
          <w:position w:val="0"/>
          <w:sz w:val="20"/>
          <w:szCs w:val="20"/>
        </w:rPr>
        <w:t>(</w:t>
      </w:r>
      <m:oMath>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q</m:t>
            </m:r>
          </m:e>
          <m:sub>
            <m:r>
              <w:rPr>
                <w:rFonts w:ascii="Cambria Math" w:eastAsia="Times New Roman" w:hAnsi="Cambria Math" w:cs="Arial"/>
                <w:position w:val="0"/>
                <w:sz w:val="20"/>
                <w:szCs w:val="20"/>
              </w:rPr>
              <m:t>res</m:t>
            </m:r>
          </m:sub>
        </m:sSub>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 xml:space="preserve">₀  </m:t>
        </m:r>
      </m:oMath>
      <w:r>
        <w:rPr>
          <w:rFonts w:ascii="Arial" w:eastAsia="Times New Roman" w:hAnsi="Arial" w:cs="Arial"/>
          <w:bCs/>
          <w:position w:val="0"/>
          <w:sz w:val="20"/>
          <w:szCs w:val="20"/>
        </w:rPr>
        <w:t xml:space="preserve">= </w:t>
      </w:r>
      <w:r w:rsidR="00565950">
        <w:rPr>
          <w:rFonts w:ascii="Arial" w:eastAsia="Times New Roman" w:hAnsi="Arial" w:cs="Arial"/>
          <w:bCs/>
          <w:position w:val="0"/>
          <w:sz w:val="20"/>
          <w:szCs w:val="20"/>
        </w:rPr>
        <w:t>0.79-0.94</w:t>
      </w:r>
      <w:r w:rsidR="00292B5B" w:rsidRPr="00292B5B">
        <w:rPr>
          <w:rFonts w:ascii="Arial" w:eastAsia="Times New Roman" w:hAnsi="Arial" w:cs="Arial"/>
          <w:bCs/>
          <w:position w:val="0"/>
          <w:sz w:val="20"/>
          <w:szCs w:val="20"/>
        </w:rPr>
        <w:t>)</w:t>
      </w:r>
      <w:r>
        <w:rPr>
          <w:rFonts w:ascii="Arial" w:eastAsia="Times New Roman" w:hAnsi="Arial" w:cs="Arial"/>
          <w:position w:val="0"/>
          <w:sz w:val="20"/>
          <w:szCs w:val="20"/>
        </w:rPr>
        <w:t xml:space="preserve"> </w:t>
      </w:r>
      <w:r w:rsidR="00565950" w:rsidRPr="00565950">
        <w:rPr>
          <w:rFonts w:ascii="Arial" w:eastAsia="Times New Roman" w:hAnsi="Arial" w:cs="Arial"/>
          <w:position w:val="0"/>
          <w:sz w:val="20"/>
          <w:szCs w:val="20"/>
        </w:rPr>
        <w:t>compared with the low-fines specimens</w:t>
      </w:r>
      <w:r w:rsidR="00565950">
        <w:rPr>
          <w:rFonts w:ascii="Arial" w:eastAsia="Times New Roman" w:hAnsi="Arial" w:cs="Arial"/>
          <w:position w:val="0"/>
          <w:sz w:val="20"/>
          <w:szCs w:val="20"/>
        </w:rPr>
        <w:t xml:space="preserve"> </w:t>
      </w:r>
      <w:r w:rsidR="00565950" w:rsidRPr="00565950">
        <w:rPr>
          <w:rFonts w:ascii="Arial" w:eastAsia="Times New Roman" w:hAnsi="Arial" w:cs="Arial"/>
          <w:position w:val="0"/>
          <w:sz w:val="20"/>
          <w:szCs w:val="20"/>
        </w:rPr>
        <w:t>(</w:t>
      </w:r>
      <m:oMath>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q</m:t>
            </m:r>
          </m:e>
          <m:sub>
            <m:r>
              <w:rPr>
                <w:rFonts w:ascii="Cambria Math" w:eastAsia="Times New Roman" w:hAnsi="Cambria Math" w:cs="Arial"/>
                <w:position w:val="0"/>
                <w:sz w:val="20"/>
                <w:szCs w:val="20"/>
              </w:rPr>
              <m:t>res</m:t>
            </m:r>
          </m:sub>
        </m:sSub>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 xml:space="preserve">₀  </m:t>
        </m:r>
      </m:oMath>
      <w:r w:rsidR="00565950" w:rsidRPr="00565950">
        <w:rPr>
          <w:rFonts w:ascii="Arial" w:eastAsia="Times New Roman" w:hAnsi="Arial" w:cs="Arial"/>
          <w:position w:val="0"/>
          <w:sz w:val="20"/>
          <w:szCs w:val="20"/>
        </w:rPr>
        <w:t xml:space="preserve"> </w:t>
      </w:r>
      <w:r w:rsidR="00565950">
        <w:rPr>
          <w:rFonts w:ascii="Arial" w:eastAsia="Times New Roman" w:hAnsi="Arial" w:cs="Arial"/>
          <w:position w:val="0"/>
          <w:sz w:val="20"/>
          <w:szCs w:val="20"/>
        </w:rPr>
        <w:t>=</w:t>
      </w:r>
      <w:r w:rsidR="00565950" w:rsidRPr="00565950">
        <w:rPr>
          <w:rFonts w:ascii="Arial" w:eastAsia="Times New Roman" w:hAnsi="Arial" w:cs="Arial"/>
          <w:position w:val="0"/>
          <w:sz w:val="20"/>
          <w:szCs w:val="20"/>
        </w:rPr>
        <w:t xml:space="preserve"> 0.85</w:t>
      </w:r>
      <w:r w:rsidR="00565950">
        <w:rPr>
          <w:rFonts w:ascii="Arial" w:eastAsia="Times New Roman" w:hAnsi="Arial" w:cs="Arial"/>
          <w:position w:val="0"/>
          <w:sz w:val="20"/>
          <w:szCs w:val="20"/>
        </w:rPr>
        <w:t>-</w:t>
      </w:r>
      <w:r w:rsidR="00565950" w:rsidRPr="00565950">
        <w:rPr>
          <w:rFonts w:ascii="Arial" w:eastAsia="Times New Roman" w:hAnsi="Arial" w:cs="Arial"/>
          <w:position w:val="0"/>
          <w:sz w:val="20"/>
          <w:szCs w:val="20"/>
        </w:rPr>
        <w:t xml:space="preserve">0.89) </w:t>
      </w:r>
      <w:r w:rsidR="00444812" w:rsidRPr="00292B5B">
        <w:rPr>
          <w:rFonts w:ascii="Arial" w:eastAsia="Times New Roman" w:hAnsi="Arial" w:cs="Arial"/>
          <w:position w:val="0"/>
          <w:sz w:val="20"/>
          <w:szCs w:val="20"/>
        </w:rPr>
        <w:t xml:space="preserve">(Table 2). </w:t>
      </w:r>
      <w:r w:rsidR="00565950" w:rsidRPr="00565950">
        <w:rPr>
          <w:rFonts w:ascii="Arial" w:eastAsia="Times New Roman" w:hAnsi="Arial" w:cs="Arial"/>
          <w:position w:val="0"/>
          <w:sz w:val="20"/>
          <w:szCs w:val="20"/>
        </w:rPr>
        <w:t>This suggests that although the 26.4% fines samples were initially more contractive, they ultimately stabilized at comparable or somewhat stronger residual conditions. This behavior can be attributed to fine particles improving packing density and increasing the number of interparticle contacts</w:t>
      </w:r>
      <w:r w:rsidR="00565950">
        <w:rPr>
          <w:rFonts w:ascii="Arial" w:eastAsia="Times New Roman" w:hAnsi="Arial" w:cs="Arial"/>
          <w:position w:val="0"/>
          <w:sz w:val="20"/>
          <w:szCs w:val="20"/>
        </w:rPr>
        <w:t xml:space="preserve"> </w:t>
      </w:r>
      <w:r w:rsidR="00292B5B" w:rsidRPr="00292B5B">
        <w:rPr>
          <w:rFonts w:ascii="Arial" w:eastAsia="Times New Roman" w:hAnsi="Arial" w:cs="Arial"/>
          <w:position w:val="0"/>
          <w:sz w:val="20"/>
          <w:szCs w:val="20"/>
        </w:rPr>
        <w:fldChar w:fldCharType="begin" w:fldLock="1"/>
      </w:r>
      <w:r w:rsidR="001242FC">
        <w:rPr>
          <w:rFonts w:ascii="Arial" w:eastAsia="Times New Roman" w:hAnsi="Arial" w:cs="Arial"/>
          <w:position w:val="0"/>
          <w:sz w:val="20"/>
          <w:szCs w:val="20"/>
        </w:rPr>
        <w:instrText>ADDIN CSL_CITATION {"citationItems":[{"id":"ITEM-1","itemData":{"DOI":"10.1007/s11440-021-01262-1","ISBN":"1144002101262","ISSN":"18611133","abstract":"During recent seismic events, such as 2010 Darfield and 2016 Ecuador earthquakes, widespread liquefaction has been observed in sand deposits with silt content. Nevertheless, the presence of non-plastic fines implies variable liquefaction resistance of sands. The goal of this research is the assessment of the influence of non-plastic fines and mixture-packing conditions on liquefaction triggering. A series of monotonic and cyclic consolidated undrained triaxial as well as resonant column tests is carried out on reconstituted soil specimens. The behavior of loose, medium and dense silty sands is analyzed, using different fine contents and confining pressures. The results show that the behavior of mixtures strongly depends on the packing configuration of coarse and fine particles. The experimental results are analyzed in terms of equivalent intergranular void ratio, which is identified in the literature as an adequate state parameter to characterize the global effect of fine particles. The estimation of the equivalent intergranular void ratio requires the determination of the active fine fraction b participating in the force transfer. An original formula is proposed for the parameter b based on packing configuration. The validation of the proposed formula is undertaken through comparisons with the present experimental results but also with results reported in the literature. The proposed expression to estimate the active fine fraction b allows a satisfactory prediction of liquefaction triggering in sand-fines mixtures independently from the fine content.","author":[{"dropping-particle":"","family":"Gobbi","given":"Stefania","non-dropping-particle":"","parse-names":false,"suffix":""},{"dropping-particle":"","family":"Reiffsteck","given":"Philippe","non-dropping-particle":"","parse-names":false,"suffix":""},{"dropping-particle":"","family":"Lenti","given":"Luca","non-dropping-particle":"","parse-names":false,"suffix":""},{"dropping-particle":"","family":"d’Avila","given":"Maria Paola Santisi","non-dropping-particle":"","parse-names":false,"suffix":""},{"dropping-particle":"","family":"Semblat","given":"Jean François","non-dropping-particle":"","parse-names":false,"suffix":""}],"container-title":"Acta Geotechnica","id":"ITEM-1","issue":"2","issued":{"date-parts":[["2022"]]},"page":"391-410","publisher":"Springer Berlin Heidelberg","title":"Liquefaction triggering in silty sands: effects of non-plastic fines and mixture-packing conditions","type":"article-journal","volume":"17"},"uris":["http://www.mendeley.com/documents/?uuid=7d209443-d29e-43c1-97b4-f7c43ddf66df"]}],"mendeley":{"formattedCitation":"[12]","plainTextFormattedCitation":"[12]","previouslyFormattedCitation":"[12]"},"properties":{"noteIndex":0},"schema":"https://github.com/citation-style-language/schema/raw/master/csl-citation.json"}</w:instrText>
      </w:r>
      <w:r w:rsidR="00292B5B" w:rsidRPr="00292B5B">
        <w:rPr>
          <w:rFonts w:ascii="Arial" w:eastAsia="Times New Roman" w:hAnsi="Arial" w:cs="Arial"/>
          <w:position w:val="0"/>
          <w:sz w:val="20"/>
          <w:szCs w:val="20"/>
        </w:rPr>
        <w:fldChar w:fldCharType="separate"/>
      </w:r>
      <w:r w:rsidR="00E63233" w:rsidRPr="00E63233">
        <w:rPr>
          <w:rFonts w:ascii="Arial" w:eastAsia="Times New Roman" w:hAnsi="Arial" w:cs="Arial"/>
          <w:noProof/>
          <w:position w:val="0"/>
          <w:sz w:val="20"/>
          <w:szCs w:val="20"/>
        </w:rPr>
        <w:t>[12]</w:t>
      </w:r>
      <w:r w:rsidR="00292B5B" w:rsidRPr="00292B5B">
        <w:rPr>
          <w:rFonts w:ascii="Arial" w:eastAsia="Times New Roman" w:hAnsi="Arial" w:cs="Arial"/>
          <w:position w:val="0"/>
          <w:sz w:val="20"/>
          <w:szCs w:val="20"/>
        </w:rPr>
        <w:fldChar w:fldCharType="end"/>
      </w:r>
      <w:r>
        <w:rPr>
          <w:rFonts w:ascii="Arial" w:eastAsia="Times New Roman" w:hAnsi="Arial" w:cs="Arial"/>
          <w:position w:val="0"/>
          <w:sz w:val="20"/>
          <w:szCs w:val="20"/>
        </w:rPr>
        <w:t>.</w:t>
      </w:r>
    </w:p>
    <w:p w14:paraId="6A84151D" w14:textId="77777777" w:rsidR="00890848" w:rsidRDefault="00565950" w:rsidP="00890848">
      <w:pPr>
        <w:suppressAutoHyphens w:val="0"/>
        <w:spacing w:before="120" w:after="12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0"/>
          <w:szCs w:val="20"/>
        </w:rPr>
      </w:pPr>
      <w:r w:rsidRPr="00565950">
        <w:rPr>
          <w:rFonts w:ascii="Arial" w:eastAsia="Times New Roman" w:hAnsi="Arial" w:cs="Arial"/>
          <w:color w:val="000000" w:themeColor="text1"/>
          <w:position w:val="0"/>
          <w:sz w:val="20"/>
          <w:szCs w:val="20"/>
        </w:rPr>
        <w:t>Therefore, the influence of fines on liquefaction response is nonlinear: higher fines content enhances contractive tendency during initiation but can modestly improve stabilization during the post-liquefaction phase. These results demonstrate the need to distinguish between liquefaction initiation susceptibility and post-liquefaction stability within the critical-state framework.</w:t>
      </w:r>
    </w:p>
    <w:p w14:paraId="682AE6B4" w14:textId="77777777" w:rsidR="00922798" w:rsidRDefault="00922798" w:rsidP="00890848">
      <w:pPr>
        <w:suppressAutoHyphens w:val="0"/>
        <w:spacing w:before="120" w:after="120" w:line="240" w:lineRule="auto"/>
        <w:ind w:leftChars="0" w:left="0" w:firstLineChars="0" w:firstLine="0"/>
        <w:jc w:val="both"/>
        <w:textDirection w:val="lrTb"/>
        <w:textAlignment w:val="auto"/>
        <w:outlineLvl w:val="9"/>
        <w:rPr>
          <w:rFonts w:ascii="Arial" w:eastAsia="Times New Roman" w:hAnsi="Arial" w:cs="Arial"/>
          <w:color w:val="000000" w:themeColor="text1"/>
          <w:position w:val="0"/>
          <w:sz w:val="20"/>
          <w:szCs w:val="20"/>
        </w:rPr>
      </w:pPr>
    </w:p>
    <w:p w14:paraId="50E17A2E" w14:textId="77777777" w:rsidR="00922798" w:rsidRDefault="00922798" w:rsidP="00890848">
      <w:pPr>
        <w:suppressAutoHyphens w:val="0"/>
        <w:spacing w:before="120" w:after="120" w:line="240" w:lineRule="auto"/>
        <w:ind w:leftChars="0" w:left="0" w:firstLineChars="0" w:firstLine="0"/>
        <w:jc w:val="both"/>
        <w:textDirection w:val="lrTb"/>
        <w:textAlignment w:val="auto"/>
        <w:outlineLvl w:val="9"/>
        <w:rPr>
          <w:rFonts w:ascii="Arial" w:eastAsia="Times New Roman" w:hAnsi="Arial" w:cs="Arial"/>
          <w:color w:val="FF0000"/>
          <w:position w:val="0"/>
          <w:sz w:val="20"/>
          <w:szCs w:val="20"/>
        </w:rPr>
        <w:sectPr w:rsidR="00922798" w:rsidSect="00FD660B">
          <w:type w:val="continuous"/>
          <w:pgSz w:w="11907" w:h="16840"/>
          <w:pgMar w:top="1701" w:right="1134" w:bottom="1701" w:left="1701" w:header="680" w:footer="680" w:gutter="0"/>
          <w:cols w:num="2" w:space="720" w:equalWidth="0">
            <w:col w:w="4394" w:space="284"/>
            <w:col w:w="4394" w:space="0"/>
          </w:cols>
          <w:titlePg/>
        </w:sectPr>
      </w:pPr>
    </w:p>
    <w:p w14:paraId="75191B09" w14:textId="77777777" w:rsidR="00D6202A" w:rsidRDefault="00D6202A" w:rsidP="00890848">
      <w:pPr>
        <w:suppressAutoHyphens w:val="0"/>
        <w:spacing w:before="120" w:after="120" w:line="240" w:lineRule="auto"/>
        <w:ind w:leftChars="0" w:left="0" w:firstLineChars="0" w:firstLine="0"/>
        <w:jc w:val="center"/>
        <w:textDirection w:val="lrTb"/>
        <w:textAlignment w:val="auto"/>
        <w:outlineLvl w:val="9"/>
        <w:rPr>
          <w:rFonts w:ascii="Arial" w:eastAsia="Times New Roman" w:hAnsi="Arial" w:cs="Arial"/>
          <w:b/>
          <w:bCs/>
          <w:position w:val="0"/>
          <w:sz w:val="20"/>
          <w:szCs w:val="20"/>
        </w:rPr>
      </w:pPr>
      <w:r w:rsidRPr="00D6202A">
        <w:rPr>
          <w:rFonts w:ascii="Arial" w:eastAsia="Times New Roman" w:hAnsi="Arial" w:cs="Arial"/>
          <w:b/>
          <w:bCs/>
          <w:noProof/>
          <w:position w:val="0"/>
          <w:sz w:val="20"/>
          <w:szCs w:val="20"/>
        </w:rPr>
        <w:drawing>
          <wp:inline distT="0" distB="0" distL="0" distR="0" wp14:anchorId="3325E965" wp14:editId="5077A820">
            <wp:extent cx="5040000" cy="2809377"/>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61" t="3091" r="5548" b="886"/>
                    <a:stretch/>
                  </pic:blipFill>
                  <pic:spPr bwMode="auto">
                    <a:xfrm>
                      <a:off x="0" y="0"/>
                      <a:ext cx="5040000" cy="2809377"/>
                    </a:xfrm>
                    <a:prstGeom prst="rect">
                      <a:avLst/>
                    </a:prstGeom>
                    <a:noFill/>
                    <a:ln>
                      <a:noFill/>
                    </a:ln>
                    <a:extLst>
                      <a:ext uri="{53640926-AAD7-44D8-BBD7-CCE9431645EC}">
                        <a14:shadowObscured xmlns:a14="http://schemas.microsoft.com/office/drawing/2010/main"/>
                      </a:ext>
                    </a:extLst>
                  </pic:spPr>
                </pic:pic>
              </a:graphicData>
            </a:graphic>
          </wp:inline>
        </w:drawing>
      </w:r>
    </w:p>
    <w:p w14:paraId="5F2F30CA" w14:textId="77777777" w:rsidR="00B96C4D" w:rsidRPr="0090681E" w:rsidRDefault="00150E37" w:rsidP="00890848">
      <w:pPr>
        <w:suppressAutoHyphens w:val="0"/>
        <w:spacing w:before="120" w:after="120" w:line="240" w:lineRule="auto"/>
        <w:ind w:leftChars="0" w:left="0" w:firstLineChars="0" w:firstLine="0"/>
        <w:jc w:val="center"/>
        <w:textDirection w:val="lrTb"/>
        <w:textAlignment w:val="auto"/>
        <w:outlineLvl w:val="9"/>
        <w:rPr>
          <w:rFonts w:ascii="Arial" w:eastAsia="Times New Roman" w:hAnsi="Arial" w:cs="Arial"/>
          <w:bCs/>
          <w:position w:val="0"/>
          <w:sz w:val="20"/>
          <w:szCs w:val="20"/>
        </w:rPr>
      </w:pPr>
      <w:r w:rsidRPr="00150E37">
        <w:rPr>
          <w:rFonts w:ascii="Arial" w:eastAsia="Times New Roman" w:hAnsi="Arial" w:cs="Arial"/>
          <w:b/>
          <w:bCs/>
          <w:position w:val="0"/>
          <w:sz w:val="20"/>
          <w:szCs w:val="20"/>
        </w:rPr>
        <w:t>Figure 7.</w:t>
      </w:r>
      <w:r w:rsidRPr="00150E37">
        <w:rPr>
          <w:rFonts w:ascii="Arial" w:eastAsia="Times New Roman" w:hAnsi="Arial" w:cs="Arial"/>
          <w:bCs/>
          <w:position w:val="0"/>
          <w:sz w:val="20"/>
          <w:szCs w:val="20"/>
        </w:rPr>
        <w:t xml:space="preserve"> </w:t>
      </w:r>
      <w:r w:rsidRPr="0090681E">
        <w:rPr>
          <w:rFonts w:ascii="Arial" w:eastAsia="Times New Roman" w:hAnsi="Arial" w:cs="Arial"/>
          <w:bCs/>
          <w:position w:val="0"/>
          <w:sz w:val="20"/>
          <w:szCs w:val="20"/>
        </w:rPr>
        <w:t xml:space="preserve">Effective stress paths </w:t>
      </w:r>
      <m:oMath>
        <m:r>
          <w:rPr>
            <w:rFonts w:ascii="Cambria Math" w:eastAsia="Times New Roman" w:hAnsi="Cambria Math" w:cs="Arial"/>
            <w:position w:val="0"/>
            <w:sz w:val="20"/>
            <w:szCs w:val="20"/>
          </w:rPr>
          <m:t>(p'-q)</m:t>
        </m:r>
      </m:oMath>
      <w:r w:rsidRPr="0090681E">
        <w:rPr>
          <w:rFonts w:ascii="Arial" w:eastAsia="Times New Roman" w:hAnsi="Arial" w:cs="Arial"/>
          <w:bCs/>
          <w:position w:val="0"/>
          <w:sz w:val="20"/>
          <w:szCs w:val="20"/>
        </w:rPr>
        <w:t xml:space="preserve"> of Petobo sand at different fines contents and </w:t>
      </w:r>
      <w:r w:rsidR="00D56EB9" w:rsidRPr="0090681E">
        <w:rPr>
          <w:rFonts w:ascii="Arial" w:eastAsia="Times New Roman" w:hAnsi="Arial" w:cs="Arial"/>
          <w:bCs/>
          <w:position w:val="0"/>
          <w:sz w:val="20"/>
          <w:szCs w:val="20"/>
        </w:rPr>
        <w:t>initial mean effective stresses</w:t>
      </w:r>
    </w:p>
    <w:p w14:paraId="306F8D6D" w14:textId="77777777" w:rsidR="00890848" w:rsidRDefault="00890848" w:rsidP="000362A8">
      <w:pPr>
        <w:suppressAutoHyphens w:val="0"/>
        <w:spacing w:before="120" w:after="120" w:line="240" w:lineRule="auto"/>
        <w:ind w:leftChars="0" w:left="0" w:firstLineChars="0" w:hanging="2"/>
        <w:jc w:val="both"/>
        <w:textDirection w:val="lrTb"/>
        <w:textAlignment w:val="auto"/>
        <w:outlineLvl w:val="9"/>
        <w:rPr>
          <w:rFonts w:ascii="Arial" w:eastAsia="Times New Roman" w:hAnsi="Arial" w:cs="Arial"/>
          <w:b/>
          <w:bCs/>
          <w:position w:val="0"/>
          <w:sz w:val="20"/>
          <w:szCs w:val="20"/>
        </w:rPr>
      </w:pPr>
    </w:p>
    <w:p w14:paraId="4291527C" w14:textId="77777777" w:rsidR="0021771A" w:rsidRDefault="0021771A" w:rsidP="000362A8">
      <w:pPr>
        <w:suppressAutoHyphens w:val="0"/>
        <w:spacing w:before="120" w:after="120" w:line="240" w:lineRule="auto"/>
        <w:ind w:leftChars="0" w:left="0" w:firstLineChars="0" w:hanging="2"/>
        <w:jc w:val="both"/>
        <w:textDirection w:val="lrTb"/>
        <w:textAlignment w:val="auto"/>
        <w:outlineLvl w:val="9"/>
        <w:rPr>
          <w:rFonts w:ascii="Arial" w:eastAsia="Times New Roman" w:hAnsi="Arial" w:cs="Arial"/>
          <w:b/>
          <w:bCs/>
          <w:position w:val="0"/>
          <w:sz w:val="20"/>
          <w:szCs w:val="20"/>
        </w:rPr>
        <w:sectPr w:rsidR="0021771A" w:rsidSect="00890848">
          <w:type w:val="continuous"/>
          <w:pgSz w:w="11907" w:h="16840"/>
          <w:pgMar w:top="1701" w:right="1134" w:bottom="1701" w:left="1701" w:header="680" w:footer="680" w:gutter="0"/>
          <w:cols w:space="720"/>
          <w:titlePg/>
        </w:sectPr>
      </w:pPr>
    </w:p>
    <w:p w14:paraId="5C162840" w14:textId="77777777" w:rsidR="0018047B" w:rsidRDefault="0018047B" w:rsidP="000362A8">
      <w:pPr>
        <w:suppressAutoHyphens w:val="0"/>
        <w:spacing w:before="120" w:after="120" w:line="240" w:lineRule="auto"/>
        <w:ind w:leftChars="0" w:left="0" w:firstLineChars="0" w:hanging="2"/>
        <w:jc w:val="both"/>
        <w:textDirection w:val="lrTb"/>
        <w:textAlignment w:val="auto"/>
        <w:outlineLvl w:val="9"/>
        <w:rPr>
          <w:rFonts w:ascii="Arial" w:eastAsia="Times New Roman" w:hAnsi="Arial" w:cs="Arial"/>
          <w:position w:val="0"/>
          <w:sz w:val="20"/>
          <w:szCs w:val="20"/>
        </w:rPr>
      </w:pPr>
      <w:r w:rsidRPr="0018047B">
        <w:rPr>
          <w:rFonts w:ascii="Arial" w:eastAsia="Times New Roman" w:hAnsi="Arial" w:cs="Arial"/>
          <w:b/>
          <w:bCs/>
          <w:position w:val="0"/>
          <w:sz w:val="20"/>
          <w:szCs w:val="20"/>
        </w:rPr>
        <w:t>Empirical Relationship and Validation with CSSM Framework</w:t>
      </w:r>
    </w:p>
    <w:p w14:paraId="59130AD9" w14:textId="77777777" w:rsidR="0018047B" w:rsidRDefault="009A33CA" w:rsidP="00D555FD">
      <w:pPr>
        <w:suppressAutoHyphens w:val="0"/>
        <w:spacing w:before="60" w:after="60" w:line="240" w:lineRule="auto"/>
        <w:ind w:leftChars="0" w:left="0" w:firstLineChars="0" w:hanging="2"/>
        <w:jc w:val="both"/>
        <w:textDirection w:val="lrTb"/>
        <w:textAlignment w:val="auto"/>
        <w:outlineLvl w:val="9"/>
        <w:rPr>
          <w:rFonts w:ascii="Arial" w:eastAsia="Times New Roman" w:hAnsi="Arial" w:cs="Arial"/>
          <w:position w:val="0"/>
          <w:sz w:val="20"/>
          <w:szCs w:val="20"/>
        </w:rPr>
      </w:pPr>
      <w:r w:rsidRPr="009A33CA">
        <w:rPr>
          <w:rFonts w:ascii="Arial" w:eastAsia="Times New Roman" w:hAnsi="Arial" w:cs="Arial"/>
          <w:position w:val="0"/>
          <w:sz w:val="20"/>
          <w:szCs w:val="20"/>
        </w:rPr>
        <w:t>The CU triaxial results show that the normalized residual strength ratio</w:t>
      </w:r>
      <w:r>
        <w:rPr>
          <w:rFonts w:ascii="Arial" w:eastAsia="Times New Roman" w:hAnsi="Arial" w:cs="Arial"/>
          <w:position w:val="0"/>
          <w:sz w:val="20"/>
          <w:szCs w:val="20"/>
        </w:rPr>
        <w:t xml:space="preserve"> </w:t>
      </w:r>
      <m:oMath>
        <m:r>
          <w:rPr>
            <w:rFonts w:ascii="Cambria Math" w:eastAsia="Times New Roman" w:hAnsi="Cambria Math" w:cs="Arial"/>
            <w:position w:val="0"/>
            <w:sz w:val="20"/>
            <w:szCs w:val="20"/>
          </w:rPr>
          <m:t>(</m:t>
        </m:r>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q</m:t>
            </m:r>
          </m:e>
          <m:sub>
            <m:r>
              <w:rPr>
                <w:rFonts w:ascii="Cambria Math" w:eastAsia="Times New Roman" w:hAnsi="Cambria Math" w:cs="Arial"/>
                <w:position w:val="0"/>
                <w:sz w:val="20"/>
                <w:szCs w:val="20"/>
              </w:rPr>
              <m:t>res</m:t>
            </m:r>
          </m:sub>
        </m:sSub>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r>
          <w:rPr>
            <w:rFonts w:ascii="Cambria Math" w:eastAsia="Times New Roman" w:hAnsi="Cambria Math" w:cs="Arial"/>
            <w:position w:val="0"/>
            <w:sz w:val="20"/>
            <w:szCs w:val="20"/>
          </w:rPr>
          <m:t>)</m:t>
        </m:r>
      </m:oMath>
      <w:r>
        <w:rPr>
          <w:rFonts w:ascii="Arial" w:eastAsia="Times New Roman" w:hAnsi="Arial" w:cs="Arial"/>
          <w:position w:val="0"/>
          <w:sz w:val="20"/>
          <w:szCs w:val="20"/>
        </w:rPr>
        <w:t xml:space="preserve"> </w:t>
      </w:r>
      <w:r w:rsidRPr="009A33CA">
        <w:rPr>
          <w:rFonts w:ascii="Arial" w:eastAsia="Times New Roman" w:hAnsi="Arial" w:cs="Arial"/>
          <w:position w:val="0"/>
          <w:sz w:val="20"/>
          <w:szCs w:val="20"/>
        </w:rPr>
        <w:t>exhibits only minor variation between the two fines-content groups. For FC =</w:t>
      </w:r>
      <w:r w:rsidR="004B03F3">
        <w:rPr>
          <w:rFonts w:ascii="Arial" w:eastAsia="Times New Roman" w:hAnsi="Arial" w:cs="Arial"/>
          <w:position w:val="0"/>
          <w:sz w:val="20"/>
          <w:szCs w:val="20"/>
        </w:rPr>
        <w:t xml:space="preserve"> 9%, the ratio ranges from 0.85-</w:t>
      </w:r>
      <w:r w:rsidRPr="009A33CA">
        <w:rPr>
          <w:rFonts w:ascii="Arial" w:eastAsia="Times New Roman" w:hAnsi="Arial" w:cs="Arial"/>
          <w:position w:val="0"/>
          <w:sz w:val="20"/>
          <w:szCs w:val="20"/>
        </w:rPr>
        <w:t>0.89, while for</w:t>
      </w:r>
      <w:r w:rsidR="004B03F3">
        <w:rPr>
          <w:rFonts w:ascii="Arial" w:eastAsia="Times New Roman" w:hAnsi="Arial" w:cs="Arial"/>
          <w:position w:val="0"/>
          <w:sz w:val="20"/>
          <w:szCs w:val="20"/>
        </w:rPr>
        <w:t xml:space="preserve"> FC = 26.4% it ranges from 0.79-</w:t>
      </w:r>
      <w:r w:rsidRPr="009A33CA">
        <w:rPr>
          <w:rFonts w:ascii="Arial" w:eastAsia="Times New Roman" w:hAnsi="Arial" w:cs="Arial"/>
          <w:position w:val="0"/>
          <w:sz w:val="20"/>
          <w:szCs w:val="20"/>
        </w:rPr>
        <w:t xml:space="preserve">0.94, giving nearly identical averages of approximately 0.88 for both soils. This indicates </w:t>
      </w:r>
      <w:r w:rsidRPr="009A33CA">
        <w:rPr>
          <w:rFonts w:ascii="Arial" w:eastAsia="Times New Roman" w:hAnsi="Arial" w:cs="Arial"/>
          <w:position w:val="0"/>
          <w:sz w:val="20"/>
          <w:szCs w:val="20"/>
        </w:rPr>
        <w:t>that, at very loose initial densities (Dr = 11</w:t>
      </w:r>
      <w:r w:rsidR="00F532D3">
        <w:rPr>
          <w:rFonts w:ascii="Arial" w:eastAsia="Times New Roman" w:hAnsi="Arial" w:cs="Arial"/>
          <w:position w:val="0"/>
          <w:sz w:val="20"/>
          <w:szCs w:val="20"/>
        </w:rPr>
        <w:t>-</w:t>
      </w:r>
      <w:r w:rsidRPr="009A33CA">
        <w:rPr>
          <w:rFonts w:ascii="Arial" w:eastAsia="Times New Roman" w:hAnsi="Arial" w:cs="Arial"/>
          <w:position w:val="0"/>
          <w:sz w:val="20"/>
          <w:szCs w:val="20"/>
        </w:rPr>
        <w:t>20%), fines content does not produce a systematic increase in residual strength. Instead, the post-liquefaction resistance is governed primarily by the loose fabric of the sand skeleton and the effective stress level at the onset of steady-state shearing.</w:t>
      </w:r>
    </w:p>
    <w:p w14:paraId="4A93FA60" w14:textId="77777777" w:rsidR="009A33CA" w:rsidRPr="0018047B" w:rsidRDefault="009A33CA" w:rsidP="00D555FD">
      <w:pPr>
        <w:suppressAutoHyphens w:val="0"/>
        <w:spacing w:before="60" w:after="60" w:line="240" w:lineRule="auto"/>
        <w:ind w:leftChars="0" w:left="0" w:firstLineChars="0" w:hanging="2"/>
        <w:jc w:val="both"/>
        <w:textDirection w:val="lrTb"/>
        <w:textAlignment w:val="auto"/>
        <w:outlineLvl w:val="9"/>
        <w:rPr>
          <w:rFonts w:ascii="Arial" w:eastAsia="Times New Roman" w:hAnsi="Arial" w:cs="Arial"/>
          <w:position w:val="0"/>
          <w:sz w:val="20"/>
          <w:szCs w:val="20"/>
        </w:rPr>
      </w:pPr>
      <w:r w:rsidRPr="009A33CA">
        <w:rPr>
          <w:rFonts w:ascii="Arial" w:eastAsia="Times New Roman" w:hAnsi="Arial" w:cs="Arial"/>
          <w:position w:val="0"/>
          <w:sz w:val="20"/>
          <w:szCs w:val="20"/>
        </w:rPr>
        <w:t>Although fines do not significant</w:t>
      </w:r>
      <w:r>
        <w:rPr>
          <w:rFonts w:ascii="Arial" w:eastAsia="Times New Roman" w:hAnsi="Arial" w:cs="Arial"/>
          <w:position w:val="0"/>
          <w:sz w:val="20"/>
          <w:szCs w:val="20"/>
        </w:rPr>
        <w:t xml:space="preserve">ly alter the absolute value of </w:t>
      </w:r>
      <m:oMath>
        <m:r>
          <w:rPr>
            <w:rFonts w:ascii="Cambria Math" w:eastAsia="Times New Roman" w:hAnsi="Cambria Math" w:cs="Arial"/>
            <w:position w:val="0"/>
            <w:sz w:val="20"/>
            <w:szCs w:val="20"/>
          </w:rPr>
          <m:t>(</m:t>
        </m:r>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q</m:t>
            </m:r>
          </m:e>
          <m:sub>
            <m:r>
              <w:rPr>
                <w:rFonts w:ascii="Cambria Math" w:eastAsia="Times New Roman" w:hAnsi="Cambria Math" w:cs="Arial"/>
                <w:position w:val="0"/>
                <w:sz w:val="20"/>
                <w:szCs w:val="20"/>
              </w:rPr>
              <m:t>res</m:t>
            </m:r>
          </m:sub>
        </m:sSub>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r>
          <w:rPr>
            <w:rFonts w:ascii="Cambria Math" w:eastAsia="Times New Roman" w:hAnsi="Cambria Math" w:cs="Arial"/>
            <w:position w:val="0"/>
            <w:sz w:val="20"/>
            <w:szCs w:val="20"/>
          </w:rPr>
          <m:t>)</m:t>
        </m:r>
      </m:oMath>
      <w:r w:rsidRPr="009A33CA">
        <w:rPr>
          <w:rFonts w:ascii="Arial" w:eastAsia="Times New Roman" w:hAnsi="Arial" w:cs="Arial"/>
          <w:position w:val="0"/>
          <w:sz w:val="20"/>
          <w:szCs w:val="20"/>
        </w:rPr>
        <w:t xml:space="preserve">, a weak empirical </w:t>
      </w:r>
      <w:r w:rsidRPr="009A33CA">
        <w:rPr>
          <w:rFonts w:ascii="Arial" w:eastAsia="Times New Roman" w:hAnsi="Arial" w:cs="Arial"/>
          <w:position w:val="0"/>
          <w:sz w:val="20"/>
          <w:szCs w:val="20"/>
        </w:rPr>
        <w:lastRenderedPageBreak/>
        <w:t>trend can still be represented by a simple best-fit regression across all six specimens:</w:t>
      </w:r>
    </w:p>
    <w:p w14:paraId="29F92305" w14:textId="77777777" w:rsidR="0018047B" w:rsidRPr="00922798" w:rsidRDefault="00000000" w:rsidP="00922798">
      <w:pPr>
        <w:suppressAutoHyphens w:val="0"/>
        <w:spacing w:before="60" w:after="60" w:line="240" w:lineRule="auto"/>
        <w:ind w:leftChars="0" w:left="0" w:firstLineChars="0" w:firstLine="0"/>
        <w:jc w:val="center"/>
        <w:textDirection w:val="lrTb"/>
        <w:textAlignment w:val="auto"/>
        <w:outlineLvl w:val="9"/>
        <w:rPr>
          <w:rFonts w:ascii="Arial" w:eastAsia="Times New Roman" w:hAnsi="Arial" w:cs="Arial"/>
          <w:position w:val="0"/>
          <w:sz w:val="20"/>
          <w:szCs w:val="20"/>
        </w:rPr>
      </w:pPr>
      <m:oMath>
        <m:f>
          <m:fPr>
            <m:type m:val="skw"/>
            <m:ctrlPr>
              <w:rPr>
                <w:rFonts w:ascii="Cambria Math" w:eastAsia="Times New Roman" w:hAnsi="Cambria Math" w:cs="Arial"/>
                <w:bCs/>
                <w:i/>
                <w:position w:val="0"/>
                <w:sz w:val="20"/>
                <w:szCs w:val="20"/>
              </w:rPr>
            </m:ctrlPr>
          </m:fPr>
          <m:num>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q</m:t>
                </m:r>
              </m:e>
              <m:sub>
                <m:r>
                  <w:rPr>
                    <w:rFonts w:ascii="Cambria Math" w:eastAsia="Times New Roman" w:hAnsi="Cambria Math" w:cs="Arial"/>
                    <w:position w:val="0"/>
                    <w:sz w:val="20"/>
                    <w:szCs w:val="20"/>
                  </w:rPr>
                  <m:t>res</m:t>
                </m:r>
              </m:sub>
            </m:sSub>
          </m:num>
          <m:den>
            <m:sSub>
              <m:sSubPr>
                <m:ctrlPr>
                  <w:rPr>
                    <w:rFonts w:ascii="Cambria Math" w:eastAsia="Times New Roman" w:hAnsi="Cambria Math" w:cs="Arial"/>
                    <w:i/>
                    <w:color w:val="000000"/>
                    <w:position w:val="0"/>
                    <w:sz w:val="20"/>
                    <w:szCs w:val="20"/>
                  </w:rPr>
                </m:ctrlPr>
              </m:sSubPr>
              <m:e>
                <m:sSup>
                  <m:sSupPr>
                    <m:ctrlPr>
                      <w:rPr>
                        <w:rFonts w:ascii="Cambria Math" w:eastAsia="Times New Roman" w:hAnsi="Cambria Math" w:cs="Arial"/>
                        <w:i/>
                        <w:color w:val="000000"/>
                        <w:position w:val="0"/>
                        <w:sz w:val="20"/>
                        <w:szCs w:val="20"/>
                      </w:rPr>
                    </m:ctrlPr>
                  </m:sSupPr>
                  <m:e>
                    <m:r>
                      <w:rPr>
                        <w:rFonts w:ascii="Cambria Math" w:eastAsia="Times New Roman" w:hAnsi="Cambria Math" w:cs="Arial"/>
                        <w:color w:val="000000"/>
                        <w:position w:val="0"/>
                        <w:sz w:val="20"/>
                        <w:szCs w:val="20"/>
                      </w:rPr>
                      <m:t>p</m:t>
                    </m:r>
                  </m:e>
                  <m:sup>
                    <m:r>
                      <w:rPr>
                        <w:rFonts w:ascii="Cambria Math" w:eastAsia="Times New Roman" w:hAnsi="Cambria Math" w:cs="Arial"/>
                        <w:color w:val="000000"/>
                        <w:position w:val="0"/>
                        <w:sz w:val="20"/>
                        <w:szCs w:val="20"/>
                      </w:rPr>
                      <m:t>'</m:t>
                    </m:r>
                  </m:sup>
                </m:sSup>
              </m:e>
              <m:sub>
                <m:r>
                  <w:rPr>
                    <w:rFonts w:ascii="Cambria Math" w:eastAsia="Times New Roman" w:hAnsi="Cambria Math" w:cs="Arial"/>
                    <w:color w:val="000000"/>
                    <w:position w:val="0"/>
                    <w:sz w:val="20"/>
                    <w:szCs w:val="20"/>
                  </w:rPr>
                  <m:t>o</m:t>
                </m:r>
              </m:sub>
            </m:sSub>
          </m:den>
        </m:f>
        <m:r>
          <w:rPr>
            <w:rFonts w:ascii="Cambria Math" w:eastAsia="Times New Roman" w:hAnsi="Cambria Math" w:cs="Arial"/>
            <w:color w:val="000000"/>
            <w:position w:val="0"/>
            <w:sz w:val="20"/>
            <w:szCs w:val="20"/>
          </w:rPr>
          <m:t>=</m:t>
        </m:r>
        <m:r>
          <m:rPr>
            <m:sty m:val="bi"/>
          </m:rPr>
          <w:rPr>
            <w:rFonts w:ascii="Cambria Math" w:eastAsia="Times New Roman" w:hAnsi="Cambria Math" w:cs="Arial"/>
            <w:position w:val="0"/>
            <w:sz w:val="20"/>
            <w:szCs w:val="20"/>
          </w:rPr>
          <m:t xml:space="preserve"> </m:t>
        </m:r>
        <m:r>
          <w:rPr>
            <w:rFonts w:ascii="Cambria Math" w:eastAsia="Times New Roman" w:hAnsi="Cambria Math" w:cs="Arial"/>
            <w:position w:val="0"/>
            <w:sz w:val="20"/>
            <w:szCs w:val="20"/>
          </w:rPr>
          <m:t>-0.00019⋅FC+0.878</m:t>
        </m:r>
      </m:oMath>
      <w:r w:rsidR="00922798">
        <w:rPr>
          <w:rFonts w:ascii="Arial" w:eastAsia="Times New Roman" w:hAnsi="Arial" w:cs="Arial"/>
          <w:bCs/>
          <w:color w:val="000000"/>
          <w:position w:val="0"/>
          <w:sz w:val="20"/>
          <w:szCs w:val="20"/>
        </w:rPr>
        <w:t xml:space="preserve"> </w:t>
      </w:r>
    </w:p>
    <w:p w14:paraId="55C1511B" w14:textId="77777777" w:rsidR="002018AB" w:rsidRDefault="006509A7" w:rsidP="00D555FD">
      <w:pPr>
        <w:suppressAutoHyphens w:val="0"/>
        <w:spacing w:before="60" w:after="60" w:line="240" w:lineRule="auto"/>
        <w:ind w:leftChars="0" w:left="0" w:firstLineChars="0" w:hanging="2"/>
        <w:jc w:val="both"/>
        <w:textDirection w:val="lrTb"/>
        <w:textAlignment w:val="auto"/>
        <w:outlineLvl w:val="9"/>
        <w:rPr>
          <w:rFonts w:ascii="Arial" w:eastAsia="Times New Roman" w:hAnsi="Arial" w:cs="Arial"/>
          <w:position w:val="0"/>
          <w:sz w:val="20"/>
          <w:szCs w:val="20"/>
        </w:rPr>
      </w:pPr>
      <w:r w:rsidRPr="006509A7">
        <w:rPr>
          <w:rFonts w:ascii="Arial" w:eastAsia="Times New Roman" w:hAnsi="Arial" w:cs="Arial"/>
          <w:position w:val="0"/>
          <w:sz w:val="20"/>
          <w:szCs w:val="20"/>
        </w:rPr>
        <w:t xml:space="preserve">The essentially zero slope and very low </w:t>
      </w:r>
      <m:oMath>
        <m:r>
          <w:rPr>
            <w:rFonts w:ascii="Cambria Math" w:eastAsia="Times New Roman" w:hAnsi="Cambria Math" w:cs="Arial"/>
            <w:position w:val="0"/>
            <w:sz w:val="20"/>
            <w:szCs w:val="20"/>
          </w:rPr>
          <m:t>R²</m:t>
        </m:r>
      </m:oMath>
      <w:r w:rsidRPr="006509A7">
        <w:rPr>
          <w:rFonts w:ascii="Arial" w:eastAsia="Times New Roman" w:hAnsi="Arial" w:cs="Arial"/>
          <w:position w:val="0"/>
          <w:sz w:val="20"/>
          <w:szCs w:val="20"/>
        </w:rPr>
        <w:t xml:space="preserve"> confirm that fines content is not a meaningful predictor of residual strength under the very loose density conditions tested. Instead, fines primarily influence the shape of the effective stress path and the rate of pore-pressure generation, rather than the final post-liquefaction resistance.</w:t>
      </w:r>
      <w:r w:rsidR="002018AB">
        <w:rPr>
          <w:rFonts w:ascii="Arial" w:eastAsia="Times New Roman" w:hAnsi="Arial" w:cs="Arial"/>
          <w:position w:val="0"/>
          <w:sz w:val="20"/>
          <w:szCs w:val="20"/>
        </w:rPr>
        <w:t xml:space="preserve"> </w:t>
      </w:r>
    </w:p>
    <w:p w14:paraId="74514DED" w14:textId="77777777" w:rsidR="00F056D5" w:rsidRDefault="00FF18CD" w:rsidP="00D555FD">
      <w:pPr>
        <w:suppressAutoHyphens w:val="0"/>
        <w:spacing w:before="60" w:after="60" w:line="240" w:lineRule="auto"/>
        <w:ind w:leftChars="0" w:left="0" w:firstLineChars="0" w:hanging="2"/>
        <w:jc w:val="both"/>
        <w:textDirection w:val="lrTb"/>
        <w:textAlignment w:val="auto"/>
        <w:outlineLvl w:val="9"/>
        <w:rPr>
          <w:rFonts w:ascii="Arial" w:eastAsia="Times New Roman" w:hAnsi="Arial" w:cs="Arial"/>
          <w:position w:val="0"/>
          <w:sz w:val="20"/>
          <w:szCs w:val="20"/>
        </w:rPr>
      </w:pPr>
      <w:r>
        <w:rPr>
          <w:rFonts w:ascii="Arial" w:eastAsia="Times New Roman" w:hAnsi="Arial" w:cs="Arial"/>
          <w:position w:val="0"/>
          <w:sz w:val="20"/>
          <w:szCs w:val="20"/>
        </w:rPr>
        <w:t>T</w:t>
      </w:r>
      <w:r w:rsidR="006509A7" w:rsidRPr="006509A7">
        <w:rPr>
          <w:rFonts w:ascii="Arial" w:eastAsia="Times New Roman" w:hAnsi="Arial" w:cs="Arial"/>
          <w:position w:val="0"/>
          <w:sz w:val="20"/>
          <w:szCs w:val="20"/>
        </w:rPr>
        <w:t xml:space="preserve">able 3 summarizes the critical-state stress ratio </w:t>
      </w:r>
      <w:r w:rsidR="0018047B" w:rsidRPr="0018047B">
        <w:rPr>
          <w:rFonts w:ascii="Arial" w:eastAsia="Times New Roman" w:hAnsi="Arial" w:cs="Arial"/>
          <w:position w:val="0"/>
          <w:sz w:val="20"/>
          <w:szCs w:val="20"/>
        </w:rPr>
        <w:t>(</w:t>
      </w:r>
      <m:oMath>
        <m:r>
          <w:rPr>
            <w:rFonts w:ascii="Cambria Math" w:eastAsia="Times New Roman" w:hAnsi="Cambria Math" w:cs="Arial"/>
            <w:position w:val="0"/>
            <w:sz w:val="20"/>
            <w:szCs w:val="20"/>
          </w:rPr>
          <m:t>M = q/p'</m:t>
        </m:r>
      </m:oMath>
      <w:r w:rsidR="0018047B" w:rsidRPr="0018047B">
        <w:rPr>
          <w:rFonts w:ascii="Arial" w:eastAsia="Times New Roman" w:hAnsi="Arial" w:cs="Arial"/>
          <w:position w:val="0"/>
          <w:sz w:val="20"/>
          <w:szCs w:val="20"/>
        </w:rPr>
        <w:t xml:space="preserve">) </w:t>
      </w:r>
      <w:r w:rsidR="006509A7" w:rsidRPr="006509A7">
        <w:rPr>
          <w:rFonts w:ascii="Arial" w:eastAsia="Times New Roman" w:hAnsi="Arial" w:cs="Arial"/>
          <w:position w:val="0"/>
          <w:sz w:val="20"/>
          <w:szCs w:val="20"/>
        </w:rPr>
        <w:t>obtained from the large-strain portion of the effective stress paths. The measured M-values range from 1.306 to 1.359, which lies within the typical range reported for loose silty sands and volcanic-derived granular materials in recent CSSM studies. This indicates that both fines-content levels converge toward a similar critical-state condition, reinforcing the interpretation that fines modify early-stage contractive behavior but do not significantly alter the ultimate steady-state shear strength.</w:t>
      </w:r>
    </w:p>
    <w:p w14:paraId="6E27641F" w14:textId="77777777" w:rsidR="00F056D5" w:rsidRDefault="009A33CA" w:rsidP="00D555FD">
      <w:pPr>
        <w:suppressAutoHyphens w:val="0"/>
        <w:spacing w:before="60" w:after="60" w:line="240" w:lineRule="auto"/>
        <w:ind w:leftChars="0" w:left="0" w:firstLineChars="0" w:firstLine="0"/>
        <w:jc w:val="both"/>
        <w:textDirection w:val="lrTb"/>
        <w:textAlignment w:val="auto"/>
        <w:outlineLvl w:val="9"/>
        <w:rPr>
          <w:rFonts w:ascii="Arial" w:hAnsi="Arial" w:cs="Arial"/>
          <w:sz w:val="20"/>
          <w:szCs w:val="20"/>
        </w:rPr>
      </w:pPr>
      <w:r w:rsidRPr="009A33CA">
        <w:rPr>
          <w:rFonts w:ascii="Arial" w:hAnsi="Arial" w:cs="Arial"/>
          <w:sz w:val="20"/>
          <w:szCs w:val="20"/>
        </w:rPr>
        <w:t>Overall, the empirical trend and critical-state validation indicate that fines content in loose Petobo sand acts mainly as a modifier of the contractive response and effective stress path curvature, rather than as a direct determinant of residual strength. This distinction is important for constitutive modeling, where fines-dependent parameters should focus on initiation and pore-pressure buildup rather than residual strength alone.</w:t>
      </w:r>
    </w:p>
    <w:p w14:paraId="7838F02B" w14:textId="77777777" w:rsidR="009A33CA" w:rsidRDefault="009A33CA" w:rsidP="00D555FD">
      <w:pPr>
        <w:suppressAutoHyphens w:val="0"/>
        <w:spacing w:before="60" w:after="60" w:line="240" w:lineRule="auto"/>
        <w:ind w:leftChars="0" w:left="0" w:firstLineChars="0" w:firstLine="0"/>
        <w:jc w:val="both"/>
        <w:textDirection w:val="lrTb"/>
        <w:textAlignment w:val="auto"/>
        <w:outlineLvl w:val="9"/>
        <w:rPr>
          <w:rFonts w:ascii="Arial" w:hAnsi="Arial" w:cs="Arial"/>
          <w:sz w:val="20"/>
          <w:szCs w:val="20"/>
        </w:rPr>
      </w:pPr>
    </w:p>
    <w:p w14:paraId="3B62AC04" w14:textId="77777777" w:rsidR="00F056D5" w:rsidRDefault="004D1282" w:rsidP="00D555FD">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pPr>
      <w:r w:rsidRPr="004D1282">
        <w:rPr>
          <w:rFonts w:ascii="Arial" w:eastAsia="Times New Roman" w:hAnsi="Arial" w:cs="Arial"/>
          <w:b/>
          <w:bCs/>
          <w:position w:val="0"/>
          <w:sz w:val="20"/>
          <w:szCs w:val="20"/>
        </w:rPr>
        <w:t>Effect of Initial Mean Effective Stress (</w:t>
      </w:r>
      <m:oMath>
        <m:r>
          <m:rPr>
            <m:sty m:val="bi"/>
          </m:rPr>
          <w:rPr>
            <w:rFonts w:ascii="Cambria Math" w:eastAsia="Times New Roman" w:hAnsi="Cambria Math" w:cs="Arial"/>
            <w:position w:val="0"/>
            <w:sz w:val="20"/>
            <w:szCs w:val="20"/>
          </w:rPr>
          <m:t>p'</m:t>
        </m:r>
        <m:r>
          <m:rPr>
            <m:sty m:val="bi"/>
          </m:rPr>
          <w:rPr>
            <w:rFonts w:ascii="Cambria Math" w:eastAsia="Times New Roman" w:hAnsi="Cambria Math" w:cs="Cambria Math"/>
            <w:position w:val="0"/>
            <w:sz w:val="20"/>
            <w:szCs w:val="20"/>
          </w:rPr>
          <m:t>₀</m:t>
        </m:r>
        <m:r>
          <m:rPr>
            <m:sty m:val="bi"/>
          </m:rPr>
          <w:rPr>
            <w:rFonts w:ascii="Cambria Math" w:eastAsia="Times New Roman" w:hAnsi="Cambria Math" w:cs="Arial"/>
            <w:position w:val="0"/>
            <w:sz w:val="20"/>
            <w:szCs w:val="20"/>
          </w:rPr>
          <m:t>)</m:t>
        </m:r>
      </m:oMath>
    </w:p>
    <w:p w14:paraId="536DDBCF" w14:textId="77777777" w:rsidR="006D75FC" w:rsidRDefault="007C1B60" w:rsidP="00D555FD">
      <w:pPr>
        <w:suppressAutoHyphens w:val="0"/>
        <w:spacing w:before="60" w:after="60" w:line="240" w:lineRule="auto"/>
        <w:ind w:leftChars="0" w:firstLineChars="0" w:firstLine="0"/>
        <w:jc w:val="both"/>
        <w:textDirection w:val="lrTb"/>
        <w:textAlignment w:val="auto"/>
        <w:outlineLvl w:val="9"/>
        <w:rPr>
          <w:rFonts w:ascii="Arial" w:eastAsia="Times New Roman" w:hAnsi="Arial" w:cs="Arial"/>
          <w:bCs/>
          <w:position w:val="0"/>
          <w:sz w:val="20"/>
          <w:szCs w:val="20"/>
        </w:rPr>
      </w:pPr>
      <w:r w:rsidRPr="007C1B60">
        <w:rPr>
          <w:rFonts w:ascii="Arial" w:eastAsia="Times New Roman" w:hAnsi="Arial" w:cs="Arial"/>
          <w:bCs/>
          <w:position w:val="0"/>
          <w:sz w:val="20"/>
          <w:szCs w:val="20"/>
        </w:rPr>
        <w:t xml:space="preserve">Increasing the initial mean effective stress </w:t>
      </w:r>
      <m:oMath>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r>
          <w:rPr>
            <w:rFonts w:ascii="Cambria Math" w:eastAsia="Times New Roman" w:hAnsi="Cambria Math" w:cs="Arial"/>
            <w:position w:val="0"/>
            <w:sz w:val="20"/>
            <w:szCs w:val="20"/>
          </w:rPr>
          <m:t>)</m:t>
        </m:r>
      </m:oMath>
      <w:r w:rsidRPr="007C1B60">
        <w:rPr>
          <w:rFonts w:ascii="Arial" w:eastAsia="Times New Roman" w:hAnsi="Arial" w:cs="Arial"/>
          <w:bCs/>
          <w:position w:val="0"/>
          <w:sz w:val="20"/>
          <w:szCs w:val="20"/>
        </w:rPr>
        <w:t xml:space="preserve"> from 100 to 200 kPa increased the maximum deviator stress </w:t>
      </w:r>
      <m:oMath>
        <m:sSub>
          <m:sSubPr>
            <m:ctrlPr>
              <w:rPr>
                <w:rFonts w:ascii="Cambria Math" w:eastAsia="Times New Roman" w:hAnsi="Cambria Math" w:cs="Arial"/>
                <w:i/>
                <w:position w:val="0"/>
                <w:sz w:val="20"/>
                <w:szCs w:val="20"/>
              </w:rPr>
            </m:ctrlPr>
          </m:sSubPr>
          <m:e>
            <m:r>
              <w:rPr>
                <w:rFonts w:ascii="Cambria Math" w:eastAsia="Times New Roman" w:hAnsi="Cambria Math" w:cs="Arial"/>
                <w:position w:val="0"/>
                <w:sz w:val="20"/>
                <w:szCs w:val="20"/>
              </w:rPr>
              <m:t>(q</m:t>
            </m:r>
          </m:e>
          <m:sub>
            <m:r>
              <m:rPr>
                <m:sty m:val="p"/>
              </m:rPr>
              <w:rPr>
                <w:rFonts w:ascii="Cambria Math" w:eastAsia="Times New Roman" w:hAnsi="Cambria Math" w:cs="Arial"/>
                <w:position w:val="0"/>
                <w:sz w:val="20"/>
                <w:szCs w:val="20"/>
              </w:rPr>
              <m:t>max⁡</m:t>
            </m:r>
          </m:sub>
        </m:sSub>
        <m:r>
          <w:rPr>
            <w:rFonts w:ascii="Cambria Math" w:eastAsia="Times New Roman" w:hAnsi="Cambria Math" w:cs="Arial"/>
            <w:position w:val="0"/>
            <w:sz w:val="20"/>
            <w:szCs w:val="20"/>
          </w:rPr>
          <m:t>)</m:t>
        </m:r>
      </m:oMath>
      <w:r>
        <w:rPr>
          <w:rFonts w:ascii="Arial" w:eastAsia="Times New Roman" w:hAnsi="Arial" w:cs="Arial"/>
          <w:bCs/>
          <w:position w:val="0"/>
          <w:sz w:val="20"/>
          <w:szCs w:val="20"/>
        </w:rPr>
        <w:t xml:space="preserve"> </w:t>
      </w:r>
      <w:r w:rsidRPr="007C1B60">
        <w:rPr>
          <w:rFonts w:ascii="Arial" w:eastAsia="Times New Roman" w:hAnsi="Arial" w:cs="Arial"/>
          <w:bCs/>
          <w:position w:val="0"/>
          <w:sz w:val="20"/>
          <w:szCs w:val="20"/>
        </w:rPr>
        <w:t xml:space="preserve"> for both fines-content groups, indicating that specimens consolidated under higher confining pressures mobilized greater shear resistance. However, the normalized residual strength ratio </w:t>
      </w:r>
      <m:oMath>
        <m:r>
          <w:rPr>
            <w:rFonts w:ascii="Cambria Math" w:eastAsia="Times New Roman" w:hAnsi="Cambria Math" w:cs="Arial"/>
            <w:color w:val="000000"/>
            <w:position w:val="0"/>
            <w:sz w:val="20"/>
            <w:szCs w:val="20"/>
          </w:rPr>
          <m:t>(</m:t>
        </m:r>
        <m:sSub>
          <m:sSubPr>
            <m:ctrlPr>
              <w:rPr>
                <w:rFonts w:ascii="Cambria Math" w:eastAsia="Times New Roman" w:hAnsi="Cambria Math" w:cs="Arial"/>
                <w:i/>
                <w:color w:val="000000"/>
                <w:position w:val="0"/>
                <w:sz w:val="20"/>
                <w:szCs w:val="20"/>
              </w:rPr>
            </m:ctrlPr>
          </m:sSubPr>
          <m:e>
            <m:r>
              <w:rPr>
                <w:rFonts w:ascii="Cambria Math" w:eastAsia="Times New Roman" w:hAnsi="Cambria Math" w:cs="Arial"/>
                <w:color w:val="000000"/>
                <w:position w:val="0"/>
                <w:sz w:val="20"/>
                <w:szCs w:val="20"/>
              </w:rPr>
              <m:t>q</m:t>
            </m:r>
          </m:e>
          <m:sub>
            <m:r>
              <w:rPr>
                <w:rFonts w:ascii="Cambria Math" w:eastAsia="Times New Roman" w:hAnsi="Cambria Math" w:cs="Arial"/>
                <w:color w:val="000000"/>
                <w:position w:val="0"/>
                <w:sz w:val="20"/>
                <w:szCs w:val="20"/>
              </w:rPr>
              <m:t>res</m:t>
            </m:r>
          </m:sub>
        </m:sSub>
        <m:r>
          <w:rPr>
            <w:rFonts w:ascii="Cambria Math" w:eastAsia="Times New Roman" w:hAnsi="Cambria Math" w:cs="Arial"/>
            <w:color w:val="000000"/>
            <w:position w:val="0"/>
            <w:sz w:val="20"/>
            <w:szCs w:val="20"/>
          </w:rPr>
          <m:t>/p'</m:t>
        </m:r>
        <m:r>
          <w:rPr>
            <w:rFonts w:ascii="Cambria Math" w:eastAsia="Times New Roman" w:hAnsi="Cambria Math" w:cs="Cambria Math"/>
            <w:color w:val="000000"/>
            <w:position w:val="0"/>
            <w:sz w:val="20"/>
            <w:szCs w:val="20"/>
          </w:rPr>
          <m:t>₀</m:t>
        </m:r>
      </m:oMath>
      <w:r w:rsidRPr="004D1282">
        <w:rPr>
          <w:rFonts w:ascii="Arial" w:eastAsia="Times New Roman" w:hAnsi="Arial" w:cs="Arial"/>
          <w:bCs/>
          <w:color w:val="000000"/>
          <w:position w:val="0"/>
          <w:sz w:val="20"/>
          <w:szCs w:val="20"/>
        </w:rPr>
        <w:t xml:space="preserve">​) </w:t>
      </w:r>
      <w:r w:rsidR="006D75FC" w:rsidRPr="006D75FC">
        <w:rPr>
          <w:rFonts w:ascii="Arial" w:eastAsia="Times New Roman" w:hAnsi="Arial" w:cs="Arial"/>
          <w:bCs/>
          <w:position w:val="0"/>
          <w:sz w:val="20"/>
          <w:szCs w:val="20"/>
        </w:rPr>
        <w:t>did not increase proportionally with</w:t>
      </w:r>
      <w:r w:rsidR="006D75FC">
        <w:rPr>
          <w:rFonts w:ascii="Arial" w:eastAsia="Times New Roman" w:hAnsi="Arial" w:cs="Arial"/>
          <w:bCs/>
          <w:position w:val="0"/>
          <w:sz w:val="20"/>
          <w:szCs w:val="20"/>
        </w:rPr>
        <w:t xml:space="preserve"> </w:t>
      </w:r>
      <m:oMath>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oMath>
      <w:r w:rsidRPr="007C1B60">
        <w:rPr>
          <w:rFonts w:ascii="Arial" w:eastAsia="Times New Roman" w:hAnsi="Arial" w:cs="Arial"/>
          <w:bCs/>
          <w:position w:val="0"/>
          <w:sz w:val="20"/>
          <w:szCs w:val="20"/>
        </w:rPr>
        <w:t xml:space="preserve">. </w:t>
      </w:r>
      <w:r w:rsidR="006D75FC" w:rsidRPr="006D75FC">
        <w:rPr>
          <w:rFonts w:ascii="Arial" w:eastAsia="Times New Roman" w:hAnsi="Arial" w:cs="Arial"/>
          <w:bCs/>
          <w:position w:val="0"/>
          <w:sz w:val="20"/>
          <w:szCs w:val="20"/>
        </w:rPr>
        <w:t>This trend is consistent with Critical State Soil Mechanics (CSSM), which predicts that specimens sheared from higher initial effective stresses approach the critical state along paths that yield higher absolute residual strength but similar or lower normalized strength ratios</w:t>
      </w:r>
    </w:p>
    <w:p w14:paraId="3896838B" w14:textId="77777777" w:rsidR="006D75FC" w:rsidRPr="006D75FC" w:rsidRDefault="006D75FC" w:rsidP="00D555FD">
      <w:pPr>
        <w:suppressAutoHyphens w:val="0"/>
        <w:spacing w:before="60" w:after="60" w:line="240" w:lineRule="auto"/>
        <w:ind w:leftChars="0" w:firstLineChars="0" w:firstLine="0"/>
        <w:jc w:val="both"/>
        <w:textDirection w:val="lrTb"/>
        <w:textAlignment w:val="auto"/>
        <w:outlineLvl w:val="9"/>
        <w:rPr>
          <w:rFonts w:ascii="Arial" w:eastAsia="Times New Roman" w:hAnsi="Arial" w:cs="Arial"/>
          <w:bCs/>
          <w:position w:val="0"/>
          <w:sz w:val="20"/>
          <w:szCs w:val="20"/>
        </w:rPr>
      </w:pPr>
      <w:r w:rsidRPr="006D75FC">
        <w:rPr>
          <w:rFonts w:ascii="Arial" w:eastAsia="Times New Roman" w:hAnsi="Arial" w:cs="Arial"/>
          <w:bCs/>
          <w:position w:val="0"/>
          <w:sz w:val="20"/>
          <w:szCs w:val="20"/>
        </w:rPr>
        <w:t>The measured data confirm this behavior.</w:t>
      </w:r>
      <w:r w:rsidR="00D555FD">
        <w:rPr>
          <w:rFonts w:ascii="Arial" w:eastAsia="Times New Roman" w:hAnsi="Arial" w:cs="Arial"/>
          <w:bCs/>
          <w:position w:val="0"/>
          <w:sz w:val="20"/>
          <w:szCs w:val="20"/>
        </w:rPr>
        <w:t xml:space="preserve"> </w:t>
      </w:r>
      <w:r w:rsidRPr="006D75FC">
        <w:rPr>
          <w:rFonts w:ascii="Arial" w:eastAsia="Times New Roman" w:hAnsi="Arial" w:cs="Arial"/>
          <w:bCs/>
          <w:position w:val="0"/>
          <w:sz w:val="20"/>
          <w:szCs w:val="20"/>
        </w:rPr>
        <w:t>For FC = 9%, residual strength increased from</w:t>
      </w:r>
      <w:r>
        <w:rPr>
          <w:rFonts w:ascii="Arial" w:eastAsia="Times New Roman" w:hAnsi="Arial" w:cs="Arial"/>
          <w:bCs/>
          <w:position w:val="0"/>
          <w:sz w:val="20"/>
          <w:szCs w:val="20"/>
        </w:rPr>
        <w:t xml:space="preserve"> </w:t>
      </w:r>
      <m:oMath>
        <m:sSub>
          <m:sSubPr>
            <m:ctrlPr>
              <w:rPr>
                <w:rFonts w:ascii="Cambria Math" w:eastAsia="Times New Roman" w:hAnsi="Cambria Math" w:cs="Arial"/>
                <w:i/>
                <w:color w:val="000000"/>
                <w:position w:val="0"/>
                <w:sz w:val="20"/>
                <w:szCs w:val="20"/>
              </w:rPr>
            </m:ctrlPr>
          </m:sSubPr>
          <m:e>
            <m:r>
              <w:rPr>
                <w:rFonts w:ascii="Cambria Math" w:eastAsia="Times New Roman" w:hAnsi="Cambria Math" w:cs="Arial"/>
                <w:color w:val="000000"/>
                <w:position w:val="0"/>
                <w:sz w:val="20"/>
                <w:szCs w:val="20"/>
              </w:rPr>
              <m:t>q</m:t>
            </m:r>
          </m:e>
          <m:sub>
            <m:r>
              <w:rPr>
                <w:rFonts w:ascii="Cambria Math" w:eastAsia="Times New Roman" w:hAnsi="Cambria Math" w:cs="Arial"/>
                <w:color w:val="000000"/>
                <w:position w:val="0"/>
                <w:sz w:val="20"/>
                <w:szCs w:val="20"/>
              </w:rPr>
              <m:t>res</m:t>
            </m:r>
          </m:sub>
        </m:sSub>
      </m:oMath>
      <w:r w:rsidR="007C1B60" w:rsidRPr="007C1B60">
        <w:rPr>
          <w:rFonts w:ascii="Arial" w:eastAsia="Times New Roman" w:hAnsi="Arial" w:cs="Arial"/>
          <w:bCs/>
          <w:position w:val="0"/>
          <w:sz w:val="20"/>
          <w:szCs w:val="20"/>
        </w:rPr>
        <w:t xml:space="preserve"> = </w:t>
      </w:r>
      <w:r w:rsidR="005D2AB7" w:rsidRPr="005D2AB7">
        <w:rPr>
          <w:rFonts w:ascii="Arial" w:eastAsia="Times New Roman" w:hAnsi="Arial" w:cs="Arial"/>
          <w:bCs/>
          <w:position w:val="0"/>
          <w:sz w:val="20"/>
          <w:szCs w:val="20"/>
        </w:rPr>
        <w:t>89.47</w:t>
      </w:r>
      <w:r w:rsidR="005D2AB7">
        <w:rPr>
          <w:rFonts w:ascii="Arial" w:eastAsia="Times New Roman" w:hAnsi="Arial" w:cs="Arial"/>
          <w:bCs/>
          <w:position w:val="0"/>
          <w:sz w:val="20"/>
          <w:szCs w:val="20"/>
        </w:rPr>
        <w:t xml:space="preserve"> </w:t>
      </w:r>
      <w:r w:rsidR="007C1B60" w:rsidRPr="007C1B60">
        <w:rPr>
          <w:rFonts w:ascii="Arial" w:eastAsia="Times New Roman" w:hAnsi="Arial" w:cs="Arial"/>
          <w:bCs/>
          <w:position w:val="0"/>
          <w:sz w:val="20"/>
          <w:szCs w:val="20"/>
        </w:rPr>
        <w:t xml:space="preserve">kPa at </w:t>
      </w:r>
      <m:oMath>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oMath>
      <w:r w:rsidR="007C1B60" w:rsidRPr="007C1B60">
        <w:rPr>
          <w:rFonts w:ascii="Arial" w:eastAsia="Times New Roman" w:hAnsi="Arial" w:cs="Arial"/>
          <w:bCs/>
          <w:position w:val="0"/>
          <w:sz w:val="20"/>
          <w:szCs w:val="20"/>
        </w:rPr>
        <w:t xml:space="preserve"> = 100 kPa to </w:t>
      </w:r>
      <m:oMath>
        <m:sSub>
          <m:sSubPr>
            <m:ctrlPr>
              <w:rPr>
                <w:rFonts w:ascii="Cambria Math" w:eastAsia="Times New Roman" w:hAnsi="Cambria Math" w:cs="Arial"/>
                <w:i/>
                <w:color w:val="000000"/>
                <w:position w:val="0"/>
                <w:sz w:val="20"/>
                <w:szCs w:val="20"/>
              </w:rPr>
            </m:ctrlPr>
          </m:sSubPr>
          <m:e>
            <m:r>
              <w:rPr>
                <w:rFonts w:ascii="Cambria Math" w:eastAsia="Times New Roman" w:hAnsi="Cambria Math" w:cs="Arial"/>
                <w:color w:val="000000"/>
                <w:position w:val="0"/>
                <w:sz w:val="20"/>
                <w:szCs w:val="20"/>
              </w:rPr>
              <m:t>q</m:t>
            </m:r>
          </m:e>
          <m:sub>
            <m:r>
              <w:rPr>
                <w:rFonts w:ascii="Cambria Math" w:eastAsia="Times New Roman" w:hAnsi="Cambria Math" w:cs="Arial"/>
                <w:color w:val="000000"/>
                <w:position w:val="0"/>
                <w:sz w:val="20"/>
                <w:szCs w:val="20"/>
              </w:rPr>
              <m:t>res</m:t>
            </m:r>
          </m:sub>
        </m:sSub>
      </m:oMath>
      <w:r w:rsidR="007C1B60" w:rsidRPr="007C1B60">
        <w:rPr>
          <w:rFonts w:ascii="Arial" w:eastAsia="Times New Roman" w:hAnsi="Arial" w:cs="Arial"/>
          <w:bCs/>
          <w:position w:val="0"/>
          <w:sz w:val="20"/>
          <w:szCs w:val="20"/>
        </w:rPr>
        <w:t xml:space="preserve"> = </w:t>
      </w:r>
      <w:r w:rsidR="005D2AB7" w:rsidRPr="005D2AB7">
        <w:rPr>
          <w:rFonts w:ascii="Arial" w:eastAsia="Times New Roman" w:hAnsi="Arial" w:cs="Arial"/>
          <w:bCs/>
          <w:position w:val="0"/>
          <w:sz w:val="20"/>
          <w:szCs w:val="20"/>
        </w:rPr>
        <w:t>177.73</w:t>
      </w:r>
      <w:r w:rsidR="005D2AB7">
        <w:rPr>
          <w:rFonts w:ascii="Arial" w:eastAsia="Times New Roman" w:hAnsi="Arial" w:cs="Arial"/>
          <w:bCs/>
          <w:position w:val="0"/>
          <w:sz w:val="20"/>
          <w:szCs w:val="20"/>
        </w:rPr>
        <w:t xml:space="preserve"> </w:t>
      </w:r>
      <w:r w:rsidR="007C1B60" w:rsidRPr="007C1B60">
        <w:rPr>
          <w:rFonts w:ascii="Arial" w:eastAsia="Times New Roman" w:hAnsi="Arial" w:cs="Arial"/>
          <w:bCs/>
          <w:position w:val="0"/>
          <w:sz w:val="20"/>
          <w:szCs w:val="20"/>
        </w:rPr>
        <w:t xml:space="preserve">kPa at </w:t>
      </w:r>
      <m:oMath>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r>
          <w:rPr>
            <w:rFonts w:ascii="Cambria Math" w:eastAsia="Times New Roman" w:hAnsi="Cambria Math" w:cs="Arial"/>
            <w:position w:val="0"/>
            <w:sz w:val="20"/>
            <w:szCs w:val="20"/>
          </w:rPr>
          <m:t xml:space="preserve"> </m:t>
        </m:r>
      </m:oMath>
      <w:r w:rsidR="007C1B60" w:rsidRPr="007C1B60">
        <w:rPr>
          <w:rFonts w:ascii="Arial" w:eastAsia="Times New Roman" w:hAnsi="Arial" w:cs="Arial"/>
          <w:bCs/>
          <w:position w:val="0"/>
          <w:sz w:val="20"/>
          <w:szCs w:val="20"/>
        </w:rPr>
        <w:t xml:space="preserve">= 200 kPa, </w:t>
      </w:r>
      <w:r w:rsidRPr="006D75FC">
        <w:rPr>
          <w:rFonts w:ascii="Arial" w:eastAsia="Times New Roman" w:hAnsi="Arial" w:cs="Arial"/>
          <w:bCs/>
          <w:position w:val="0"/>
          <w:sz w:val="20"/>
          <w:szCs w:val="20"/>
        </w:rPr>
        <w:t>yet the normalized ratio remained nearly constant</w:t>
      </w:r>
      <w:r w:rsidR="007C1B60" w:rsidRPr="007C1B60">
        <w:rPr>
          <w:rFonts w:ascii="Arial" w:eastAsia="Times New Roman" w:hAnsi="Arial" w:cs="Arial"/>
          <w:bCs/>
          <w:position w:val="0"/>
          <w:sz w:val="20"/>
          <w:szCs w:val="20"/>
        </w:rPr>
        <w:t xml:space="preserve"> (</w:t>
      </w:r>
      <m:oMath>
        <m:sSub>
          <m:sSubPr>
            <m:ctrlPr>
              <w:rPr>
                <w:rFonts w:ascii="Cambria Math" w:eastAsia="Times New Roman" w:hAnsi="Cambria Math" w:cs="Arial"/>
                <w:i/>
                <w:color w:val="000000"/>
                <w:position w:val="0"/>
                <w:sz w:val="20"/>
                <w:szCs w:val="20"/>
              </w:rPr>
            </m:ctrlPr>
          </m:sSubPr>
          <m:e>
            <m:r>
              <w:rPr>
                <w:rFonts w:ascii="Cambria Math" w:eastAsia="Times New Roman" w:hAnsi="Cambria Math" w:cs="Arial"/>
                <w:color w:val="000000"/>
                <w:position w:val="0"/>
                <w:sz w:val="20"/>
                <w:szCs w:val="20"/>
              </w:rPr>
              <m:t>q</m:t>
            </m:r>
          </m:e>
          <m:sub>
            <m:r>
              <w:rPr>
                <w:rFonts w:ascii="Cambria Math" w:eastAsia="Times New Roman" w:hAnsi="Cambria Math" w:cs="Arial"/>
                <w:color w:val="000000"/>
                <w:position w:val="0"/>
                <w:sz w:val="20"/>
                <w:szCs w:val="20"/>
              </w:rPr>
              <m:t>res</m:t>
            </m:r>
          </m:sub>
        </m:sSub>
        <m:r>
          <w:rPr>
            <w:rFonts w:ascii="Cambria Math" w:eastAsia="Times New Roman" w:hAnsi="Cambria Math" w:cs="Arial"/>
            <w:color w:val="000000"/>
            <w:position w:val="0"/>
            <w:sz w:val="20"/>
            <w:szCs w:val="20"/>
          </w:rPr>
          <m:t>/p'</m:t>
        </m:r>
        <m:r>
          <w:rPr>
            <w:rFonts w:ascii="Cambria Math" w:eastAsia="Times New Roman" w:hAnsi="Cambria Math" w:cs="Cambria Math"/>
            <w:color w:val="000000"/>
            <w:position w:val="0"/>
            <w:sz w:val="20"/>
            <w:szCs w:val="20"/>
          </w:rPr>
          <m:t>₀</m:t>
        </m:r>
      </m:oMath>
      <w:r w:rsidR="00133FF1">
        <w:rPr>
          <w:rFonts w:ascii="Arial" w:eastAsia="Times New Roman" w:hAnsi="Arial" w:cs="Arial"/>
          <w:bCs/>
          <w:color w:val="000000"/>
          <w:position w:val="0"/>
          <w:sz w:val="20"/>
          <w:szCs w:val="20"/>
        </w:rPr>
        <w:t>​</w:t>
      </w:r>
      <w:r w:rsidR="007C1B60" w:rsidRPr="007C1B60">
        <w:rPr>
          <w:rFonts w:ascii="Arial" w:eastAsia="Times New Roman" w:hAnsi="Arial" w:cs="Arial"/>
          <w:bCs/>
          <w:position w:val="0"/>
          <w:sz w:val="20"/>
          <w:szCs w:val="20"/>
        </w:rPr>
        <w:t xml:space="preserve"> </w:t>
      </w:r>
      <w:r w:rsidR="00133FF1">
        <w:rPr>
          <w:rFonts w:ascii="Arial" w:eastAsia="Times New Roman" w:hAnsi="Arial" w:cs="Arial"/>
          <w:bCs/>
          <w:position w:val="0"/>
          <w:sz w:val="20"/>
          <w:szCs w:val="20"/>
        </w:rPr>
        <w:t>=</w:t>
      </w:r>
      <w:r>
        <w:rPr>
          <w:rFonts w:ascii="Arial" w:eastAsia="Times New Roman" w:hAnsi="Arial" w:cs="Arial"/>
          <w:bCs/>
          <w:position w:val="0"/>
          <w:sz w:val="20"/>
          <w:szCs w:val="20"/>
        </w:rPr>
        <w:t xml:space="preserve"> 0.89) </w:t>
      </w:r>
      <w:r w:rsidRPr="006D75FC">
        <w:rPr>
          <w:rFonts w:ascii="Arial" w:eastAsia="Times New Roman" w:hAnsi="Arial" w:cs="Arial"/>
          <w:bCs/>
          <w:position w:val="0"/>
          <w:sz w:val="20"/>
          <w:szCs w:val="20"/>
        </w:rPr>
        <w:t xml:space="preserve">with a slight dip at intermediate </w:t>
      </w:r>
      <m:oMath>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oMath>
      <w:r w:rsidRPr="006D75FC">
        <w:rPr>
          <w:rFonts w:ascii="Arial" w:eastAsia="Times New Roman" w:hAnsi="Arial" w:cs="Arial"/>
          <w:bCs/>
          <w:position w:val="0"/>
          <w:sz w:val="20"/>
          <w:szCs w:val="20"/>
        </w:rPr>
        <w:t xml:space="preserve"> = 150 kPa (0.85).</w:t>
      </w:r>
      <w:r w:rsidR="007C1B60" w:rsidRPr="007C1B60">
        <w:rPr>
          <w:rFonts w:ascii="Arial" w:eastAsia="Times New Roman" w:hAnsi="Arial" w:cs="Arial"/>
          <w:bCs/>
          <w:position w:val="0"/>
          <w:sz w:val="20"/>
          <w:szCs w:val="20"/>
        </w:rPr>
        <w:t xml:space="preserve"> </w:t>
      </w:r>
      <w:r w:rsidRPr="006D75FC">
        <w:rPr>
          <w:rFonts w:ascii="Arial" w:eastAsia="Times New Roman" w:hAnsi="Arial" w:cs="Arial"/>
          <w:bCs/>
          <w:position w:val="0"/>
          <w:sz w:val="20"/>
          <w:szCs w:val="20"/>
        </w:rPr>
        <w:t xml:space="preserve">A similar </w:t>
      </w:r>
      <w:r w:rsidRPr="006D75FC">
        <w:rPr>
          <w:rFonts w:ascii="Arial" w:eastAsia="Times New Roman" w:hAnsi="Arial" w:cs="Arial"/>
          <w:bCs/>
          <w:position w:val="0"/>
          <w:sz w:val="20"/>
          <w:szCs w:val="20"/>
        </w:rPr>
        <w:t xml:space="preserve">pattern was observed for FC = 26.4%, where </w:t>
      </w:r>
      <m:oMath>
        <m:sSub>
          <m:sSubPr>
            <m:ctrlPr>
              <w:rPr>
                <w:rFonts w:ascii="Cambria Math" w:eastAsia="Times New Roman" w:hAnsi="Cambria Math" w:cs="Arial"/>
                <w:i/>
                <w:color w:val="000000"/>
                <w:position w:val="0"/>
                <w:sz w:val="20"/>
                <w:szCs w:val="20"/>
              </w:rPr>
            </m:ctrlPr>
          </m:sSubPr>
          <m:e>
            <m:r>
              <w:rPr>
                <w:rFonts w:ascii="Cambria Math" w:eastAsia="Times New Roman" w:hAnsi="Cambria Math" w:cs="Arial"/>
                <w:color w:val="000000"/>
                <w:position w:val="0"/>
                <w:sz w:val="20"/>
                <w:szCs w:val="20"/>
              </w:rPr>
              <m:t>q</m:t>
            </m:r>
          </m:e>
          <m:sub>
            <m:r>
              <w:rPr>
                <w:rFonts w:ascii="Cambria Math" w:eastAsia="Times New Roman" w:hAnsi="Cambria Math" w:cs="Arial"/>
                <w:color w:val="000000"/>
                <w:position w:val="0"/>
                <w:sz w:val="20"/>
                <w:szCs w:val="20"/>
              </w:rPr>
              <m:t>res</m:t>
            </m:r>
          </m:sub>
        </m:sSub>
      </m:oMath>
      <w:r>
        <w:rPr>
          <w:rFonts w:ascii="Arial" w:eastAsia="Times New Roman" w:hAnsi="Arial" w:cs="Arial"/>
          <w:bCs/>
          <w:position w:val="0"/>
          <w:sz w:val="20"/>
          <w:szCs w:val="20"/>
        </w:rPr>
        <w:t xml:space="preserve"> </w:t>
      </w:r>
      <w:r w:rsidRPr="006D75FC">
        <w:rPr>
          <w:rFonts w:ascii="Arial" w:eastAsia="Times New Roman" w:hAnsi="Arial" w:cs="Arial"/>
          <w:bCs/>
          <w:position w:val="0"/>
          <w:sz w:val="20"/>
          <w:szCs w:val="20"/>
        </w:rPr>
        <w:t>increased from</w:t>
      </w:r>
      <w:r>
        <w:rPr>
          <w:rFonts w:ascii="Arial" w:eastAsia="Times New Roman" w:hAnsi="Arial" w:cs="Arial"/>
          <w:bCs/>
          <w:position w:val="0"/>
          <w:sz w:val="20"/>
          <w:szCs w:val="20"/>
        </w:rPr>
        <w:t xml:space="preserve"> </w:t>
      </w:r>
      <w:r w:rsidRPr="006D75FC">
        <w:rPr>
          <w:rFonts w:ascii="Arial" w:eastAsia="Times New Roman" w:hAnsi="Arial" w:cs="Arial"/>
          <w:bCs/>
          <w:position w:val="0"/>
          <w:sz w:val="20"/>
          <w:szCs w:val="20"/>
        </w:rPr>
        <w:t xml:space="preserve">93.54 kPa </w:t>
      </w:r>
      <w:r>
        <w:rPr>
          <w:rFonts w:ascii="Arial" w:eastAsia="Times New Roman" w:hAnsi="Arial" w:cs="Arial"/>
          <w:bCs/>
          <w:position w:val="0"/>
          <w:sz w:val="20"/>
          <w:szCs w:val="20"/>
        </w:rPr>
        <w:t>to</w:t>
      </w:r>
      <w:r w:rsidRPr="006D75FC">
        <w:rPr>
          <w:rFonts w:ascii="Arial" w:eastAsia="Times New Roman" w:hAnsi="Arial" w:cs="Arial"/>
          <w:bCs/>
          <w:position w:val="0"/>
          <w:sz w:val="20"/>
          <w:szCs w:val="20"/>
        </w:rPr>
        <w:t xml:space="preserve"> 178.12 kPa,</w:t>
      </w:r>
    </w:p>
    <w:p w14:paraId="01414231" w14:textId="77777777" w:rsidR="006D75FC" w:rsidRDefault="006D75FC" w:rsidP="00D555FD">
      <w:pPr>
        <w:suppressAutoHyphens w:val="0"/>
        <w:spacing w:before="60" w:after="60" w:line="240" w:lineRule="auto"/>
        <w:ind w:leftChars="0" w:firstLineChars="0" w:firstLine="0"/>
        <w:jc w:val="both"/>
        <w:textDirection w:val="lrTb"/>
        <w:textAlignment w:val="auto"/>
        <w:outlineLvl w:val="9"/>
        <w:rPr>
          <w:rFonts w:ascii="Arial" w:eastAsia="Times New Roman" w:hAnsi="Arial" w:cs="Arial"/>
          <w:bCs/>
          <w:position w:val="0"/>
          <w:sz w:val="20"/>
          <w:szCs w:val="20"/>
        </w:rPr>
      </w:pPr>
      <w:r w:rsidRPr="006D75FC">
        <w:rPr>
          <w:rFonts w:ascii="Arial" w:eastAsia="Times New Roman" w:hAnsi="Arial" w:cs="Arial"/>
          <w:bCs/>
          <w:position w:val="0"/>
          <w:sz w:val="20"/>
          <w:szCs w:val="20"/>
        </w:rPr>
        <w:t xml:space="preserve">These results demonstrate the characteristic stress-ratio dilution effect, where increases in </w:t>
      </w:r>
      <m:oMath>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oMath>
      <w:r w:rsidRPr="006D75FC">
        <w:rPr>
          <w:rFonts w:ascii="Arial" w:eastAsia="Times New Roman" w:hAnsi="Arial" w:cs="Arial"/>
          <w:bCs/>
          <w:position w:val="0"/>
          <w:sz w:val="20"/>
          <w:szCs w:val="20"/>
        </w:rPr>
        <w:t xml:space="preserve"> elevate the absolute shear capacity but do not produce proportional increases in normalized residual strength. This behavior is consistent with recent CSSM-based studies on saturated silty sands and volcanic-derived materials, which report comparable reductions or plateaus in normalized strength at higher consolidation stresses.</w:t>
      </w:r>
    </w:p>
    <w:p w14:paraId="3F950B59" w14:textId="77777777" w:rsidR="006D75FC" w:rsidRDefault="006D75FC" w:rsidP="00D555FD">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Cs/>
          <w:position w:val="0"/>
          <w:sz w:val="20"/>
          <w:szCs w:val="20"/>
        </w:rPr>
      </w:pPr>
      <w:r w:rsidRPr="006D75FC">
        <w:rPr>
          <w:rFonts w:ascii="Arial" w:eastAsia="Times New Roman" w:hAnsi="Arial" w:cs="Arial"/>
          <w:bCs/>
          <w:position w:val="0"/>
          <w:sz w:val="20"/>
          <w:szCs w:val="20"/>
        </w:rPr>
        <w:t>The interaction between fines content and initial stress is also evident. Non-plastic fines enhance packing density and improve shear resistance at large strains, but their influence on normalized residual strength is moderated by the initial effective stress. In contrast, soils containing plastic or highly compressible fines have been shown to experience larger reductions in residual strength under similar conditions, highlighting the importance of fines characteristics.</w:t>
      </w:r>
    </w:p>
    <w:p w14:paraId="53E11BFD" w14:textId="77777777" w:rsidR="005D6619" w:rsidRDefault="006D75FC" w:rsidP="00D555FD">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Cs/>
          <w:position w:val="0"/>
          <w:sz w:val="20"/>
          <w:szCs w:val="20"/>
        </w:rPr>
      </w:pPr>
      <w:r w:rsidRPr="006D75FC">
        <w:rPr>
          <w:rFonts w:ascii="Arial" w:eastAsia="Times New Roman" w:hAnsi="Arial" w:cs="Arial"/>
          <w:bCs/>
          <w:position w:val="0"/>
          <w:sz w:val="20"/>
          <w:szCs w:val="20"/>
        </w:rPr>
        <w:t xml:space="preserve">This laboratory trend aligns with field observations in Petobo. Deeper layers subjected to higher overburden stresses </w:t>
      </w:r>
      <w:r w:rsidR="007C1B60" w:rsidRPr="007C1B60">
        <w:rPr>
          <w:rFonts w:ascii="Arial" w:eastAsia="Times New Roman" w:hAnsi="Arial" w:cs="Arial"/>
          <w:bCs/>
          <w:position w:val="0"/>
          <w:sz w:val="20"/>
          <w:szCs w:val="20"/>
        </w:rPr>
        <w:t xml:space="preserve">(higher </w:t>
      </w:r>
      <m:oMath>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oMath>
      <w:r w:rsidR="007C1B60" w:rsidRPr="007C1B60">
        <w:rPr>
          <w:rFonts w:ascii="Arial" w:eastAsia="Times New Roman" w:hAnsi="Arial" w:cs="Arial"/>
          <w:bCs/>
          <w:position w:val="0"/>
          <w:sz w:val="20"/>
          <w:szCs w:val="20"/>
        </w:rPr>
        <w:t xml:space="preserve">) </w:t>
      </w:r>
      <w:r w:rsidRPr="006D75FC">
        <w:rPr>
          <w:rFonts w:ascii="Arial" w:eastAsia="Times New Roman" w:hAnsi="Arial" w:cs="Arial"/>
          <w:bCs/>
          <w:position w:val="0"/>
          <w:sz w:val="20"/>
          <w:szCs w:val="20"/>
        </w:rPr>
        <w:t>likely mobilized lower residual strength ratios, while shallower loose layers with lower</w:t>
      </w:r>
      <w:r>
        <w:rPr>
          <w:rFonts w:ascii="Arial" w:eastAsia="Times New Roman" w:hAnsi="Arial" w:cs="Arial"/>
          <w:bCs/>
          <w:position w:val="0"/>
          <w:sz w:val="20"/>
          <w:szCs w:val="20"/>
        </w:rPr>
        <w:t xml:space="preserve"> </w:t>
      </w:r>
      <m:oMath>
        <m:r>
          <w:rPr>
            <w:rFonts w:ascii="Cambria Math" w:eastAsia="Times New Roman" w:hAnsi="Cambria Math" w:cs="Arial"/>
            <w:position w:val="0"/>
            <w:sz w:val="20"/>
            <w:szCs w:val="20"/>
          </w:rPr>
          <m:t>p'</m:t>
        </m:r>
        <m:r>
          <w:rPr>
            <w:rFonts w:ascii="Cambria Math" w:eastAsia="Times New Roman" w:hAnsi="Cambria Math" w:cs="Cambria Math"/>
            <w:position w:val="0"/>
            <w:sz w:val="20"/>
            <w:szCs w:val="20"/>
          </w:rPr>
          <m:t>₀</m:t>
        </m:r>
      </m:oMath>
      <w:r w:rsidR="007C1B60" w:rsidRPr="007C1B60">
        <w:rPr>
          <w:rFonts w:ascii="Arial" w:eastAsia="Times New Roman" w:hAnsi="Arial" w:cs="Arial"/>
          <w:bCs/>
          <w:position w:val="0"/>
          <w:sz w:val="20"/>
          <w:szCs w:val="20"/>
        </w:rPr>
        <w:t xml:space="preserve"> </w:t>
      </w:r>
      <w:r w:rsidRPr="006D75FC">
        <w:rPr>
          <w:rFonts w:ascii="Arial" w:eastAsia="Times New Roman" w:hAnsi="Arial" w:cs="Arial"/>
          <w:bCs/>
          <w:position w:val="0"/>
          <w:sz w:val="20"/>
          <w:szCs w:val="20"/>
        </w:rPr>
        <w:t>experienced greater displacement and more extensive flow deformation during the 2018 event. Thus, the experimental results provide a realistic representation of the stress-controlled spatial variability observed in the field.</w:t>
      </w:r>
    </w:p>
    <w:p w14:paraId="7DFBA939" w14:textId="77777777" w:rsidR="00133FF1" w:rsidRPr="00133FF1" w:rsidRDefault="00133FF1" w:rsidP="00D555FD">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Cs/>
          <w:position w:val="0"/>
          <w:sz w:val="20"/>
          <w:szCs w:val="20"/>
        </w:rPr>
      </w:pPr>
    </w:p>
    <w:p w14:paraId="3A97FAA0" w14:textId="77777777" w:rsidR="00027F7B" w:rsidRPr="00027F7B" w:rsidRDefault="00027F7B" w:rsidP="00715C50">
      <w:pPr>
        <w:suppressAutoHyphens w:val="0"/>
        <w:spacing w:before="60" w:after="60" w:line="240" w:lineRule="auto"/>
        <w:ind w:leftChars="0" w:firstLineChars="0" w:firstLine="0"/>
        <w:jc w:val="both"/>
        <w:textDirection w:val="lrTb"/>
        <w:textAlignment w:val="auto"/>
        <w:outlineLvl w:val="9"/>
        <w:rPr>
          <w:rFonts w:ascii="Arial" w:eastAsia="Times New Roman" w:hAnsi="Arial" w:cs="Arial"/>
          <w:b/>
          <w:bCs/>
          <w:color w:val="000000"/>
          <w:position w:val="0"/>
          <w:sz w:val="20"/>
          <w:szCs w:val="20"/>
        </w:rPr>
      </w:pPr>
      <w:r w:rsidRPr="00027F7B">
        <w:rPr>
          <w:rFonts w:ascii="Arial" w:eastAsia="Times New Roman" w:hAnsi="Arial" w:cs="Arial"/>
          <w:b/>
          <w:bCs/>
          <w:color w:val="000000"/>
          <w:position w:val="0"/>
          <w:sz w:val="20"/>
          <w:szCs w:val="20"/>
        </w:rPr>
        <w:t>Implications for Post-Liquefaction Stability and Relevance to the 2018 Palu Flowslide</w:t>
      </w:r>
    </w:p>
    <w:p w14:paraId="73769CF8" w14:textId="77777777" w:rsidR="00B826CE" w:rsidRPr="00B826CE" w:rsidRDefault="00B826CE" w:rsidP="00715C50">
      <w:pPr>
        <w:suppressAutoHyphens w:val="0"/>
        <w:spacing w:before="60" w:after="60" w:line="240" w:lineRule="auto"/>
        <w:ind w:leftChars="0" w:firstLineChars="0" w:firstLine="0"/>
        <w:jc w:val="both"/>
        <w:textDirection w:val="lrTb"/>
        <w:textAlignment w:val="auto"/>
        <w:outlineLvl w:val="9"/>
        <w:rPr>
          <w:rFonts w:ascii="Arial" w:eastAsia="Times New Roman" w:hAnsi="Arial" w:cs="Arial"/>
          <w:bCs/>
          <w:color w:val="000000"/>
          <w:position w:val="0"/>
          <w:sz w:val="20"/>
          <w:szCs w:val="20"/>
        </w:rPr>
      </w:pPr>
      <w:r w:rsidRPr="00B826CE">
        <w:rPr>
          <w:rFonts w:ascii="Arial" w:eastAsia="Times New Roman" w:hAnsi="Arial" w:cs="Arial"/>
          <w:bCs/>
          <w:color w:val="000000"/>
          <w:position w:val="0"/>
          <w:sz w:val="20"/>
          <w:szCs w:val="20"/>
        </w:rPr>
        <w:t>The laboratory results show that both low-fines and high-fines specimens of Petobo sand exhibit low normalized residual strength (</w:t>
      </w:r>
      <m:oMath>
        <m:sSub>
          <m:sSubPr>
            <m:ctrlPr>
              <w:rPr>
                <w:rFonts w:ascii="Cambria Math" w:eastAsia="Times New Roman" w:hAnsi="Cambria Math" w:cs="Arial"/>
                <w:i/>
                <w:color w:val="000000"/>
                <w:position w:val="0"/>
                <w:sz w:val="20"/>
                <w:szCs w:val="20"/>
              </w:rPr>
            </m:ctrlPr>
          </m:sSubPr>
          <m:e>
            <m:r>
              <w:rPr>
                <w:rFonts w:ascii="Cambria Math" w:eastAsia="Times New Roman" w:hAnsi="Cambria Math" w:cs="Arial"/>
                <w:color w:val="000000"/>
                <w:position w:val="0"/>
                <w:sz w:val="20"/>
                <w:szCs w:val="20"/>
              </w:rPr>
              <m:t>q</m:t>
            </m:r>
          </m:e>
          <m:sub>
            <m:r>
              <w:rPr>
                <w:rFonts w:ascii="Cambria Math" w:eastAsia="Times New Roman" w:hAnsi="Cambria Math" w:cs="Arial"/>
                <w:color w:val="000000"/>
                <w:position w:val="0"/>
                <w:sz w:val="20"/>
                <w:szCs w:val="20"/>
              </w:rPr>
              <m:t>res</m:t>
            </m:r>
          </m:sub>
        </m:sSub>
        <m:r>
          <w:rPr>
            <w:rFonts w:ascii="Cambria Math" w:eastAsia="Times New Roman" w:hAnsi="Cambria Math" w:cs="Arial"/>
            <w:color w:val="000000"/>
            <w:position w:val="0"/>
            <w:sz w:val="20"/>
            <w:szCs w:val="20"/>
          </w:rPr>
          <m:t>/p'</m:t>
        </m:r>
        <m:r>
          <w:rPr>
            <w:rFonts w:ascii="Cambria Math" w:eastAsia="Times New Roman" w:hAnsi="Cambria Math" w:cs="Cambria Math"/>
            <w:color w:val="000000"/>
            <w:position w:val="0"/>
            <w:sz w:val="20"/>
            <w:szCs w:val="20"/>
          </w:rPr>
          <m:t>₀</m:t>
        </m:r>
      </m:oMath>
      <w:r w:rsidR="00FF5810">
        <w:rPr>
          <w:rFonts w:ascii="Arial" w:eastAsia="Times New Roman" w:hAnsi="Arial" w:cs="Arial"/>
          <w:bCs/>
          <w:color w:val="000000"/>
          <w:position w:val="0"/>
          <w:sz w:val="20"/>
          <w:szCs w:val="20"/>
        </w:rPr>
        <w:t>​</w:t>
      </w:r>
      <w:r w:rsidR="00FF5810" w:rsidRPr="007C1B60">
        <w:rPr>
          <w:rFonts w:ascii="Arial" w:eastAsia="Times New Roman" w:hAnsi="Arial" w:cs="Arial"/>
          <w:bCs/>
          <w:position w:val="0"/>
          <w:sz w:val="20"/>
          <w:szCs w:val="20"/>
        </w:rPr>
        <w:t xml:space="preserve"> </w:t>
      </w:r>
      <w:r w:rsidR="00FF5810">
        <w:rPr>
          <w:rFonts w:ascii="Arial" w:eastAsia="Times New Roman" w:hAnsi="Arial" w:cs="Arial"/>
          <w:bCs/>
          <w:color w:val="000000"/>
          <w:position w:val="0"/>
          <w:sz w:val="20"/>
          <w:szCs w:val="20"/>
        </w:rPr>
        <w:t>=</w:t>
      </w:r>
      <w:r w:rsidRPr="00B826CE">
        <w:rPr>
          <w:rFonts w:ascii="Arial" w:eastAsia="Times New Roman" w:hAnsi="Arial" w:cs="Arial"/>
          <w:bCs/>
          <w:color w:val="000000"/>
          <w:position w:val="0"/>
          <w:sz w:val="20"/>
          <w:szCs w:val="20"/>
        </w:rPr>
        <w:t xml:space="preserve"> 0.79</w:t>
      </w:r>
      <w:r w:rsidR="00FF5810">
        <w:rPr>
          <w:rFonts w:ascii="Arial" w:eastAsia="Times New Roman" w:hAnsi="Arial" w:cs="Arial"/>
          <w:bCs/>
          <w:color w:val="000000"/>
          <w:position w:val="0"/>
          <w:sz w:val="20"/>
          <w:szCs w:val="20"/>
        </w:rPr>
        <w:t>-</w:t>
      </w:r>
      <w:r w:rsidRPr="00B826CE">
        <w:rPr>
          <w:rFonts w:ascii="Arial" w:eastAsia="Times New Roman" w:hAnsi="Arial" w:cs="Arial"/>
          <w:bCs/>
          <w:color w:val="000000"/>
          <w:position w:val="0"/>
          <w:sz w:val="20"/>
          <w:szCs w:val="20"/>
        </w:rPr>
        <w:t>0.94), confirming their high susceptibility to flow-type deformation once liquefaction is triggered. Although specimens with 26.4% fines mobilized slightly higher residual strength values, the differences between the two fines levels are small, indicating that fines have only a limited influence on steady-state shear resistance under very loose initial densities. These trends suggest that fines mainly affect early-stage contractive behavior and pore-pressure generation, while the final post-liquefaction resistance is governed predominantly by the loose sand fabric and the effective stress leve</w:t>
      </w:r>
      <w:r>
        <w:rPr>
          <w:rFonts w:ascii="Arial" w:eastAsia="Times New Roman" w:hAnsi="Arial" w:cs="Arial"/>
          <w:bCs/>
          <w:color w:val="000000"/>
          <w:position w:val="0"/>
          <w:sz w:val="20"/>
          <w:szCs w:val="20"/>
        </w:rPr>
        <w:t>l at the onset of steady state.</w:t>
      </w:r>
    </w:p>
    <w:p w14:paraId="2870D5EC" w14:textId="77777777" w:rsidR="00715C50" w:rsidRDefault="00B826CE" w:rsidP="00715C50">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Cs/>
          <w:color w:val="000000"/>
          <w:position w:val="0"/>
          <w:sz w:val="20"/>
          <w:szCs w:val="20"/>
        </w:rPr>
      </w:pPr>
      <w:r w:rsidRPr="00B826CE">
        <w:rPr>
          <w:rFonts w:ascii="Arial" w:eastAsia="Times New Roman" w:hAnsi="Arial" w:cs="Arial"/>
          <w:bCs/>
          <w:color w:val="000000"/>
          <w:position w:val="0"/>
          <w:sz w:val="20"/>
          <w:szCs w:val="20"/>
        </w:rPr>
        <w:t xml:space="preserve">The relevance of these findings becomes clearer when viewed in the context of previous investigations of the 2018 Palu flowslides. Earlier field assessments </w:t>
      </w:r>
      <w:r w:rsidR="00FF5810">
        <w:rPr>
          <w:rFonts w:ascii="Arial" w:eastAsia="Times New Roman" w:hAnsi="Arial" w:cs="Arial"/>
          <w:bCs/>
          <w:color w:val="000000"/>
          <w:position w:val="0"/>
          <w:sz w:val="20"/>
          <w:szCs w:val="20"/>
        </w:rPr>
        <w:fldChar w:fldCharType="begin" w:fldLock="1"/>
      </w:r>
      <w:r w:rsidR="005052C4">
        <w:rPr>
          <w:rFonts w:ascii="Arial" w:eastAsia="Times New Roman" w:hAnsi="Arial" w:cs="Arial"/>
          <w:bCs/>
          <w:color w:val="000000"/>
          <w:position w:val="0"/>
          <w:sz w:val="20"/>
          <w:szCs w:val="20"/>
        </w:rPr>
        <w:instrText>ADDIN CSL_CITATION {"citationItems":[{"id":"ITEM-1","itemData":{"DOI":"10.1016/j.geomorph.2020.107482","ISSN":"0169-555X","author":[{"dropping-particle":"","family":"Mason","given":"H Benjamin","non-dropping-particle":"","parse-names":false,"suffix":""},{"dropping-particle":"","family":"Montgomery","given":"Jack","non-dropping-particle":"","parse-names":false,"suffix":""},{"dropping-particle":"","family":"Gallant","given":"Aaron P","non-dropping-particle":"","parse-names":false,"suffix":""},{"dropping-particle":"","family":"Reed","given":"A Nicole","non-dropping-particle":"","parse-names":false,"suffix":""},{"dropping-particle":"","family":"Wartman","given":"Joseph","non-dropping-particle":"","parse-names":false,"suffix":""},{"dropping-particle":"","family":"Irsyam","given":"Masyhur","non-dropping-particle":"","parse-names":false,"suffix":""},{"dropping-particle":"","family":"Simatupang","given":"Pintor T","non-dropping-particle":"","parse-names":false,"suffix":""},{"dropping-particle":"","family":"Alatas","given":"Idrus M","non-dropping-particle":"","parse-names":false,"suffix":""},{"dropping-particle":"","family":"Prakoso","given":"Widjojo A","non-dropping-particle":"","parse-names":false,"suffix":""}],"container-title":"Geomorphology","id":"ITEM-1","issued":{"date-parts":[["2020"]]},"publisher":"Elsevier B.V","title":"East Palu Valley Flowslides Induced by the 2018 MW 7.5 Palu-Donggala Earthquake.","type":"article-journal","volume":"East Palu"},"uris":["http://www.mendeley.com/documents/?uuid=a9a01e57-9001-43cb-a271-6b648ad66ac6"]}],"mendeley":{"formattedCitation":"[27]","plainTextFormattedCitation":"[27]","previouslyFormattedCitation":"[28]"},"properties":{"noteIndex":0},"schema":"https://github.com/citation-style-language/schema/raw/master/csl-citation.json"}</w:instrText>
      </w:r>
      <w:r w:rsidR="00FF5810">
        <w:rPr>
          <w:rFonts w:ascii="Arial" w:eastAsia="Times New Roman" w:hAnsi="Arial" w:cs="Arial"/>
          <w:bCs/>
          <w:color w:val="000000"/>
          <w:position w:val="0"/>
          <w:sz w:val="20"/>
          <w:szCs w:val="20"/>
        </w:rPr>
        <w:fldChar w:fldCharType="separate"/>
      </w:r>
      <w:r w:rsidR="005052C4" w:rsidRPr="005052C4">
        <w:rPr>
          <w:rFonts w:ascii="Arial" w:eastAsia="Times New Roman" w:hAnsi="Arial" w:cs="Arial"/>
          <w:bCs/>
          <w:noProof/>
          <w:color w:val="000000"/>
          <w:position w:val="0"/>
          <w:sz w:val="20"/>
          <w:szCs w:val="20"/>
        </w:rPr>
        <w:t>[27]</w:t>
      </w:r>
      <w:r w:rsidR="00FF5810">
        <w:rPr>
          <w:rFonts w:ascii="Arial" w:eastAsia="Times New Roman" w:hAnsi="Arial" w:cs="Arial"/>
          <w:bCs/>
          <w:color w:val="000000"/>
          <w:position w:val="0"/>
          <w:sz w:val="20"/>
          <w:szCs w:val="20"/>
        </w:rPr>
        <w:fldChar w:fldCharType="end"/>
      </w:r>
      <w:r w:rsidR="00FF5810">
        <w:rPr>
          <w:rFonts w:ascii="Arial" w:eastAsia="Times New Roman" w:hAnsi="Arial" w:cs="Arial"/>
          <w:bCs/>
          <w:color w:val="000000"/>
          <w:position w:val="0"/>
          <w:sz w:val="20"/>
          <w:szCs w:val="20"/>
        </w:rPr>
        <w:t xml:space="preserve"> </w:t>
      </w:r>
      <w:r w:rsidRPr="00B826CE">
        <w:rPr>
          <w:rFonts w:ascii="Arial" w:eastAsia="Times New Roman" w:hAnsi="Arial" w:cs="Arial"/>
          <w:bCs/>
          <w:color w:val="000000"/>
          <w:position w:val="0"/>
          <w:sz w:val="20"/>
          <w:szCs w:val="20"/>
        </w:rPr>
        <w:t xml:space="preserve">reported that the large runout observed in Petobo was driven by a </w:t>
      </w:r>
      <w:r w:rsidRPr="00B826CE">
        <w:rPr>
          <w:rFonts w:ascii="Arial" w:eastAsia="Times New Roman" w:hAnsi="Arial" w:cs="Arial"/>
          <w:bCs/>
          <w:color w:val="000000"/>
          <w:position w:val="0"/>
          <w:sz w:val="20"/>
          <w:szCs w:val="20"/>
        </w:rPr>
        <w:lastRenderedPageBreak/>
        <w:t xml:space="preserve">substantial loss of shear strength after liquefaction, yet no laboratory-based residual strength values for the local soils were available. Post-earthquake reconnaissance surveys </w:t>
      </w:r>
      <w:r w:rsidR="00FF5810">
        <w:rPr>
          <w:rFonts w:ascii="Arial" w:eastAsia="Times New Roman" w:hAnsi="Arial" w:cs="Arial"/>
          <w:bCs/>
          <w:color w:val="000000"/>
          <w:position w:val="0"/>
          <w:sz w:val="20"/>
          <w:szCs w:val="20"/>
        </w:rPr>
        <w:fldChar w:fldCharType="begin" w:fldLock="1"/>
      </w:r>
      <w:r w:rsidR="005052C4">
        <w:rPr>
          <w:rFonts w:ascii="Arial" w:eastAsia="Times New Roman" w:hAnsi="Arial" w:cs="Arial"/>
          <w:bCs/>
          <w:color w:val="000000"/>
          <w:position w:val="0"/>
          <w:sz w:val="20"/>
          <w:szCs w:val="20"/>
        </w:rPr>
        <w:instrText>ADDIN CSL_CITATION {"citationItems":[{"id":"ITEM-1","itemData":{"DOI":"10.1016/j.dib.2021.106742","ISSN":"2352-3409","author":[{"dropping-particle":"","family":"Montgomery","given":"Jack","non-dropping-particle":"","parse-names":false,"suffix":""},{"dropping-particle":"","family":"Wartman","given":"Joseph","non-dropping-particle":"","parse-names":false,"suffix":""},{"dropping-particle":"","family":"Reed","given":"A Nicole","non-dropping-particle":"","parse-names":false,"suffix":""},{"dropping-particle":"","family":"Gallant","given":"Aaron P","non-dropping-particle":"","parse-names":false,"suffix":""},{"dropping-particle":"","family":"Hutabarat","given":"Daniel","non-dropping-particle":"","parse-names":false,"suffix":""},{"dropping-particle":"","family":"Mason","given":"H Benjamin","non-dropping-particle":"","parse-names":false,"suffix":""}],"container-title":"Data in Brief","id":"ITEM-1","issued":{"date-parts":[["2021"]]},"page":"106742","publisher":"Elsevier Inc.","title":"Field reconnaissance data from GEER investigation of the 2018 M W 7 . 5 Palu-Donggala earthquake","type":"article-journal","volume":"34"},"uris":["http://www.mendeley.com/documents/?uuid=532a7cbd-f460-4c76-8e9c-884e12f1b8a2"]}],"mendeley":{"formattedCitation":"[28]","plainTextFormattedCitation":"[28]","previouslyFormattedCitation":"[29]"},"properties":{"noteIndex":0},"schema":"https://github.com/citation-style-language/schema/raw/master/csl-citation.json"}</w:instrText>
      </w:r>
      <w:r w:rsidR="00FF5810">
        <w:rPr>
          <w:rFonts w:ascii="Arial" w:eastAsia="Times New Roman" w:hAnsi="Arial" w:cs="Arial"/>
          <w:bCs/>
          <w:color w:val="000000"/>
          <w:position w:val="0"/>
          <w:sz w:val="20"/>
          <w:szCs w:val="20"/>
        </w:rPr>
        <w:fldChar w:fldCharType="separate"/>
      </w:r>
      <w:r w:rsidR="005052C4" w:rsidRPr="005052C4">
        <w:rPr>
          <w:rFonts w:ascii="Arial" w:eastAsia="Times New Roman" w:hAnsi="Arial" w:cs="Arial"/>
          <w:bCs/>
          <w:noProof/>
          <w:color w:val="000000"/>
          <w:position w:val="0"/>
          <w:sz w:val="20"/>
          <w:szCs w:val="20"/>
        </w:rPr>
        <w:t>[28]</w:t>
      </w:r>
      <w:r w:rsidR="00FF5810">
        <w:rPr>
          <w:rFonts w:ascii="Arial" w:eastAsia="Times New Roman" w:hAnsi="Arial" w:cs="Arial"/>
          <w:bCs/>
          <w:color w:val="000000"/>
          <w:position w:val="0"/>
          <w:sz w:val="20"/>
          <w:szCs w:val="20"/>
        </w:rPr>
        <w:fldChar w:fldCharType="end"/>
      </w:r>
      <w:r w:rsidR="00FF5810">
        <w:rPr>
          <w:rFonts w:ascii="Arial" w:eastAsia="Times New Roman" w:hAnsi="Arial" w:cs="Arial"/>
          <w:bCs/>
          <w:color w:val="000000"/>
          <w:position w:val="0"/>
          <w:sz w:val="20"/>
          <w:szCs w:val="20"/>
        </w:rPr>
        <w:t xml:space="preserve"> </w:t>
      </w:r>
      <w:r w:rsidRPr="00B826CE">
        <w:rPr>
          <w:rFonts w:ascii="Arial" w:eastAsia="Times New Roman" w:hAnsi="Arial" w:cs="Arial"/>
          <w:bCs/>
          <w:color w:val="000000"/>
          <w:position w:val="0"/>
          <w:sz w:val="20"/>
          <w:szCs w:val="20"/>
        </w:rPr>
        <w:t>also documented extensive flow deformation but highlighted the absence of experimental strength measurements needed to support quantitative back-analyses. The residual strength ratios obtained in this study provide the first experimental reference for Petobo silty sand, helping explain why the deposits were capable of undergoing long-runout flow deformation during the earthquake and offering essential parameters for future modeling and hazard assessment of liquefaction-induced flow failures in Palu and similar environments.</w:t>
      </w:r>
    </w:p>
    <w:p w14:paraId="0BCB9415" w14:textId="77777777" w:rsidR="00715C50" w:rsidRDefault="00715C50" w:rsidP="00715C50">
      <w:pPr>
        <w:suppressAutoHyphens w:val="0"/>
        <w:spacing w:before="60" w:after="60" w:line="240" w:lineRule="auto"/>
        <w:ind w:leftChars="0" w:left="0" w:firstLineChars="0" w:firstLine="0"/>
        <w:jc w:val="both"/>
        <w:textDirection w:val="lrTb"/>
        <w:textAlignment w:val="auto"/>
        <w:outlineLvl w:val="9"/>
        <w:rPr>
          <w:rFonts w:ascii="Arial" w:eastAsia="Times New Roman" w:hAnsi="Arial" w:cs="Arial"/>
          <w:bCs/>
          <w:color w:val="000000"/>
          <w:position w:val="0"/>
          <w:sz w:val="20"/>
          <w:szCs w:val="20"/>
        </w:rPr>
      </w:pPr>
      <w:r w:rsidRPr="00715C50">
        <w:rPr>
          <w:rFonts w:ascii="Arial" w:eastAsia="Times New Roman" w:hAnsi="Arial" w:cs="Arial"/>
          <w:bCs/>
          <w:color w:val="000000"/>
          <w:position w:val="0"/>
          <w:sz w:val="20"/>
          <w:szCs w:val="20"/>
        </w:rPr>
        <w:t>These findings reinforce that Petobo-type deposits, when liquefied, are mechanically capable of sustaining long-distance mobility, highlighting the need to incorporate residual strength variability into future land-use planning and reconstruction policies in Palu</w:t>
      </w:r>
    </w:p>
    <w:p w14:paraId="1BFC98D6" w14:textId="77777777" w:rsidR="004D1282" w:rsidRPr="004D1282" w:rsidRDefault="004D1282" w:rsidP="00B826CE">
      <w:pPr>
        <w:suppressAutoHyphens w:val="0"/>
        <w:spacing w:before="120" w:after="120" w:line="240" w:lineRule="auto"/>
        <w:ind w:leftChars="0" w:left="0" w:firstLineChars="0" w:firstLine="0"/>
        <w:jc w:val="both"/>
        <w:textDirection w:val="lrTb"/>
        <w:textAlignment w:val="auto"/>
        <w:outlineLvl w:val="9"/>
        <w:rPr>
          <w:rFonts w:ascii="Arial" w:eastAsia="Times New Roman" w:hAnsi="Arial" w:cs="Arial"/>
          <w:b/>
          <w:bCs/>
          <w:position w:val="0"/>
          <w:sz w:val="20"/>
          <w:szCs w:val="20"/>
        </w:rPr>
      </w:pPr>
      <w:r w:rsidRPr="004D1282">
        <w:rPr>
          <w:rFonts w:ascii="Arial" w:eastAsia="Times New Roman" w:hAnsi="Arial" w:cs="Arial"/>
          <w:b/>
          <w:bCs/>
          <w:position w:val="0"/>
          <w:sz w:val="20"/>
          <w:szCs w:val="20"/>
        </w:rPr>
        <w:t>Research Limitations</w:t>
      </w:r>
    </w:p>
    <w:p w14:paraId="44800DDA" w14:textId="77777777" w:rsidR="00ED5341" w:rsidRPr="00ED5341" w:rsidRDefault="00ED5341" w:rsidP="00ED5341">
      <w:pPr>
        <w:spacing w:before="120" w:after="120" w:line="240" w:lineRule="auto"/>
        <w:ind w:leftChars="0" w:left="2" w:hanging="2"/>
        <w:jc w:val="both"/>
        <w:rPr>
          <w:rFonts w:ascii="Arial" w:eastAsia="Times New Roman" w:hAnsi="Arial" w:cs="Arial"/>
          <w:bCs/>
          <w:position w:val="0"/>
          <w:sz w:val="20"/>
          <w:szCs w:val="20"/>
        </w:rPr>
      </w:pPr>
      <w:r w:rsidRPr="00ED5341">
        <w:rPr>
          <w:rFonts w:ascii="Arial" w:eastAsia="Times New Roman" w:hAnsi="Arial" w:cs="Arial"/>
          <w:bCs/>
          <w:position w:val="0"/>
          <w:sz w:val="20"/>
          <w:szCs w:val="20"/>
        </w:rPr>
        <w:t>This study was conducted using six reconstituted specimens tested under monotonic consolidated undrained (CU) triaxial loading. Although effective for identifying post-liquefaction residual behavior within the CSSM framework, monotonic loading does not capture the cyclic stress accumulation mechanisms that trigger liquefaction during real earthquakes. The use of remolded samples prepared by moist tamping also limits the representation of natural depositional fabric and stratigraphic variability in the in-situ Petobo profile.</w:t>
      </w:r>
    </w:p>
    <w:p w14:paraId="7FA0424D" w14:textId="77777777" w:rsidR="00ED5341" w:rsidRPr="00ED5341" w:rsidRDefault="00ED5341" w:rsidP="00ED5341">
      <w:pPr>
        <w:spacing w:before="120" w:after="120" w:line="240" w:lineRule="auto"/>
        <w:ind w:leftChars="0" w:left="2" w:hanging="2"/>
        <w:jc w:val="both"/>
        <w:rPr>
          <w:rFonts w:ascii="Arial" w:eastAsia="Times New Roman" w:hAnsi="Arial" w:cs="Arial"/>
          <w:bCs/>
          <w:position w:val="0"/>
          <w:sz w:val="20"/>
          <w:szCs w:val="20"/>
        </w:rPr>
      </w:pPr>
      <w:r w:rsidRPr="00ED5341">
        <w:rPr>
          <w:rFonts w:ascii="Arial" w:eastAsia="Times New Roman" w:hAnsi="Arial" w:cs="Arial"/>
          <w:bCs/>
          <w:position w:val="0"/>
          <w:sz w:val="20"/>
          <w:szCs w:val="20"/>
        </w:rPr>
        <w:t>The tests were performed on very loose silty sands, and achieving stable full saturation required extended preparation, which may introduce minor uncertainties in saturation uniformity. Given these limitations, the results should be interpreted as controlled laboratory observations intended to characterize fundamental trends in stress–strain response, pore-pressure generation, and residual strength under undrained monotonic loading.</w:t>
      </w:r>
    </w:p>
    <w:p w14:paraId="421C8992" w14:textId="77777777" w:rsidR="00AF1954" w:rsidRDefault="00ED5341" w:rsidP="00ED5341">
      <w:pPr>
        <w:spacing w:before="120" w:after="120" w:line="240" w:lineRule="auto"/>
        <w:ind w:leftChars="0" w:left="0" w:firstLineChars="0" w:firstLine="0"/>
        <w:jc w:val="both"/>
        <w:rPr>
          <w:rFonts w:ascii="Arial" w:eastAsia="Times New Roman" w:hAnsi="Arial" w:cs="Arial"/>
          <w:bCs/>
          <w:position w:val="0"/>
          <w:sz w:val="20"/>
          <w:szCs w:val="20"/>
        </w:rPr>
      </w:pPr>
      <w:r w:rsidRPr="00ED5341">
        <w:rPr>
          <w:rFonts w:ascii="Arial" w:eastAsia="Times New Roman" w:hAnsi="Arial" w:cs="Arial"/>
          <w:bCs/>
          <w:position w:val="0"/>
          <w:sz w:val="20"/>
          <w:szCs w:val="20"/>
        </w:rPr>
        <w:t>Future research should incorporate cyclic triaxial or simple-shear tests, alternative reconstitution procedures, and larger specimen sets to improve generalization. Numerical back-analyses of the 2018 Petobo flowslide using the residual strengths obtained here are also recommended to strengthen the connection between laboratory behavior and field-scale deformation.</w:t>
      </w:r>
    </w:p>
    <w:p w14:paraId="5BD67AC8" w14:textId="77777777" w:rsidR="00E85484" w:rsidRDefault="005929B1" w:rsidP="004B03F3">
      <w:pPr>
        <w:spacing w:before="60" w:after="60" w:line="240" w:lineRule="auto"/>
        <w:ind w:leftChars="0" w:left="2" w:hanging="2"/>
        <w:rPr>
          <w:rFonts w:ascii="Arial" w:eastAsia="Arial" w:hAnsi="Arial" w:cs="Arial"/>
          <w:color w:val="1F4E79"/>
          <w:sz w:val="20"/>
          <w:szCs w:val="20"/>
        </w:rPr>
      </w:pPr>
      <w:r>
        <w:rPr>
          <w:rFonts w:ascii="Arial" w:eastAsia="Arial" w:hAnsi="Arial" w:cs="Arial"/>
          <w:b/>
          <w:color w:val="1F4E79"/>
          <w:sz w:val="20"/>
          <w:szCs w:val="20"/>
        </w:rPr>
        <w:t>CONCLUSION</w:t>
      </w:r>
    </w:p>
    <w:p w14:paraId="4E313534" w14:textId="77777777" w:rsidR="00B008E3" w:rsidRDefault="00B008E3" w:rsidP="00B008E3">
      <w:pPr>
        <w:pStyle w:val="NormalWeb"/>
        <w:spacing w:before="60" w:beforeAutospacing="0" w:after="60" w:afterAutospacing="0"/>
        <w:ind w:leftChars="0" w:left="2" w:hanging="2"/>
        <w:jc w:val="both"/>
        <w:rPr>
          <w:rFonts w:ascii="Arial" w:hAnsi="Arial" w:cs="Arial"/>
          <w:sz w:val="20"/>
          <w:szCs w:val="20"/>
        </w:rPr>
      </w:pPr>
      <w:r w:rsidRPr="00B008E3">
        <w:rPr>
          <w:rFonts w:ascii="Arial" w:hAnsi="Arial" w:cs="Arial"/>
          <w:sz w:val="20"/>
          <w:szCs w:val="20"/>
        </w:rPr>
        <w:t>This study demonstrates that loose Petobo sand is highly susceptible to liquefaction, as indicated by rapid excess pore-water pressure buildup and effective stress paths converging toward the critical state. Although fines content affects early-stage contractive behavior and pore-pressure generation, its influence on the final post-liquefaction resistance is minimal. The normalized residual strength ratios for both fines levels fall within a narrow range (</w:t>
      </w:r>
      <m:oMath>
        <m:sSub>
          <m:sSubPr>
            <m:ctrlPr>
              <w:rPr>
                <w:rFonts w:ascii="Cambria Math" w:hAnsi="Cambria Math" w:cs="Arial"/>
                <w:i/>
                <w:color w:val="000000"/>
                <w:position w:val="0"/>
                <w:sz w:val="20"/>
                <w:szCs w:val="20"/>
              </w:rPr>
            </m:ctrlPr>
          </m:sSubPr>
          <m:e>
            <m:r>
              <w:rPr>
                <w:rFonts w:ascii="Cambria Math" w:hAnsi="Cambria Math" w:cs="Arial"/>
                <w:color w:val="000000"/>
                <w:position w:val="0"/>
                <w:sz w:val="20"/>
                <w:szCs w:val="20"/>
              </w:rPr>
              <m:t>q</m:t>
            </m:r>
          </m:e>
          <m:sub>
            <m:r>
              <w:rPr>
                <w:rFonts w:ascii="Cambria Math" w:hAnsi="Cambria Math" w:cs="Arial"/>
                <w:color w:val="000000"/>
                <w:position w:val="0"/>
                <w:sz w:val="20"/>
                <w:szCs w:val="20"/>
              </w:rPr>
              <m:t>res</m:t>
            </m:r>
          </m:sub>
        </m:sSub>
        <m:r>
          <w:rPr>
            <w:rFonts w:ascii="Cambria Math" w:hAnsi="Cambria Math" w:cs="Arial"/>
            <w:color w:val="000000"/>
            <w:position w:val="0"/>
            <w:sz w:val="20"/>
            <w:szCs w:val="20"/>
          </w:rPr>
          <m:t>/p'</m:t>
        </m:r>
        <m:r>
          <w:rPr>
            <w:rFonts w:ascii="Cambria Math" w:hAnsi="Cambria Math" w:cs="Cambria Math"/>
            <w:color w:val="000000"/>
            <w:position w:val="0"/>
            <w:sz w:val="20"/>
            <w:szCs w:val="20"/>
          </w:rPr>
          <m:t>₀</m:t>
        </m:r>
      </m:oMath>
      <w:r>
        <w:rPr>
          <w:rFonts w:ascii="Arial" w:hAnsi="Arial" w:cs="Arial"/>
          <w:bCs/>
          <w:color w:val="000000"/>
          <w:position w:val="0"/>
          <w:sz w:val="20"/>
          <w:szCs w:val="20"/>
        </w:rPr>
        <w:t>​</w:t>
      </w:r>
      <w:r w:rsidRPr="007C1B60">
        <w:rPr>
          <w:rFonts w:ascii="Arial" w:hAnsi="Arial" w:cs="Arial"/>
          <w:bCs/>
          <w:position w:val="0"/>
          <w:sz w:val="20"/>
          <w:szCs w:val="20"/>
        </w:rPr>
        <w:t xml:space="preserve"> </w:t>
      </w:r>
      <w:r w:rsidRPr="00B008E3">
        <w:rPr>
          <w:rFonts w:ascii="Arial" w:hAnsi="Arial" w:cs="Arial"/>
          <w:sz w:val="20"/>
          <w:szCs w:val="20"/>
        </w:rPr>
        <w:t xml:space="preserve"> = 0.79</w:t>
      </w:r>
      <w:r>
        <w:rPr>
          <w:rFonts w:ascii="Arial" w:hAnsi="Arial" w:cs="Arial"/>
          <w:sz w:val="20"/>
          <w:szCs w:val="20"/>
        </w:rPr>
        <w:t>-</w:t>
      </w:r>
      <w:r w:rsidRPr="00B008E3">
        <w:rPr>
          <w:rFonts w:ascii="Arial" w:hAnsi="Arial" w:cs="Arial"/>
          <w:sz w:val="20"/>
          <w:szCs w:val="20"/>
        </w:rPr>
        <w:t>0.94), indicating that the ultimate shear resistance is governed primarily by the very loose sand fabric and the effective stress level at steady state rather than by fines content.</w:t>
      </w:r>
    </w:p>
    <w:p w14:paraId="50D2F0F8" w14:textId="77777777" w:rsidR="00B008E3" w:rsidRPr="00B008E3" w:rsidRDefault="00B008E3" w:rsidP="00B008E3">
      <w:pPr>
        <w:pStyle w:val="NormalWeb"/>
        <w:spacing w:before="60" w:beforeAutospacing="0" w:after="60" w:afterAutospacing="0"/>
        <w:ind w:leftChars="0" w:left="2" w:hanging="2"/>
        <w:jc w:val="both"/>
        <w:rPr>
          <w:rFonts w:ascii="Arial" w:hAnsi="Arial" w:cs="Arial"/>
          <w:sz w:val="20"/>
          <w:szCs w:val="20"/>
        </w:rPr>
      </w:pPr>
      <w:r w:rsidRPr="00B008E3">
        <w:rPr>
          <w:rFonts w:ascii="Arial" w:hAnsi="Arial" w:cs="Arial"/>
          <w:sz w:val="20"/>
          <w:szCs w:val="20"/>
        </w:rPr>
        <w:t>These findings help reconcile differences reported in previous studies that identified fines-dependent variations in steady-state resistance. The results demonstrate that under very loose initial densities, the influence of fines on residual strength diminishes significantly, and the post-liquefaction response becomes dominated by fabric collapse and rapid loss of effective stress. This clarification enhances understanding of the flow-failure mechanisms observed during the 2018 Petobo event and provides a more clearly defined empirical basis within the CSSM framework.</w:t>
      </w:r>
    </w:p>
    <w:p w14:paraId="47733535" w14:textId="77777777" w:rsidR="004D1282" w:rsidRDefault="00B008E3" w:rsidP="00B008E3">
      <w:pPr>
        <w:pStyle w:val="NormalWeb"/>
        <w:spacing w:before="60" w:beforeAutospacing="0" w:after="60" w:afterAutospacing="0"/>
        <w:ind w:leftChars="0" w:left="2" w:hanging="2"/>
        <w:jc w:val="both"/>
        <w:rPr>
          <w:rFonts w:ascii="Arial" w:hAnsi="Arial" w:cs="Arial"/>
          <w:sz w:val="20"/>
          <w:szCs w:val="20"/>
        </w:rPr>
      </w:pPr>
      <w:r w:rsidRPr="00B008E3">
        <w:rPr>
          <w:rFonts w:ascii="Arial" w:hAnsi="Arial" w:cs="Arial"/>
          <w:sz w:val="20"/>
          <w:szCs w:val="20"/>
        </w:rPr>
        <w:t>As a preliminary investigation, this work is limited by the small number of specimens, the use of reconstituted samples, and the absence of cyclic loading. Future studies should incorporate cyclic and stress-controlled triaxial tests, evaluation of equivalent granular state parameters, and coupled numerical modeling to develop a more comprehensive representation of liquefaction triggering and post-liquefaction stability in silty sand deposits of Central Sulawesi.</w:t>
      </w:r>
    </w:p>
    <w:p w14:paraId="29CD074D" w14:textId="77777777" w:rsidR="00715C50" w:rsidRPr="00CC523E" w:rsidRDefault="00715C50" w:rsidP="00B008E3">
      <w:pPr>
        <w:pStyle w:val="NormalWeb"/>
        <w:spacing w:before="60" w:beforeAutospacing="0" w:after="60" w:afterAutospacing="0"/>
        <w:ind w:leftChars="0" w:left="2" w:hanging="2"/>
        <w:jc w:val="both"/>
        <w:rPr>
          <w:rFonts w:ascii="Arial" w:hAnsi="Arial" w:cs="Arial"/>
          <w:sz w:val="20"/>
          <w:szCs w:val="20"/>
        </w:rPr>
      </w:pPr>
      <w:r w:rsidRPr="00715C50">
        <w:rPr>
          <w:rFonts w:ascii="Arial" w:hAnsi="Arial" w:cs="Arial"/>
          <w:sz w:val="20"/>
          <w:szCs w:val="20"/>
        </w:rPr>
        <w:t>This study fills a critical data gap for Palu and provides benchmark residual strength values that can be directly used in numerical back-analysis and disaster mitigation planning</w:t>
      </w:r>
    </w:p>
    <w:p w14:paraId="399DCEAB" w14:textId="77777777" w:rsidR="009F4582" w:rsidRDefault="009F4582" w:rsidP="00B008E3">
      <w:pPr>
        <w:spacing w:before="60" w:after="60" w:line="240" w:lineRule="auto"/>
        <w:ind w:left="0" w:hanging="2"/>
        <w:jc w:val="both"/>
        <w:rPr>
          <w:rFonts w:ascii="Arial" w:eastAsia="Arial" w:hAnsi="Arial" w:cs="Arial"/>
          <w:b/>
          <w:color w:val="1F4E79"/>
          <w:sz w:val="20"/>
          <w:szCs w:val="20"/>
        </w:rPr>
      </w:pPr>
    </w:p>
    <w:p w14:paraId="760E4AB6" w14:textId="77777777" w:rsidR="00E85484" w:rsidRDefault="005929B1" w:rsidP="00CE487E">
      <w:pPr>
        <w:spacing w:before="120" w:after="12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ACKNOWLEDGMENT</w:t>
      </w:r>
    </w:p>
    <w:p w14:paraId="1D552B18" w14:textId="77777777" w:rsidR="004D1282" w:rsidRDefault="004D1282" w:rsidP="00CE487E">
      <w:pPr>
        <w:suppressAutoHyphens w:val="0"/>
        <w:spacing w:before="120" w:after="120" w:line="240" w:lineRule="auto"/>
        <w:ind w:leftChars="0" w:firstLineChars="0" w:firstLine="0"/>
        <w:jc w:val="both"/>
        <w:textDirection w:val="lrTb"/>
        <w:textAlignment w:val="auto"/>
        <w:outlineLvl w:val="9"/>
        <w:rPr>
          <w:rFonts w:ascii="Arial" w:eastAsia="Times New Roman" w:hAnsi="Arial" w:cs="Arial"/>
          <w:position w:val="0"/>
          <w:sz w:val="20"/>
          <w:szCs w:val="20"/>
        </w:rPr>
      </w:pPr>
      <w:r w:rsidRPr="004D1282">
        <w:rPr>
          <w:rFonts w:ascii="Arial" w:eastAsia="Times New Roman" w:hAnsi="Arial" w:cs="Arial"/>
          <w:position w:val="0"/>
          <w:sz w:val="20"/>
          <w:szCs w:val="20"/>
        </w:rPr>
        <w:t>The authors would like to thank their colleagues at the Soil Mechanics Laboratory of Parahyangan Catholic University and Universitas Mercu Buana for their technical support and valuable input during the course of this research and the preparation of this article.</w:t>
      </w:r>
    </w:p>
    <w:p w14:paraId="6762FEAC" w14:textId="77777777" w:rsidR="00E85484" w:rsidRDefault="005929B1" w:rsidP="00357843">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REFERENCES</w:t>
      </w:r>
    </w:p>
    <w:p w14:paraId="5BD10D36" w14:textId="77777777" w:rsidR="005052C4" w:rsidRPr="005052C4" w:rsidRDefault="005052C4" w:rsidP="00B94E4B">
      <w:pPr>
        <w:widowControl w:val="0"/>
        <w:autoSpaceDE w:val="0"/>
        <w:autoSpaceDN w:val="0"/>
        <w:adjustRightInd w:val="0"/>
        <w:spacing w:after="0" w:line="240" w:lineRule="auto"/>
        <w:ind w:left="424" w:hangingChars="212" w:hanging="426"/>
        <w:jc w:val="both"/>
        <w:rPr>
          <w:rFonts w:ascii="Arial" w:hAnsi="Arial" w:cs="Arial"/>
          <w:noProof/>
          <w:sz w:val="20"/>
          <w:szCs w:val="24"/>
        </w:rPr>
      </w:pPr>
      <w:r>
        <w:rPr>
          <w:rFonts w:ascii="Arial" w:eastAsia="Arial" w:hAnsi="Arial" w:cs="Arial"/>
          <w:b/>
          <w:color w:val="1F4E79"/>
          <w:sz w:val="20"/>
          <w:szCs w:val="20"/>
        </w:rPr>
        <w:fldChar w:fldCharType="begin" w:fldLock="1"/>
      </w:r>
      <w:r>
        <w:rPr>
          <w:rFonts w:ascii="Arial" w:eastAsia="Arial" w:hAnsi="Arial" w:cs="Arial"/>
          <w:b/>
          <w:color w:val="1F4E79"/>
          <w:sz w:val="20"/>
          <w:szCs w:val="20"/>
        </w:rPr>
        <w:instrText xml:space="preserve">ADDIN Mendeley Bibliography CSL_BIBLIOGRAPHY </w:instrText>
      </w:r>
      <w:r>
        <w:rPr>
          <w:rFonts w:ascii="Arial" w:eastAsia="Arial" w:hAnsi="Arial" w:cs="Arial"/>
          <w:b/>
          <w:color w:val="1F4E79"/>
          <w:sz w:val="20"/>
          <w:szCs w:val="20"/>
        </w:rPr>
        <w:fldChar w:fldCharType="separate"/>
      </w:r>
      <w:r w:rsidRPr="005052C4">
        <w:rPr>
          <w:rFonts w:ascii="Arial" w:hAnsi="Arial" w:cs="Arial"/>
          <w:noProof/>
          <w:sz w:val="20"/>
          <w:szCs w:val="24"/>
        </w:rPr>
        <w:t>[1]</w:t>
      </w:r>
      <w:r w:rsidRPr="005052C4">
        <w:rPr>
          <w:rFonts w:ascii="Arial" w:hAnsi="Arial" w:cs="Arial"/>
          <w:noProof/>
          <w:sz w:val="20"/>
          <w:szCs w:val="24"/>
        </w:rPr>
        <w:tab/>
        <w:t xml:space="preserve">A. P. Gallant </w:t>
      </w:r>
      <w:r w:rsidRPr="005052C4">
        <w:rPr>
          <w:rFonts w:ascii="Arial" w:hAnsi="Arial" w:cs="Arial"/>
          <w:i/>
          <w:iCs/>
          <w:noProof/>
          <w:sz w:val="20"/>
          <w:szCs w:val="24"/>
        </w:rPr>
        <w:t>et al.</w:t>
      </w:r>
      <w:r w:rsidRPr="005052C4">
        <w:rPr>
          <w:rFonts w:ascii="Arial" w:hAnsi="Arial" w:cs="Arial"/>
          <w:noProof/>
          <w:sz w:val="20"/>
          <w:szCs w:val="24"/>
        </w:rPr>
        <w:t xml:space="preserve">, “The Sibalaya flowslide initiated by the 28 September 2018 MW 7.5 Palu-Donggala, Indonesia earthquake,” </w:t>
      </w:r>
      <w:r w:rsidRPr="005052C4">
        <w:rPr>
          <w:rFonts w:ascii="Arial" w:hAnsi="Arial" w:cs="Arial"/>
          <w:i/>
          <w:iCs/>
          <w:noProof/>
          <w:sz w:val="20"/>
          <w:szCs w:val="24"/>
        </w:rPr>
        <w:t>Landslides</w:t>
      </w:r>
      <w:r w:rsidRPr="005052C4">
        <w:rPr>
          <w:rFonts w:ascii="Arial" w:hAnsi="Arial" w:cs="Arial"/>
          <w:noProof/>
          <w:sz w:val="20"/>
          <w:szCs w:val="24"/>
        </w:rPr>
        <w:t>, vol. 17, no. 8, pp. 1925–1934, 2020.</w:t>
      </w:r>
    </w:p>
    <w:p w14:paraId="7DF4ACB3"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lastRenderedPageBreak/>
        <w:t>[2]</w:t>
      </w:r>
      <w:r w:rsidRPr="005052C4">
        <w:rPr>
          <w:rFonts w:ascii="Arial" w:hAnsi="Arial" w:cs="Arial"/>
          <w:noProof/>
          <w:sz w:val="20"/>
          <w:szCs w:val="24"/>
        </w:rPr>
        <w:tab/>
        <w:t xml:space="preserve">A. Jalil, T. F. Fathani, I. Satyarno, and W. Wilopo, “Liquefaction in Palu: the cause of massive mudflows,” </w:t>
      </w:r>
      <w:r w:rsidRPr="005052C4">
        <w:rPr>
          <w:rFonts w:ascii="Arial" w:hAnsi="Arial" w:cs="Arial"/>
          <w:i/>
          <w:iCs/>
          <w:noProof/>
          <w:sz w:val="20"/>
          <w:szCs w:val="24"/>
        </w:rPr>
        <w:t>Geoenvironmental Disasters</w:t>
      </w:r>
      <w:r w:rsidRPr="005052C4">
        <w:rPr>
          <w:rFonts w:ascii="Arial" w:hAnsi="Arial" w:cs="Arial"/>
          <w:noProof/>
          <w:sz w:val="20"/>
          <w:szCs w:val="24"/>
        </w:rPr>
        <w:t>, vol. 8, no. 1, 2021.</w:t>
      </w:r>
    </w:p>
    <w:p w14:paraId="2E92584C"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[3]</w:t>
      </w:r>
      <w:r w:rsidRPr="005052C4">
        <w:rPr>
          <w:rFonts w:ascii="Arial" w:hAnsi="Arial" w:cs="Arial"/>
          <w:noProof/>
          <w:sz w:val="20"/>
          <w:szCs w:val="24"/>
        </w:rPr>
        <w:tab/>
        <w:t xml:space="preserve">A. Rahayu, I. Uno, N. Hidayat, A. Dwijaka, and M. Yusuf, “Potential of Liquifaction at Nasanapura Hospital Petobo Village Palu City,” </w:t>
      </w:r>
      <w:r w:rsidRPr="005052C4">
        <w:rPr>
          <w:rFonts w:ascii="Arial" w:hAnsi="Arial" w:cs="Arial"/>
          <w:i/>
          <w:iCs/>
          <w:noProof/>
          <w:sz w:val="20"/>
          <w:szCs w:val="24"/>
        </w:rPr>
        <w:t>IOP Conf. Ser. Earth Environ. Sci.</w:t>
      </w:r>
      <w:r w:rsidRPr="005052C4">
        <w:rPr>
          <w:rFonts w:ascii="Arial" w:hAnsi="Arial" w:cs="Arial"/>
          <w:noProof/>
          <w:sz w:val="20"/>
          <w:szCs w:val="24"/>
        </w:rPr>
        <w:t>, vol. 1075, no. 1, 2022.</w:t>
      </w:r>
    </w:p>
    <w:p w14:paraId="3F522C75"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[4]</w:t>
      </w:r>
      <w:r w:rsidRPr="005052C4">
        <w:rPr>
          <w:rFonts w:ascii="Arial" w:hAnsi="Arial" w:cs="Arial"/>
          <w:noProof/>
          <w:sz w:val="20"/>
          <w:szCs w:val="24"/>
        </w:rPr>
        <w:tab/>
        <w:t xml:space="preserve">M. Simatupang, R. S. Edwin, and Sulha, “Liquefaction severity assessment for the Anutapura Medical Center Area of Palu-Indonesia,” </w:t>
      </w:r>
      <w:r w:rsidRPr="005052C4">
        <w:rPr>
          <w:rFonts w:ascii="Arial" w:hAnsi="Arial" w:cs="Arial"/>
          <w:i/>
          <w:iCs/>
          <w:noProof/>
          <w:sz w:val="20"/>
          <w:szCs w:val="24"/>
        </w:rPr>
        <w:t>IOP Conf. Ser. Earth Environ. Sci.</w:t>
      </w:r>
      <w:r w:rsidRPr="005052C4">
        <w:rPr>
          <w:rFonts w:ascii="Arial" w:hAnsi="Arial" w:cs="Arial"/>
          <w:noProof/>
          <w:sz w:val="20"/>
          <w:szCs w:val="24"/>
        </w:rPr>
        <w:t>, vol. 1195, no. 1, 2023.</w:t>
      </w:r>
    </w:p>
    <w:p w14:paraId="4E805DF8"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[5]</w:t>
      </w:r>
      <w:r w:rsidRPr="005052C4">
        <w:rPr>
          <w:rFonts w:ascii="Arial" w:hAnsi="Arial" w:cs="Arial"/>
          <w:noProof/>
          <w:sz w:val="20"/>
          <w:szCs w:val="24"/>
        </w:rPr>
        <w:tab/>
        <w:t xml:space="preserve">L. E. Widodo, S. H. Prassetyo, G. M. Simangunsong, and I. Iskandar, “Role of the confined aquifer in the mechanism of soil liquefaction due to the 7.5 Mw earthquake in Palu (Indonesia) on 28 September 2018,” </w:t>
      </w:r>
      <w:r w:rsidRPr="005052C4">
        <w:rPr>
          <w:rFonts w:ascii="Arial" w:hAnsi="Arial" w:cs="Arial"/>
          <w:i/>
          <w:iCs/>
          <w:noProof/>
          <w:sz w:val="20"/>
          <w:szCs w:val="24"/>
        </w:rPr>
        <w:t>Hydrogeol. J.</w:t>
      </w:r>
      <w:r w:rsidRPr="005052C4">
        <w:rPr>
          <w:rFonts w:ascii="Arial" w:hAnsi="Arial" w:cs="Arial"/>
          <w:noProof/>
          <w:sz w:val="20"/>
          <w:szCs w:val="24"/>
        </w:rPr>
        <w:t>, vol. 30, no. 6, pp. 1877–1898, 2022.</w:t>
      </w:r>
    </w:p>
    <w:p w14:paraId="2DA1C84A"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[6]</w:t>
      </w:r>
      <w:r w:rsidRPr="005052C4">
        <w:rPr>
          <w:rFonts w:ascii="Arial" w:hAnsi="Arial" w:cs="Arial"/>
          <w:noProof/>
          <w:sz w:val="20"/>
          <w:szCs w:val="24"/>
        </w:rPr>
        <w:tab/>
        <w:t xml:space="preserve">T. C. Upomo, M. Chang, R. Kusumawardani, G. A. Prayitno, C.-P. Kuo, and U. Nugroho, “Assessment of Petobo Flowslide Induced by Soil Liquefaction during 2018 Palu–Donggala Indonesian Earthquake,” </w:t>
      </w:r>
      <w:r w:rsidRPr="005052C4">
        <w:rPr>
          <w:rFonts w:ascii="Arial" w:hAnsi="Arial" w:cs="Arial"/>
          <w:i/>
          <w:iCs/>
          <w:noProof/>
          <w:sz w:val="20"/>
          <w:szCs w:val="24"/>
        </w:rPr>
        <w:t>Sustainability</w:t>
      </w:r>
      <w:r w:rsidRPr="005052C4">
        <w:rPr>
          <w:rFonts w:ascii="Arial" w:hAnsi="Arial" w:cs="Arial"/>
          <w:noProof/>
          <w:sz w:val="20"/>
          <w:szCs w:val="24"/>
        </w:rPr>
        <w:t>, vol. 15, no. 6, p. 5371, Mar. 2023.</w:t>
      </w:r>
    </w:p>
    <w:p w14:paraId="328D8684"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[7]</w:t>
      </w:r>
      <w:r w:rsidRPr="005052C4">
        <w:rPr>
          <w:rFonts w:ascii="Arial" w:hAnsi="Arial" w:cs="Arial"/>
          <w:noProof/>
          <w:sz w:val="20"/>
          <w:szCs w:val="24"/>
        </w:rPr>
        <w:tab/>
        <w:t xml:space="preserve">V. Jayakrishnan, K. S. Beena, and C. B. Blayil, “Studying the Impact of Continuous and Multiple Earthquake Ground Motions on Pore Pressure in Saturated Sandy Deposits,” </w:t>
      </w:r>
      <w:r w:rsidRPr="005052C4">
        <w:rPr>
          <w:rFonts w:ascii="Arial" w:hAnsi="Arial" w:cs="Arial"/>
          <w:i/>
          <w:iCs/>
          <w:noProof/>
          <w:sz w:val="20"/>
          <w:szCs w:val="24"/>
        </w:rPr>
        <w:t>Geotech. Geol. Eng.</w:t>
      </w:r>
      <w:r w:rsidRPr="005052C4">
        <w:rPr>
          <w:rFonts w:ascii="Arial" w:hAnsi="Arial" w:cs="Arial"/>
          <w:noProof/>
          <w:sz w:val="20"/>
          <w:szCs w:val="24"/>
        </w:rPr>
        <w:t>, vol. 42, no. 6, pp. 5375–5387, Aug. 2024.</w:t>
      </w:r>
    </w:p>
    <w:p w14:paraId="7A6E424D"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[8]</w:t>
      </w:r>
      <w:r w:rsidRPr="005052C4">
        <w:rPr>
          <w:rFonts w:ascii="Arial" w:hAnsi="Arial" w:cs="Arial"/>
          <w:noProof/>
          <w:sz w:val="20"/>
          <w:szCs w:val="24"/>
        </w:rPr>
        <w:tab/>
        <w:t xml:space="preserve">K. O. Cetin and H. T. Bilge, “Recent advances in seismic soil liquefaction engineering,” </w:t>
      </w:r>
      <w:r w:rsidRPr="005052C4">
        <w:rPr>
          <w:rFonts w:ascii="Arial" w:hAnsi="Arial" w:cs="Arial"/>
          <w:i/>
          <w:iCs/>
          <w:noProof/>
          <w:sz w:val="20"/>
          <w:szCs w:val="24"/>
        </w:rPr>
        <w:t>Evol. Geotech - 25 Years Innov.</w:t>
      </w:r>
      <w:r w:rsidRPr="005052C4">
        <w:rPr>
          <w:rFonts w:ascii="Arial" w:hAnsi="Arial" w:cs="Arial"/>
          <w:noProof/>
          <w:sz w:val="20"/>
          <w:szCs w:val="24"/>
        </w:rPr>
        <w:t>, no. 2001, pp. 18–42, 2022.</w:t>
      </w:r>
    </w:p>
    <w:p w14:paraId="72F287B2"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[9]</w:t>
      </w:r>
      <w:r w:rsidRPr="005052C4">
        <w:rPr>
          <w:rFonts w:ascii="Arial" w:hAnsi="Arial" w:cs="Arial"/>
          <w:noProof/>
          <w:sz w:val="20"/>
          <w:szCs w:val="24"/>
        </w:rPr>
        <w:tab/>
        <w:t xml:space="preserve">L. Jradi, B. S. El Dine, J. C. Dupla, and J. Canou, “Influence of low fines content on the liquefaction resistance of sands,” </w:t>
      </w:r>
      <w:r w:rsidRPr="005052C4">
        <w:rPr>
          <w:rFonts w:ascii="Arial" w:hAnsi="Arial" w:cs="Arial"/>
          <w:i/>
          <w:iCs/>
          <w:noProof/>
          <w:sz w:val="20"/>
          <w:szCs w:val="24"/>
        </w:rPr>
        <w:t>Eur. J. Environ. Civ. Eng.</w:t>
      </w:r>
      <w:r w:rsidRPr="005052C4">
        <w:rPr>
          <w:rFonts w:ascii="Arial" w:hAnsi="Arial" w:cs="Arial"/>
          <w:noProof/>
          <w:sz w:val="20"/>
          <w:szCs w:val="24"/>
        </w:rPr>
        <w:t>, vol. 26, no. 12, pp. 6012–6031, 2022.</w:t>
      </w:r>
    </w:p>
    <w:p w14:paraId="5D4C9E17"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[10]</w:t>
      </w:r>
      <w:r w:rsidRPr="005052C4">
        <w:rPr>
          <w:rFonts w:ascii="Arial" w:hAnsi="Arial" w:cs="Arial"/>
          <w:noProof/>
          <w:sz w:val="20"/>
          <w:szCs w:val="24"/>
        </w:rPr>
        <w:tab/>
        <w:t xml:space="preserve">A. Ghorbani, A. Eslami, and M. Nezhad Moghadam, “Effect of non-plastic silt on liquefaction susceptibility of marine sand by transparent laminar shear box in shaking table,” </w:t>
      </w:r>
      <w:r w:rsidRPr="005052C4">
        <w:rPr>
          <w:rFonts w:ascii="Arial" w:hAnsi="Arial" w:cs="Arial"/>
          <w:i/>
          <w:iCs/>
          <w:noProof/>
          <w:sz w:val="20"/>
          <w:szCs w:val="24"/>
        </w:rPr>
        <w:t>Int. J. Geotech. Eng.</w:t>
      </w:r>
      <w:r w:rsidRPr="005052C4">
        <w:rPr>
          <w:rFonts w:ascii="Arial" w:hAnsi="Arial" w:cs="Arial"/>
          <w:noProof/>
          <w:sz w:val="20"/>
          <w:szCs w:val="24"/>
        </w:rPr>
        <w:t>, vol. 00, no. 00, pp. 1–13, 2020.</w:t>
      </w:r>
    </w:p>
    <w:p w14:paraId="5F59BDE2"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[11]</w:t>
      </w:r>
      <w:r w:rsidRPr="005052C4">
        <w:rPr>
          <w:rFonts w:ascii="Arial" w:hAnsi="Arial" w:cs="Arial"/>
          <w:noProof/>
          <w:sz w:val="20"/>
          <w:szCs w:val="24"/>
        </w:rPr>
        <w:tab/>
        <w:t xml:space="preserve">H. Artati, W. Pawirodikromo, P. Rahardjo, and L. Makrup, “Effect of Fines Content on Liquefaction Resistance During Steady-State Conditions,” </w:t>
      </w:r>
      <w:r w:rsidRPr="005052C4">
        <w:rPr>
          <w:rFonts w:ascii="Arial" w:hAnsi="Arial" w:cs="Arial"/>
          <w:i/>
          <w:iCs/>
          <w:noProof/>
          <w:sz w:val="20"/>
          <w:szCs w:val="24"/>
        </w:rPr>
        <w:t>Int. J. GEOMATE</w:t>
      </w:r>
      <w:r w:rsidRPr="005052C4">
        <w:rPr>
          <w:rFonts w:ascii="Arial" w:hAnsi="Arial" w:cs="Arial"/>
          <w:noProof/>
          <w:sz w:val="20"/>
          <w:szCs w:val="24"/>
        </w:rPr>
        <w:t>, vol. 25, no. 109, pp. 18–28, 2023.</w:t>
      </w:r>
    </w:p>
    <w:p w14:paraId="10D665AA"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[12]</w:t>
      </w:r>
      <w:r w:rsidRPr="005052C4">
        <w:rPr>
          <w:rFonts w:ascii="Arial" w:hAnsi="Arial" w:cs="Arial"/>
          <w:noProof/>
          <w:sz w:val="20"/>
          <w:szCs w:val="24"/>
        </w:rPr>
        <w:tab/>
        <w:t xml:space="preserve">S. Gobbi, P. Reiffsteck, L. Lenti, M. P. S. d’Avila, and J. F. Semblat, “Liquefaction triggering in silty sands: effects of non-plastic fines and mixture-packing conditions,” </w:t>
      </w:r>
      <w:r w:rsidRPr="005052C4">
        <w:rPr>
          <w:rFonts w:ascii="Arial" w:hAnsi="Arial" w:cs="Arial"/>
          <w:i/>
          <w:iCs/>
          <w:noProof/>
          <w:sz w:val="20"/>
          <w:szCs w:val="24"/>
        </w:rPr>
        <w:t xml:space="preserve">Acta </w:t>
      </w:r>
      <w:r w:rsidRPr="005052C4">
        <w:rPr>
          <w:rFonts w:ascii="Arial" w:hAnsi="Arial" w:cs="Arial"/>
          <w:i/>
          <w:iCs/>
          <w:noProof/>
          <w:sz w:val="20"/>
          <w:szCs w:val="24"/>
        </w:rPr>
        <w:t>Geotech.</w:t>
      </w:r>
      <w:r w:rsidRPr="005052C4">
        <w:rPr>
          <w:rFonts w:ascii="Arial" w:hAnsi="Arial" w:cs="Arial"/>
          <w:noProof/>
          <w:sz w:val="20"/>
          <w:szCs w:val="24"/>
        </w:rPr>
        <w:t>, vol. 17, no. 2, pp. 391–410, 2022.</w:t>
      </w:r>
    </w:p>
    <w:p w14:paraId="0C06E714"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[13]</w:t>
      </w:r>
      <w:r w:rsidRPr="005052C4">
        <w:rPr>
          <w:rFonts w:ascii="Arial" w:hAnsi="Arial" w:cs="Arial"/>
          <w:noProof/>
          <w:sz w:val="20"/>
          <w:szCs w:val="24"/>
        </w:rPr>
        <w:tab/>
        <w:t xml:space="preserve">M. Goudarzy, D. Sarkar, and T. Wichtmann, “Influence of plastic fines content on the liquefaction susceptibility of sands: cyclic loading,” </w:t>
      </w:r>
      <w:r w:rsidRPr="005052C4">
        <w:rPr>
          <w:rFonts w:ascii="Arial" w:hAnsi="Arial" w:cs="Arial"/>
          <w:i/>
          <w:iCs/>
          <w:noProof/>
          <w:sz w:val="20"/>
          <w:szCs w:val="24"/>
        </w:rPr>
        <w:t>Acta Geotech.</w:t>
      </w:r>
      <w:r w:rsidRPr="005052C4">
        <w:rPr>
          <w:rFonts w:ascii="Arial" w:hAnsi="Arial" w:cs="Arial"/>
          <w:noProof/>
          <w:sz w:val="20"/>
          <w:szCs w:val="24"/>
        </w:rPr>
        <w:t>, vol. 17, no. 11, pp. 4977–4988, 2022.</w:t>
      </w:r>
    </w:p>
    <w:p w14:paraId="7FDBA634"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[14]</w:t>
      </w:r>
      <w:r w:rsidRPr="005052C4">
        <w:rPr>
          <w:rFonts w:ascii="Arial" w:hAnsi="Arial" w:cs="Arial"/>
          <w:noProof/>
          <w:sz w:val="20"/>
          <w:szCs w:val="24"/>
        </w:rPr>
        <w:tab/>
        <w:t xml:space="preserve">C. P. Polito, J. R. Martin, and E. L. D. Sibley, “The Effect of Non-Plastic Fines Content on Pore Pressure Generation Rates in Cyclic Triaxial and Cyclic Direct Simple Shear Tests,” </w:t>
      </w:r>
      <w:r w:rsidRPr="005052C4">
        <w:rPr>
          <w:rFonts w:ascii="Arial" w:hAnsi="Arial" w:cs="Arial"/>
          <w:i/>
          <w:iCs/>
          <w:noProof/>
          <w:sz w:val="20"/>
          <w:szCs w:val="24"/>
        </w:rPr>
        <w:t>Eng</w:t>
      </w:r>
      <w:r w:rsidRPr="005052C4">
        <w:rPr>
          <w:rFonts w:ascii="Arial" w:hAnsi="Arial" w:cs="Arial"/>
          <w:noProof/>
          <w:sz w:val="20"/>
          <w:szCs w:val="24"/>
        </w:rPr>
        <w:t>, vol. 5, no. 4, pp. 2410–2427, 2024.</w:t>
      </w:r>
    </w:p>
    <w:p w14:paraId="28842515"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[15]</w:t>
      </w:r>
      <w:r w:rsidRPr="005052C4">
        <w:rPr>
          <w:rFonts w:ascii="Arial" w:hAnsi="Arial" w:cs="Arial"/>
          <w:noProof/>
          <w:sz w:val="20"/>
          <w:szCs w:val="24"/>
        </w:rPr>
        <w:tab/>
        <w:t xml:space="preserve">G. Tomasello and D. D. Porcino, “Energy-Based Pore Pressure Generation Models in Silty Sands under Earthquake Loading,” </w:t>
      </w:r>
      <w:r w:rsidRPr="005052C4">
        <w:rPr>
          <w:rFonts w:ascii="Arial" w:hAnsi="Arial" w:cs="Arial"/>
          <w:i/>
          <w:iCs/>
          <w:noProof/>
          <w:sz w:val="20"/>
          <w:szCs w:val="24"/>
        </w:rPr>
        <w:t>Geosci.</w:t>
      </w:r>
      <w:r w:rsidRPr="005052C4">
        <w:rPr>
          <w:rFonts w:ascii="Arial" w:hAnsi="Arial" w:cs="Arial"/>
          <w:noProof/>
          <w:sz w:val="20"/>
          <w:szCs w:val="24"/>
        </w:rPr>
        <w:t>, vol. 14, no. 6, 2024.</w:t>
      </w:r>
    </w:p>
    <w:p w14:paraId="708F6AC5"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[16]</w:t>
      </w:r>
      <w:r w:rsidRPr="005052C4">
        <w:rPr>
          <w:rFonts w:ascii="Arial" w:hAnsi="Arial" w:cs="Arial"/>
          <w:noProof/>
          <w:sz w:val="20"/>
          <w:szCs w:val="24"/>
        </w:rPr>
        <w:tab/>
        <w:t xml:space="preserve">X. Wei, J. Yang, and Z.-X. Yang, “Characterizing the Liquefaction Potential and Pore Pressure Generation of Silty Sands through the Energy-Based Approach in the Framework of Critical State Soil Mechanics,” </w:t>
      </w:r>
      <w:r w:rsidRPr="005052C4">
        <w:rPr>
          <w:rFonts w:ascii="Arial" w:hAnsi="Arial" w:cs="Arial"/>
          <w:i/>
          <w:iCs/>
          <w:noProof/>
          <w:sz w:val="20"/>
          <w:szCs w:val="24"/>
        </w:rPr>
        <w:t>J. Geotech. Geoenvironmental Eng.</w:t>
      </w:r>
      <w:r w:rsidRPr="005052C4">
        <w:rPr>
          <w:rFonts w:ascii="Arial" w:hAnsi="Arial" w:cs="Arial"/>
          <w:noProof/>
          <w:sz w:val="20"/>
          <w:szCs w:val="24"/>
        </w:rPr>
        <w:t>, vol. 150, no. 10, Oct. 2024.</w:t>
      </w:r>
    </w:p>
    <w:p w14:paraId="49000718"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[17]</w:t>
      </w:r>
      <w:r w:rsidRPr="005052C4">
        <w:rPr>
          <w:rFonts w:ascii="Arial" w:hAnsi="Arial" w:cs="Arial"/>
          <w:noProof/>
          <w:sz w:val="20"/>
          <w:szCs w:val="24"/>
        </w:rPr>
        <w:tab/>
        <w:t xml:space="preserve">S. Ćorluka, D. Rakić, N. Živanović, K. Djoković, and T. Đurić, “A Correlation Relating the Residual Strength Parameters to the Proportions of Clay Fractions and Plasticity Characteristics of Overburden Sediments from the Open-Pit Mine Drmno,” </w:t>
      </w:r>
      <w:r w:rsidRPr="005052C4">
        <w:rPr>
          <w:rFonts w:ascii="Arial" w:hAnsi="Arial" w:cs="Arial"/>
          <w:i/>
          <w:iCs/>
          <w:noProof/>
          <w:sz w:val="20"/>
          <w:szCs w:val="24"/>
        </w:rPr>
        <w:t>Appl. Sci.</w:t>
      </w:r>
      <w:r w:rsidRPr="005052C4">
        <w:rPr>
          <w:rFonts w:ascii="Arial" w:hAnsi="Arial" w:cs="Arial"/>
          <w:noProof/>
          <w:sz w:val="20"/>
          <w:szCs w:val="24"/>
        </w:rPr>
        <w:t>, vol. 14, no. 22, 2024.</w:t>
      </w:r>
    </w:p>
    <w:p w14:paraId="211D038E"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[18]</w:t>
      </w:r>
      <w:r w:rsidRPr="005052C4">
        <w:rPr>
          <w:rFonts w:ascii="Arial" w:hAnsi="Arial" w:cs="Arial"/>
          <w:noProof/>
          <w:sz w:val="20"/>
          <w:szCs w:val="24"/>
        </w:rPr>
        <w:tab/>
        <w:t xml:space="preserve">Z. Li, S. Escoffier, and P. Audrain, “Study on the effects of a low amount of non-plastic fines on soil liquefaction by dynamic centrifuge modeling,” </w:t>
      </w:r>
      <w:r w:rsidRPr="005052C4">
        <w:rPr>
          <w:rFonts w:ascii="Arial" w:hAnsi="Arial" w:cs="Arial"/>
          <w:i/>
          <w:iCs/>
          <w:noProof/>
          <w:sz w:val="20"/>
          <w:szCs w:val="24"/>
        </w:rPr>
        <w:t>Soil Dyn. Earthq. Eng.</w:t>
      </w:r>
      <w:r w:rsidRPr="005052C4">
        <w:rPr>
          <w:rFonts w:ascii="Arial" w:hAnsi="Arial" w:cs="Arial"/>
          <w:noProof/>
          <w:sz w:val="20"/>
          <w:szCs w:val="24"/>
        </w:rPr>
        <w:t>, vol. 195, p. 109400, Aug. 2025.</w:t>
      </w:r>
    </w:p>
    <w:p w14:paraId="711E1E46"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[19]</w:t>
      </w:r>
      <w:r w:rsidRPr="005052C4">
        <w:rPr>
          <w:rFonts w:ascii="Arial" w:hAnsi="Arial" w:cs="Arial"/>
          <w:noProof/>
          <w:sz w:val="20"/>
          <w:szCs w:val="24"/>
        </w:rPr>
        <w:tab/>
        <w:t xml:space="preserve">G. Chen </w:t>
      </w:r>
      <w:r w:rsidRPr="005052C4">
        <w:rPr>
          <w:rFonts w:ascii="Arial" w:hAnsi="Arial" w:cs="Arial"/>
          <w:i/>
          <w:iCs/>
          <w:noProof/>
          <w:sz w:val="20"/>
          <w:szCs w:val="24"/>
        </w:rPr>
        <w:t>et al.</w:t>
      </w:r>
      <w:r w:rsidRPr="005052C4">
        <w:rPr>
          <w:rFonts w:ascii="Arial" w:hAnsi="Arial" w:cs="Arial"/>
          <w:noProof/>
          <w:sz w:val="20"/>
          <w:szCs w:val="24"/>
        </w:rPr>
        <w:t xml:space="preserve">, “New paradigm for sand liquefaction under cyclic loadings,” </w:t>
      </w:r>
      <w:r w:rsidRPr="005052C4">
        <w:rPr>
          <w:rFonts w:ascii="Arial" w:hAnsi="Arial" w:cs="Arial"/>
          <w:i/>
          <w:iCs/>
          <w:noProof/>
          <w:sz w:val="20"/>
          <w:szCs w:val="24"/>
        </w:rPr>
        <w:t>Eng. Geol.</w:t>
      </w:r>
      <w:r w:rsidRPr="005052C4">
        <w:rPr>
          <w:rFonts w:ascii="Arial" w:hAnsi="Arial" w:cs="Arial"/>
          <w:noProof/>
          <w:sz w:val="20"/>
          <w:szCs w:val="24"/>
        </w:rPr>
        <w:t>, vol. 351, p. 108041, May 2025.</w:t>
      </w:r>
    </w:p>
    <w:p w14:paraId="2B7C4C68"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[20]</w:t>
      </w:r>
      <w:r w:rsidRPr="005052C4">
        <w:rPr>
          <w:rFonts w:ascii="Arial" w:hAnsi="Arial" w:cs="Arial"/>
          <w:noProof/>
          <w:sz w:val="20"/>
          <w:szCs w:val="24"/>
        </w:rPr>
        <w:tab/>
        <w:t xml:space="preserve">M.-A. Abdul-Khader and S. Jeong, “Behavior of Weathered Soil under Combined Undrained Cyclic-Monotonic Loading,” </w:t>
      </w:r>
      <w:r w:rsidRPr="005052C4">
        <w:rPr>
          <w:rFonts w:ascii="Arial" w:hAnsi="Arial" w:cs="Arial"/>
          <w:i/>
          <w:iCs/>
          <w:noProof/>
          <w:sz w:val="20"/>
          <w:szCs w:val="24"/>
        </w:rPr>
        <w:t>Int. J. Geomech.</w:t>
      </w:r>
      <w:r w:rsidRPr="005052C4">
        <w:rPr>
          <w:rFonts w:ascii="Arial" w:hAnsi="Arial" w:cs="Arial"/>
          <w:noProof/>
          <w:sz w:val="20"/>
          <w:szCs w:val="24"/>
        </w:rPr>
        <w:t>, vol. 21, no. 4, Apr. 2021.</w:t>
      </w:r>
    </w:p>
    <w:p w14:paraId="5A8BF7B0"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[21]</w:t>
      </w:r>
      <w:r w:rsidRPr="005052C4">
        <w:rPr>
          <w:rFonts w:ascii="Arial" w:hAnsi="Arial" w:cs="Arial"/>
          <w:noProof/>
          <w:sz w:val="20"/>
          <w:szCs w:val="24"/>
        </w:rPr>
        <w:tab/>
        <w:t xml:space="preserve">I. D. Gates and M. Ghayoomi, “Residual Strength of Liquefied Soil: The Effect of Induced Partial Saturation,” </w:t>
      </w:r>
      <w:r w:rsidRPr="005052C4">
        <w:rPr>
          <w:rFonts w:ascii="Arial" w:hAnsi="Arial" w:cs="Arial"/>
          <w:i/>
          <w:iCs/>
          <w:noProof/>
          <w:sz w:val="20"/>
          <w:szCs w:val="24"/>
        </w:rPr>
        <w:t>Geotech. Test. J.</w:t>
      </w:r>
      <w:r w:rsidRPr="005052C4">
        <w:rPr>
          <w:rFonts w:ascii="Arial" w:hAnsi="Arial" w:cs="Arial"/>
          <w:noProof/>
          <w:sz w:val="20"/>
          <w:szCs w:val="24"/>
        </w:rPr>
        <w:t>, vol. 45, no. 4, pp. 855–876, Jul. 2022.</w:t>
      </w:r>
    </w:p>
    <w:p w14:paraId="46AA06D6"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[22]</w:t>
      </w:r>
      <w:r w:rsidRPr="005052C4">
        <w:rPr>
          <w:rFonts w:ascii="Arial" w:hAnsi="Arial" w:cs="Arial"/>
          <w:noProof/>
          <w:sz w:val="20"/>
          <w:szCs w:val="24"/>
        </w:rPr>
        <w:tab/>
        <w:t xml:space="preserve">A. Papadopoulou and T. Tika, “Monotonic and cyclic behaviour of sand-silt mixtures through the equivalent state parameter,” in </w:t>
      </w:r>
      <w:r w:rsidRPr="005052C4">
        <w:rPr>
          <w:rFonts w:ascii="Arial" w:hAnsi="Arial" w:cs="Arial"/>
          <w:i/>
          <w:iCs/>
          <w:noProof/>
          <w:sz w:val="20"/>
          <w:szCs w:val="24"/>
        </w:rPr>
        <w:t>E3S Web of Conferences</w:t>
      </w:r>
      <w:r w:rsidRPr="005052C4">
        <w:rPr>
          <w:rFonts w:ascii="Arial" w:hAnsi="Arial" w:cs="Arial"/>
          <w:noProof/>
          <w:sz w:val="20"/>
          <w:szCs w:val="24"/>
        </w:rPr>
        <w:t>, 2024, pp. 544, 14014.</w:t>
      </w:r>
    </w:p>
    <w:p w14:paraId="03D508CD"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[23]</w:t>
      </w:r>
      <w:r w:rsidRPr="005052C4">
        <w:rPr>
          <w:rFonts w:ascii="Arial" w:hAnsi="Arial" w:cs="Arial"/>
          <w:noProof/>
          <w:sz w:val="20"/>
          <w:szCs w:val="24"/>
        </w:rPr>
        <w:tab/>
        <w:t xml:space="preserve">A. V. da Fonseca, D. Cordeiro, and F. Molina-Gómez, “Recommended Procedures to Assess Critical State Locus from Triaxial Tests in Cohesionless Remoulded Samples,” </w:t>
      </w:r>
      <w:r w:rsidRPr="005052C4">
        <w:rPr>
          <w:rFonts w:ascii="Arial" w:hAnsi="Arial" w:cs="Arial"/>
          <w:i/>
          <w:iCs/>
          <w:noProof/>
          <w:sz w:val="20"/>
          <w:szCs w:val="24"/>
        </w:rPr>
        <w:t>Geotechnics</w:t>
      </w:r>
      <w:r w:rsidRPr="005052C4">
        <w:rPr>
          <w:rFonts w:ascii="Arial" w:hAnsi="Arial" w:cs="Arial"/>
          <w:noProof/>
          <w:sz w:val="20"/>
          <w:szCs w:val="24"/>
        </w:rPr>
        <w:t>, vol. 1, no. 1, pp. 95–127, 2021.</w:t>
      </w:r>
    </w:p>
    <w:p w14:paraId="1EBF57C6"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[24]</w:t>
      </w:r>
      <w:r w:rsidRPr="005052C4">
        <w:rPr>
          <w:rFonts w:ascii="Arial" w:hAnsi="Arial" w:cs="Arial"/>
          <w:noProof/>
          <w:sz w:val="20"/>
          <w:szCs w:val="24"/>
        </w:rPr>
        <w:tab/>
        <w:t xml:space="preserve">Y. Wu, M. Hyodo, and J. Cui, “On the critical </w:t>
      </w:r>
      <w:r w:rsidRPr="005052C4">
        <w:rPr>
          <w:rFonts w:ascii="Arial" w:hAnsi="Arial" w:cs="Arial"/>
          <w:noProof/>
          <w:sz w:val="20"/>
          <w:szCs w:val="24"/>
        </w:rPr>
        <w:lastRenderedPageBreak/>
        <w:t xml:space="preserve">state characteristics of methane hydrate-bearing sediments,” </w:t>
      </w:r>
      <w:r w:rsidRPr="005052C4">
        <w:rPr>
          <w:rFonts w:ascii="Arial" w:hAnsi="Arial" w:cs="Arial"/>
          <w:i/>
          <w:iCs/>
          <w:noProof/>
          <w:sz w:val="20"/>
          <w:szCs w:val="24"/>
        </w:rPr>
        <w:t>Mar. Pet. Geol.</w:t>
      </w:r>
      <w:r w:rsidRPr="005052C4">
        <w:rPr>
          <w:rFonts w:ascii="Arial" w:hAnsi="Arial" w:cs="Arial"/>
          <w:noProof/>
          <w:sz w:val="20"/>
          <w:szCs w:val="24"/>
        </w:rPr>
        <w:t>, vol. 116, no. March, p. 104342, 2020.</w:t>
      </w:r>
    </w:p>
    <w:p w14:paraId="2D96FC5B"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[25]</w:t>
      </w:r>
      <w:r w:rsidRPr="005052C4">
        <w:rPr>
          <w:rFonts w:ascii="Arial" w:hAnsi="Arial" w:cs="Arial"/>
          <w:noProof/>
          <w:sz w:val="20"/>
          <w:szCs w:val="24"/>
        </w:rPr>
        <w:tab/>
        <w:t xml:space="preserve">G. Wanli and C. Zhengyin, “Study on the critical state of a unique silty sand,” </w:t>
      </w:r>
      <w:r w:rsidRPr="005052C4">
        <w:rPr>
          <w:rFonts w:ascii="Arial" w:hAnsi="Arial" w:cs="Arial"/>
          <w:i/>
          <w:iCs/>
          <w:noProof/>
          <w:sz w:val="20"/>
          <w:szCs w:val="24"/>
        </w:rPr>
        <w:t>Granul. Matter</w:t>
      </w:r>
      <w:r w:rsidRPr="005052C4">
        <w:rPr>
          <w:rFonts w:ascii="Arial" w:hAnsi="Arial" w:cs="Arial"/>
          <w:noProof/>
          <w:sz w:val="20"/>
          <w:szCs w:val="24"/>
        </w:rPr>
        <w:t>, vol. 24, no. 1, pp. 1–8, 2022.</w:t>
      </w:r>
    </w:p>
    <w:p w14:paraId="145BF618"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[26]</w:t>
      </w:r>
      <w:r w:rsidRPr="005052C4">
        <w:rPr>
          <w:rFonts w:ascii="Arial" w:hAnsi="Arial" w:cs="Arial"/>
          <w:noProof/>
          <w:sz w:val="20"/>
          <w:szCs w:val="24"/>
        </w:rPr>
        <w:tab/>
        <w:t xml:space="preserve">Z. Fan, R. Cudmani, S. Chrisopoulos, X. Xiong, M. Sun, and Y. Yuan, “Experimental study on the reliquefaction behavior of saturated sand deposits under distinct loading frequencies,” </w:t>
      </w:r>
      <w:r w:rsidRPr="005052C4">
        <w:rPr>
          <w:rFonts w:ascii="Arial" w:hAnsi="Arial" w:cs="Arial"/>
          <w:i/>
          <w:iCs/>
          <w:noProof/>
          <w:sz w:val="20"/>
          <w:szCs w:val="24"/>
        </w:rPr>
        <w:t>Soil Dyn. Earthq. Eng.</w:t>
      </w:r>
      <w:r w:rsidRPr="005052C4">
        <w:rPr>
          <w:rFonts w:ascii="Arial" w:hAnsi="Arial" w:cs="Arial"/>
          <w:noProof/>
          <w:sz w:val="20"/>
          <w:szCs w:val="24"/>
        </w:rPr>
        <w:t>, vol. 190, p. 109114, Mar. 2025.</w:t>
      </w:r>
    </w:p>
    <w:p w14:paraId="26FCB1B0"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[27]</w:t>
      </w:r>
      <w:r w:rsidRPr="005052C4">
        <w:rPr>
          <w:rFonts w:ascii="Arial" w:hAnsi="Arial" w:cs="Arial"/>
          <w:noProof/>
          <w:sz w:val="20"/>
          <w:szCs w:val="24"/>
        </w:rPr>
        <w:tab/>
        <w:t xml:space="preserve">H. B. Mason </w:t>
      </w:r>
      <w:r w:rsidRPr="005052C4">
        <w:rPr>
          <w:rFonts w:ascii="Arial" w:hAnsi="Arial" w:cs="Arial"/>
          <w:i/>
          <w:iCs/>
          <w:noProof/>
          <w:sz w:val="20"/>
          <w:szCs w:val="24"/>
        </w:rPr>
        <w:t>et al.</w:t>
      </w:r>
      <w:r w:rsidRPr="005052C4">
        <w:rPr>
          <w:rFonts w:ascii="Arial" w:hAnsi="Arial" w:cs="Arial"/>
          <w:noProof/>
          <w:sz w:val="20"/>
          <w:szCs w:val="24"/>
        </w:rPr>
        <w:t xml:space="preserve">, “East Palu Valley Flowslides Induced by the 2018 MW 7.5 Palu-Donggala Earthquake.,” </w:t>
      </w:r>
      <w:r w:rsidRPr="005052C4">
        <w:rPr>
          <w:rFonts w:ascii="Arial" w:hAnsi="Arial" w:cs="Arial"/>
          <w:i/>
          <w:iCs/>
          <w:noProof/>
          <w:sz w:val="20"/>
          <w:szCs w:val="24"/>
        </w:rPr>
        <w:t>Geomorphology</w:t>
      </w:r>
      <w:r w:rsidRPr="005052C4">
        <w:rPr>
          <w:rFonts w:ascii="Arial" w:hAnsi="Arial" w:cs="Arial"/>
          <w:noProof/>
          <w:sz w:val="20"/>
          <w:szCs w:val="24"/>
        </w:rPr>
        <w:t>, vol. East Palu, 2020.</w:t>
      </w:r>
    </w:p>
    <w:p w14:paraId="473984E7"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[28]</w:t>
      </w:r>
      <w:r w:rsidRPr="005052C4">
        <w:rPr>
          <w:rFonts w:ascii="Arial" w:hAnsi="Arial" w:cs="Arial"/>
          <w:noProof/>
          <w:sz w:val="20"/>
          <w:szCs w:val="24"/>
        </w:rPr>
        <w:tab/>
        <w:t xml:space="preserve">J. Montgomery, J. Wartman, A. N. Reed, A. P. Gallant, D. Hutabarat, and H. B. Mason, “Field reconnaissance data from GEER investigation of the 2018 M W 7 . 5 Palu-Donggala earthquake,” </w:t>
      </w:r>
      <w:r w:rsidRPr="005052C4">
        <w:rPr>
          <w:rFonts w:ascii="Arial" w:hAnsi="Arial" w:cs="Arial"/>
          <w:i/>
          <w:iCs/>
          <w:noProof/>
          <w:sz w:val="20"/>
          <w:szCs w:val="24"/>
        </w:rPr>
        <w:t>Data Br.</w:t>
      </w:r>
      <w:r w:rsidRPr="005052C4">
        <w:rPr>
          <w:rFonts w:ascii="Arial" w:hAnsi="Arial" w:cs="Arial"/>
          <w:noProof/>
          <w:sz w:val="20"/>
          <w:szCs w:val="24"/>
        </w:rPr>
        <w:t>, vol. 34, p. 106742, 2021.</w:t>
      </w:r>
    </w:p>
    <w:p w14:paraId="04AC7534"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[29]</w:t>
      </w:r>
      <w:r w:rsidRPr="005052C4">
        <w:rPr>
          <w:rFonts w:ascii="Arial" w:hAnsi="Arial" w:cs="Arial"/>
          <w:noProof/>
          <w:sz w:val="20"/>
          <w:szCs w:val="24"/>
        </w:rPr>
        <w:tab/>
        <w:t xml:space="preserve">Y. Yang, B. Yang, C. Su, and J. Ma, “Application of Residual Shear Strength Predicted by Artificial Neural Network Model for Evaluating Liquefaction-Induced Lateral Spreading,” </w:t>
      </w:r>
      <w:r w:rsidRPr="005052C4">
        <w:rPr>
          <w:rFonts w:ascii="Arial" w:hAnsi="Arial" w:cs="Arial"/>
          <w:i/>
          <w:iCs/>
          <w:noProof/>
          <w:sz w:val="20"/>
          <w:szCs w:val="24"/>
        </w:rPr>
        <w:t>Adv. Civ. Eng.</w:t>
      </w:r>
      <w:r w:rsidRPr="005052C4">
        <w:rPr>
          <w:rFonts w:ascii="Arial" w:hAnsi="Arial" w:cs="Arial"/>
          <w:noProof/>
          <w:sz w:val="20"/>
          <w:szCs w:val="24"/>
        </w:rPr>
        <w:t>, vol. 2020, 2020.</w:t>
      </w:r>
    </w:p>
    <w:p w14:paraId="6718F2DA" w14:textId="77777777" w:rsidR="005052C4" w:rsidRPr="005052C4" w:rsidRDefault="005052C4" w:rsidP="00B94E4B">
      <w:pPr>
        <w:widowControl w:val="0"/>
        <w:autoSpaceDE w:val="0"/>
        <w:autoSpaceDN w:val="0"/>
        <w:adjustRightInd w:val="0"/>
        <w:spacing w:after="0" w:line="240" w:lineRule="auto"/>
        <w:ind w:left="422" w:hangingChars="212" w:hanging="424"/>
        <w:jc w:val="both"/>
        <w:rPr>
          <w:rFonts w:ascii="Arial" w:hAnsi="Arial" w:cs="Arial"/>
          <w:noProof/>
          <w:sz w:val="20"/>
          <w:szCs w:val="24"/>
        </w:rPr>
      </w:pPr>
      <w:r w:rsidRPr="005052C4">
        <w:rPr>
          <w:rFonts w:ascii="Arial" w:hAnsi="Arial" w:cs="Arial"/>
          <w:noProof/>
          <w:sz w:val="20"/>
          <w:szCs w:val="24"/>
        </w:rPr>
        <w:t>[30]</w:t>
      </w:r>
      <w:r w:rsidRPr="005052C4">
        <w:rPr>
          <w:rFonts w:ascii="Arial" w:hAnsi="Arial" w:cs="Arial"/>
          <w:noProof/>
          <w:sz w:val="20"/>
          <w:szCs w:val="24"/>
        </w:rPr>
        <w:tab/>
        <w:t xml:space="preserve">M. Cueva, X. Kang, S. Wang, E. Soranzo, and W. Wu, “Unveiling the role of saturation and displacement rate in the transition from slow movement to catastrophic failure in landslides,” </w:t>
      </w:r>
      <w:r w:rsidRPr="005052C4">
        <w:rPr>
          <w:rFonts w:ascii="Arial" w:hAnsi="Arial" w:cs="Arial"/>
          <w:i/>
          <w:iCs/>
          <w:noProof/>
          <w:sz w:val="20"/>
          <w:szCs w:val="24"/>
        </w:rPr>
        <w:t>Eng. Geol.</w:t>
      </w:r>
      <w:r w:rsidRPr="005052C4">
        <w:rPr>
          <w:rFonts w:ascii="Arial" w:hAnsi="Arial" w:cs="Arial"/>
          <w:noProof/>
          <w:sz w:val="20"/>
          <w:szCs w:val="24"/>
        </w:rPr>
        <w:t>, vol. 352, no. April, p. 108042, 2025.</w:t>
      </w:r>
    </w:p>
    <w:p w14:paraId="4329806B" w14:textId="77777777" w:rsidR="00BF469A" w:rsidRDefault="005052C4" w:rsidP="00B94E4B">
      <w:pPr>
        <w:spacing w:after="0" w:line="240" w:lineRule="auto"/>
        <w:ind w:left="424" w:hangingChars="212" w:hanging="426"/>
        <w:jc w:val="both"/>
        <w:rPr>
          <w:rFonts w:ascii="Arial" w:eastAsia="Arial" w:hAnsi="Arial" w:cs="Arial"/>
          <w:b/>
          <w:color w:val="1F4E79"/>
          <w:sz w:val="20"/>
          <w:szCs w:val="20"/>
        </w:rPr>
      </w:pPr>
      <w:r>
        <w:rPr>
          <w:rFonts w:ascii="Arial" w:eastAsia="Arial" w:hAnsi="Arial" w:cs="Arial"/>
          <w:b/>
          <w:color w:val="1F4E79"/>
          <w:sz w:val="20"/>
          <w:szCs w:val="20"/>
        </w:rPr>
        <w:fldChar w:fldCharType="end"/>
      </w:r>
    </w:p>
    <w:sectPr w:rsidR="00BF469A" w:rsidSect="00FD660B">
      <w:type w:val="continuous"/>
      <w:pgSz w:w="11907" w:h="16840"/>
      <w:pgMar w:top="1701" w:right="1134" w:bottom="1701" w:left="1701" w:header="680" w:footer="680" w:gutter="0"/>
      <w:cols w:num="2" w:space="720" w:equalWidth="0">
        <w:col w:w="4394" w:space="284"/>
        <w:col w:w="4394"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49AE6" w14:textId="77777777" w:rsidR="00494D34" w:rsidRDefault="00494D34">
      <w:pPr>
        <w:spacing w:after="0" w:line="240" w:lineRule="auto"/>
        <w:ind w:left="0" w:hanging="2"/>
      </w:pPr>
      <w:r>
        <w:separator/>
      </w:r>
    </w:p>
  </w:endnote>
  <w:endnote w:type="continuationSeparator" w:id="0">
    <w:p w14:paraId="7CDE5CD6" w14:textId="77777777" w:rsidR="00494D34" w:rsidRDefault="00494D3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9A32C" w14:textId="77777777" w:rsidR="007043E5" w:rsidRDefault="007043E5">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7043E5" w14:paraId="170DF1E2" w14:textId="77777777">
      <w:tc>
        <w:tcPr>
          <w:tcW w:w="1242" w:type="dxa"/>
        </w:tcPr>
        <w:p w14:paraId="3AE59AE3" w14:textId="77777777" w:rsidR="007043E5" w:rsidRDefault="007043E5">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052C4">
            <w:rPr>
              <w:rFonts w:ascii="Arial" w:eastAsia="Arial" w:hAnsi="Arial" w:cs="Arial"/>
              <w:noProof/>
              <w:color w:val="000000"/>
              <w:sz w:val="20"/>
              <w:szCs w:val="20"/>
            </w:rPr>
            <w:t>4</w:t>
          </w:r>
          <w:r>
            <w:rPr>
              <w:rFonts w:ascii="Arial" w:eastAsia="Arial" w:hAnsi="Arial" w:cs="Arial"/>
              <w:color w:val="000000"/>
              <w:sz w:val="20"/>
              <w:szCs w:val="20"/>
            </w:rPr>
            <w:fldChar w:fldCharType="end"/>
          </w:r>
        </w:p>
      </w:tc>
      <w:tc>
        <w:tcPr>
          <w:tcW w:w="7938" w:type="dxa"/>
        </w:tcPr>
        <w:p w14:paraId="1573D062" w14:textId="77777777" w:rsidR="007043E5" w:rsidRDefault="007043E5">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r>
  </w:tbl>
  <w:p w14:paraId="0D051A03" w14:textId="77777777" w:rsidR="007043E5" w:rsidRDefault="007043E5">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97BF" w14:textId="77777777" w:rsidR="007043E5" w:rsidRDefault="007043E5">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7043E5" w14:paraId="49C802E1" w14:textId="77777777">
      <w:tc>
        <w:tcPr>
          <w:tcW w:w="8453" w:type="dxa"/>
        </w:tcPr>
        <w:p w14:paraId="71F7581F" w14:textId="77777777" w:rsidR="007043E5" w:rsidRDefault="007043E5">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c>
        <w:tcPr>
          <w:tcW w:w="727" w:type="dxa"/>
        </w:tcPr>
        <w:p w14:paraId="38FC8005" w14:textId="77777777" w:rsidR="007043E5" w:rsidRDefault="007043E5">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052C4">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19233B05" w14:textId="77777777" w:rsidR="007043E5" w:rsidRDefault="007043E5">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1953" w14:textId="77777777" w:rsidR="007043E5" w:rsidRDefault="007043E5">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7043E5" w14:paraId="0E2FB897" w14:textId="77777777">
      <w:tc>
        <w:tcPr>
          <w:tcW w:w="8453" w:type="dxa"/>
        </w:tcPr>
        <w:p w14:paraId="4BFB618A" w14:textId="77777777" w:rsidR="007043E5" w:rsidRDefault="007043E5">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Adriansyah et al., Author Template for SINERGI </w:t>
          </w:r>
        </w:p>
      </w:tc>
      <w:tc>
        <w:tcPr>
          <w:tcW w:w="727" w:type="dxa"/>
        </w:tcPr>
        <w:p w14:paraId="05D9C38D" w14:textId="77777777" w:rsidR="007043E5" w:rsidRDefault="007043E5">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052C4">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57C92D74" w14:textId="77777777" w:rsidR="007043E5" w:rsidRDefault="007043E5">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256B3" w14:textId="77777777" w:rsidR="00494D34" w:rsidRDefault="00494D34">
      <w:pPr>
        <w:spacing w:after="0" w:line="240" w:lineRule="auto"/>
        <w:ind w:left="0" w:hanging="2"/>
      </w:pPr>
      <w:r>
        <w:separator/>
      </w:r>
    </w:p>
  </w:footnote>
  <w:footnote w:type="continuationSeparator" w:id="0">
    <w:p w14:paraId="35D8AE74" w14:textId="77777777" w:rsidR="00494D34" w:rsidRDefault="00494D3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3B1A" w14:textId="77777777" w:rsidR="007043E5" w:rsidRDefault="007043E5">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7043E5" w14:paraId="6F23A3A4" w14:textId="77777777">
      <w:tc>
        <w:tcPr>
          <w:tcW w:w="9288" w:type="dxa"/>
        </w:tcPr>
        <w:p w14:paraId="0BD1151D" w14:textId="77777777" w:rsidR="007043E5" w:rsidRDefault="007043E5">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xxxxxx 20xx: xxx-xxx</w:t>
          </w:r>
        </w:p>
      </w:tc>
    </w:tr>
  </w:tbl>
  <w:p w14:paraId="4549CDED" w14:textId="77777777" w:rsidR="007043E5" w:rsidRDefault="007043E5">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AB30" w14:textId="77777777" w:rsidR="007043E5" w:rsidRDefault="007043E5">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7043E5" w14:paraId="78D8F9AE" w14:textId="77777777">
      <w:tc>
        <w:tcPr>
          <w:tcW w:w="9288" w:type="dxa"/>
        </w:tcPr>
        <w:p w14:paraId="52AE03EA" w14:textId="77777777" w:rsidR="007043E5" w:rsidRDefault="007043E5">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14:paraId="36EF789B" w14:textId="77777777" w:rsidR="007043E5" w:rsidRDefault="007043E5">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BE3E" w14:textId="77777777" w:rsidR="007043E5" w:rsidRDefault="007043E5">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7043E5" w14:paraId="40A7C790" w14:textId="77777777">
      <w:tc>
        <w:tcPr>
          <w:tcW w:w="1701" w:type="dxa"/>
        </w:tcPr>
        <w:p w14:paraId="490418AE" w14:textId="77777777" w:rsidR="007043E5" w:rsidRDefault="007043E5">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6F45344D" wp14:editId="4CF451B4">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3D33A1FA" w14:textId="77777777" w:rsidR="007043E5" w:rsidRDefault="007043E5">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00D9DAB3" w14:textId="77777777" w:rsidR="007043E5" w:rsidRDefault="007043E5">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53EF373D" wp14:editId="1B26F8A1">
                <wp:extent cx="627380" cy="784225"/>
                <wp:effectExtent l="0" t="0" r="0" b="0"/>
                <wp:docPr id="103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7F9FC48A" w14:textId="77777777" w:rsidR="007043E5" w:rsidRDefault="007043E5">
    <w:pPr>
      <w:pBdr>
        <w:top w:val="nil"/>
        <w:left w:val="nil"/>
        <w:bottom w:val="nil"/>
        <w:right w:val="nil"/>
        <w:between w:val="nil"/>
      </w:pBdr>
      <w:spacing w:after="0" w:line="240" w:lineRule="auto"/>
      <w:ind w:left="0" w:hanging="2"/>
      <w:rPr>
        <w:color w:val="000000"/>
      </w:rPr>
    </w:pPr>
  </w:p>
  <w:p w14:paraId="2F43D6A6" w14:textId="77777777" w:rsidR="007043E5" w:rsidRDefault="007043E5">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BDB"/>
    <w:multiLevelType w:val="hybridMultilevel"/>
    <w:tmpl w:val="A9A25F4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 w15:restartNumberingAfterBreak="0">
    <w:nsid w:val="032F4766"/>
    <w:multiLevelType w:val="multilevel"/>
    <w:tmpl w:val="B6F8CA2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F5AC5"/>
    <w:multiLevelType w:val="multilevel"/>
    <w:tmpl w:val="20105FB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B3DFF"/>
    <w:multiLevelType w:val="hybridMultilevel"/>
    <w:tmpl w:val="0FFC9768"/>
    <w:lvl w:ilvl="0" w:tplc="EC82EDC2">
      <w:start w:val="1"/>
      <w:numFmt w:val="decimal"/>
      <w:lvlText w:val="%1."/>
      <w:lvlJc w:val="left"/>
      <w:pPr>
        <w:ind w:left="644" w:hanging="360"/>
      </w:pPr>
      <w:rPr>
        <w:color w:val="000000" w:themeColor="text1"/>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 w15:restartNumberingAfterBreak="0">
    <w:nsid w:val="0E1F7A07"/>
    <w:multiLevelType w:val="hybridMultilevel"/>
    <w:tmpl w:val="46EC1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87428"/>
    <w:multiLevelType w:val="multilevel"/>
    <w:tmpl w:val="F3E8D176"/>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6543E1F"/>
    <w:multiLevelType w:val="hybridMultilevel"/>
    <w:tmpl w:val="D2CA19F0"/>
    <w:lvl w:ilvl="0" w:tplc="EC82EDC2">
      <w:start w:val="1"/>
      <w:numFmt w:val="decimal"/>
      <w:lvlText w:val="%1."/>
      <w:lvlJc w:val="left"/>
      <w:pPr>
        <w:ind w:left="642" w:hanging="360"/>
      </w:pPr>
      <w:rPr>
        <w:color w:val="000000" w:themeColor="text1"/>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7" w15:restartNumberingAfterBreak="0">
    <w:nsid w:val="1E1D6ED1"/>
    <w:multiLevelType w:val="hybridMultilevel"/>
    <w:tmpl w:val="315ACF5E"/>
    <w:lvl w:ilvl="0" w:tplc="EC82EDC2">
      <w:start w:val="1"/>
      <w:numFmt w:val="decimal"/>
      <w:lvlText w:val="%1."/>
      <w:lvlJc w:val="left"/>
      <w:pPr>
        <w:ind w:left="1145" w:hanging="360"/>
      </w:pPr>
      <w:rPr>
        <w:color w:val="000000" w:themeColor="text1"/>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2A3C0363"/>
    <w:multiLevelType w:val="multilevel"/>
    <w:tmpl w:val="B6F8CA2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D41571"/>
    <w:multiLevelType w:val="hybridMultilevel"/>
    <w:tmpl w:val="698EC364"/>
    <w:lvl w:ilvl="0" w:tplc="EC82EDC2">
      <w:start w:val="1"/>
      <w:numFmt w:val="decimal"/>
      <w:lvlText w:val="%1."/>
      <w:lvlJc w:val="left"/>
      <w:pPr>
        <w:ind w:left="644" w:hanging="360"/>
      </w:pPr>
      <w:rPr>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091C3D"/>
    <w:multiLevelType w:val="hybridMultilevel"/>
    <w:tmpl w:val="4234491A"/>
    <w:lvl w:ilvl="0" w:tplc="B3C63B82">
      <w:start w:val="1"/>
      <w:numFmt w:val="decimal"/>
      <w:lvlText w:val="%1."/>
      <w:lvlJc w:val="left"/>
      <w:pPr>
        <w:ind w:left="718" w:hanging="360"/>
      </w:pPr>
      <w:rPr>
        <w:color w:val="000000" w:themeColor="text1"/>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1" w15:restartNumberingAfterBreak="0">
    <w:nsid w:val="35DD12C6"/>
    <w:multiLevelType w:val="multilevel"/>
    <w:tmpl w:val="B30A1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A75BB6"/>
    <w:multiLevelType w:val="multilevel"/>
    <w:tmpl w:val="20105FB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EA5C61"/>
    <w:multiLevelType w:val="multilevel"/>
    <w:tmpl w:val="8DA0AD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56E14E90"/>
    <w:multiLevelType w:val="hybridMultilevel"/>
    <w:tmpl w:val="4120FE8C"/>
    <w:lvl w:ilvl="0" w:tplc="E408902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183C68"/>
    <w:multiLevelType w:val="multilevel"/>
    <w:tmpl w:val="5B2E5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9F0805"/>
    <w:multiLevelType w:val="multilevel"/>
    <w:tmpl w:val="B6F8CA2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0E2B8A"/>
    <w:multiLevelType w:val="hybridMultilevel"/>
    <w:tmpl w:val="0B9EF1FA"/>
    <w:lvl w:ilvl="0" w:tplc="EC82EDC2">
      <w:start w:val="1"/>
      <w:numFmt w:val="decimal"/>
      <w:lvlText w:val="%1."/>
      <w:lvlJc w:val="left"/>
      <w:pPr>
        <w:ind w:left="642" w:hanging="360"/>
      </w:pPr>
      <w:rPr>
        <w:color w:val="000000" w:themeColor="text1"/>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16cid:durableId="1355114512">
    <w:abstractNumId w:val="13"/>
  </w:num>
  <w:num w:numId="2" w16cid:durableId="86779855">
    <w:abstractNumId w:val="5"/>
  </w:num>
  <w:num w:numId="3" w16cid:durableId="193232555">
    <w:abstractNumId w:val="11"/>
  </w:num>
  <w:num w:numId="4" w16cid:durableId="1937054857">
    <w:abstractNumId w:val="0"/>
  </w:num>
  <w:num w:numId="5" w16cid:durableId="1196232682">
    <w:abstractNumId w:val="12"/>
  </w:num>
  <w:num w:numId="6" w16cid:durableId="1397625246">
    <w:abstractNumId w:val="8"/>
  </w:num>
  <w:num w:numId="7" w16cid:durableId="802576710">
    <w:abstractNumId w:val="3"/>
  </w:num>
  <w:num w:numId="8" w16cid:durableId="801314698">
    <w:abstractNumId w:val="1"/>
  </w:num>
  <w:num w:numId="9" w16cid:durableId="1788500081">
    <w:abstractNumId w:val="16"/>
  </w:num>
  <w:num w:numId="10" w16cid:durableId="1196847897">
    <w:abstractNumId w:val="6"/>
  </w:num>
  <w:num w:numId="11" w16cid:durableId="1997030670">
    <w:abstractNumId w:val="17"/>
  </w:num>
  <w:num w:numId="12" w16cid:durableId="903762785">
    <w:abstractNumId w:val="9"/>
  </w:num>
  <w:num w:numId="13" w16cid:durableId="779185349">
    <w:abstractNumId w:val="4"/>
  </w:num>
  <w:num w:numId="14" w16cid:durableId="871846539">
    <w:abstractNumId w:val="10"/>
  </w:num>
  <w:num w:numId="15" w16cid:durableId="1418596923">
    <w:abstractNumId w:val="2"/>
  </w:num>
  <w:num w:numId="16" w16cid:durableId="1150288202">
    <w:abstractNumId w:val="7"/>
  </w:num>
  <w:num w:numId="17" w16cid:durableId="1293828255">
    <w:abstractNumId w:val="15"/>
  </w:num>
  <w:num w:numId="18" w16cid:durableId="14387219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Y0MTA1MDUyNTYxM7BU0lEKTi0uzszPAykwrwUAQU3XESwAAAA="/>
  </w:docVars>
  <w:rsids>
    <w:rsidRoot w:val="00E85484"/>
    <w:rsid w:val="00003FC8"/>
    <w:rsid w:val="000065C8"/>
    <w:rsid w:val="00013125"/>
    <w:rsid w:val="000179B1"/>
    <w:rsid w:val="00020042"/>
    <w:rsid w:val="00027F7B"/>
    <w:rsid w:val="00035193"/>
    <w:rsid w:val="000362A8"/>
    <w:rsid w:val="00051099"/>
    <w:rsid w:val="00053893"/>
    <w:rsid w:val="00076571"/>
    <w:rsid w:val="00084558"/>
    <w:rsid w:val="000953EF"/>
    <w:rsid w:val="000953F1"/>
    <w:rsid w:val="000A58B4"/>
    <w:rsid w:val="000B5E69"/>
    <w:rsid w:val="000B60D2"/>
    <w:rsid w:val="000E303F"/>
    <w:rsid w:val="000F03DE"/>
    <w:rsid w:val="000F2F3E"/>
    <w:rsid w:val="000F7670"/>
    <w:rsid w:val="001026E8"/>
    <w:rsid w:val="00114A91"/>
    <w:rsid w:val="001242FC"/>
    <w:rsid w:val="00133FF1"/>
    <w:rsid w:val="00137C2F"/>
    <w:rsid w:val="001430A0"/>
    <w:rsid w:val="0015039B"/>
    <w:rsid w:val="00150E37"/>
    <w:rsid w:val="0015501E"/>
    <w:rsid w:val="00157F2F"/>
    <w:rsid w:val="0018047B"/>
    <w:rsid w:val="0019118E"/>
    <w:rsid w:val="001B5121"/>
    <w:rsid w:val="001B6455"/>
    <w:rsid w:val="001B67E8"/>
    <w:rsid w:val="001F25B2"/>
    <w:rsid w:val="001F2DC3"/>
    <w:rsid w:val="001F40E5"/>
    <w:rsid w:val="001F5129"/>
    <w:rsid w:val="001F5578"/>
    <w:rsid w:val="002018AB"/>
    <w:rsid w:val="00202DA4"/>
    <w:rsid w:val="00204E7B"/>
    <w:rsid w:val="0021771A"/>
    <w:rsid w:val="00240E30"/>
    <w:rsid w:val="00247067"/>
    <w:rsid w:val="002603D6"/>
    <w:rsid w:val="00292B5B"/>
    <w:rsid w:val="002942D6"/>
    <w:rsid w:val="002B14F0"/>
    <w:rsid w:val="002C17CC"/>
    <w:rsid w:val="002C64F6"/>
    <w:rsid w:val="002D13B1"/>
    <w:rsid w:val="002E28BD"/>
    <w:rsid w:val="002E7DED"/>
    <w:rsid w:val="00301170"/>
    <w:rsid w:val="003058DD"/>
    <w:rsid w:val="00316B9E"/>
    <w:rsid w:val="003301BF"/>
    <w:rsid w:val="003303C8"/>
    <w:rsid w:val="00357843"/>
    <w:rsid w:val="00373825"/>
    <w:rsid w:val="003764ED"/>
    <w:rsid w:val="0039117F"/>
    <w:rsid w:val="003921F1"/>
    <w:rsid w:val="00394AB3"/>
    <w:rsid w:val="003A43E9"/>
    <w:rsid w:val="003A651A"/>
    <w:rsid w:val="003B6393"/>
    <w:rsid w:val="003C19B8"/>
    <w:rsid w:val="003C750B"/>
    <w:rsid w:val="003D43C8"/>
    <w:rsid w:val="003E201A"/>
    <w:rsid w:val="003E5034"/>
    <w:rsid w:val="003F06AD"/>
    <w:rsid w:val="00441E8A"/>
    <w:rsid w:val="00444812"/>
    <w:rsid w:val="00456CB1"/>
    <w:rsid w:val="0046629D"/>
    <w:rsid w:val="004841C9"/>
    <w:rsid w:val="00486C2E"/>
    <w:rsid w:val="00493503"/>
    <w:rsid w:val="00494D34"/>
    <w:rsid w:val="004A5D43"/>
    <w:rsid w:val="004B03F3"/>
    <w:rsid w:val="004B1001"/>
    <w:rsid w:val="004C4F54"/>
    <w:rsid w:val="004D002D"/>
    <w:rsid w:val="004D1282"/>
    <w:rsid w:val="004E0A36"/>
    <w:rsid w:val="004E129C"/>
    <w:rsid w:val="004F47A4"/>
    <w:rsid w:val="004F7CDD"/>
    <w:rsid w:val="005016D3"/>
    <w:rsid w:val="005052C4"/>
    <w:rsid w:val="005144DF"/>
    <w:rsid w:val="005209EB"/>
    <w:rsid w:val="00537188"/>
    <w:rsid w:val="005441BD"/>
    <w:rsid w:val="00545CFB"/>
    <w:rsid w:val="00565950"/>
    <w:rsid w:val="00584334"/>
    <w:rsid w:val="005929B1"/>
    <w:rsid w:val="005963D7"/>
    <w:rsid w:val="005B5A6F"/>
    <w:rsid w:val="005D2AB7"/>
    <w:rsid w:val="005D4D63"/>
    <w:rsid w:val="005D6619"/>
    <w:rsid w:val="005E5431"/>
    <w:rsid w:val="005E6F5C"/>
    <w:rsid w:val="005F2932"/>
    <w:rsid w:val="006241FB"/>
    <w:rsid w:val="006407F8"/>
    <w:rsid w:val="00650477"/>
    <w:rsid w:val="006509A7"/>
    <w:rsid w:val="0067024A"/>
    <w:rsid w:val="006929DA"/>
    <w:rsid w:val="0069444E"/>
    <w:rsid w:val="00696D34"/>
    <w:rsid w:val="006A3B72"/>
    <w:rsid w:val="006A61F5"/>
    <w:rsid w:val="006B06BF"/>
    <w:rsid w:val="006B43BF"/>
    <w:rsid w:val="006C7FFE"/>
    <w:rsid w:val="006D75FC"/>
    <w:rsid w:val="006F6359"/>
    <w:rsid w:val="00700D59"/>
    <w:rsid w:val="007043E5"/>
    <w:rsid w:val="007050DE"/>
    <w:rsid w:val="00711D2F"/>
    <w:rsid w:val="00715506"/>
    <w:rsid w:val="00715C50"/>
    <w:rsid w:val="00716C24"/>
    <w:rsid w:val="007240C7"/>
    <w:rsid w:val="007258D0"/>
    <w:rsid w:val="007353F2"/>
    <w:rsid w:val="00737DAE"/>
    <w:rsid w:val="00764841"/>
    <w:rsid w:val="00767B16"/>
    <w:rsid w:val="00774986"/>
    <w:rsid w:val="00783DFC"/>
    <w:rsid w:val="00786911"/>
    <w:rsid w:val="007B2CCB"/>
    <w:rsid w:val="007C1B60"/>
    <w:rsid w:val="007E422A"/>
    <w:rsid w:val="007E644B"/>
    <w:rsid w:val="007F0F25"/>
    <w:rsid w:val="007F57B6"/>
    <w:rsid w:val="0080523D"/>
    <w:rsid w:val="0080611E"/>
    <w:rsid w:val="00827FD6"/>
    <w:rsid w:val="00833667"/>
    <w:rsid w:val="00835567"/>
    <w:rsid w:val="008451B9"/>
    <w:rsid w:val="008510A0"/>
    <w:rsid w:val="0088300C"/>
    <w:rsid w:val="00890848"/>
    <w:rsid w:val="008A4B50"/>
    <w:rsid w:val="008A4C0A"/>
    <w:rsid w:val="008A5ABB"/>
    <w:rsid w:val="008B5A9B"/>
    <w:rsid w:val="008B79EB"/>
    <w:rsid w:val="008D7808"/>
    <w:rsid w:val="008E0673"/>
    <w:rsid w:val="008E37B3"/>
    <w:rsid w:val="008E521A"/>
    <w:rsid w:val="0090681E"/>
    <w:rsid w:val="00922798"/>
    <w:rsid w:val="00923100"/>
    <w:rsid w:val="009631FC"/>
    <w:rsid w:val="00971CC7"/>
    <w:rsid w:val="009720CA"/>
    <w:rsid w:val="00972651"/>
    <w:rsid w:val="0098573F"/>
    <w:rsid w:val="009952FD"/>
    <w:rsid w:val="0099634D"/>
    <w:rsid w:val="009A33CA"/>
    <w:rsid w:val="009A779F"/>
    <w:rsid w:val="009C5674"/>
    <w:rsid w:val="009D030F"/>
    <w:rsid w:val="009F4582"/>
    <w:rsid w:val="00A12A83"/>
    <w:rsid w:val="00A135EF"/>
    <w:rsid w:val="00A30BE7"/>
    <w:rsid w:val="00A5151E"/>
    <w:rsid w:val="00A60029"/>
    <w:rsid w:val="00A73B35"/>
    <w:rsid w:val="00A77C51"/>
    <w:rsid w:val="00A96717"/>
    <w:rsid w:val="00AA2D16"/>
    <w:rsid w:val="00AB288E"/>
    <w:rsid w:val="00AC5305"/>
    <w:rsid w:val="00AD48B7"/>
    <w:rsid w:val="00AD79DE"/>
    <w:rsid w:val="00AF1954"/>
    <w:rsid w:val="00B008E3"/>
    <w:rsid w:val="00B11BC7"/>
    <w:rsid w:val="00B145E7"/>
    <w:rsid w:val="00B3556B"/>
    <w:rsid w:val="00B509CC"/>
    <w:rsid w:val="00B534FC"/>
    <w:rsid w:val="00B577B9"/>
    <w:rsid w:val="00B64740"/>
    <w:rsid w:val="00B80428"/>
    <w:rsid w:val="00B826CE"/>
    <w:rsid w:val="00B94E4B"/>
    <w:rsid w:val="00B9625A"/>
    <w:rsid w:val="00B96C4D"/>
    <w:rsid w:val="00BA6F8B"/>
    <w:rsid w:val="00BC05A9"/>
    <w:rsid w:val="00BD5099"/>
    <w:rsid w:val="00BF469A"/>
    <w:rsid w:val="00BF7A77"/>
    <w:rsid w:val="00C03ADB"/>
    <w:rsid w:val="00C07BA8"/>
    <w:rsid w:val="00C37549"/>
    <w:rsid w:val="00C51D5E"/>
    <w:rsid w:val="00C5385D"/>
    <w:rsid w:val="00C63597"/>
    <w:rsid w:val="00C71D89"/>
    <w:rsid w:val="00CA746B"/>
    <w:rsid w:val="00CB3129"/>
    <w:rsid w:val="00CC7646"/>
    <w:rsid w:val="00CD26D9"/>
    <w:rsid w:val="00CD45DC"/>
    <w:rsid w:val="00CE03FE"/>
    <w:rsid w:val="00CE1E30"/>
    <w:rsid w:val="00CE487E"/>
    <w:rsid w:val="00CF02D7"/>
    <w:rsid w:val="00CF6153"/>
    <w:rsid w:val="00D01970"/>
    <w:rsid w:val="00D03415"/>
    <w:rsid w:val="00D03648"/>
    <w:rsid w:val="00D0557F"/>
    <w:rsid w:val="00D13DEC"/>
    <w:rsid w:val="00D238CA"/>
    <w:rsid w:val="00D254D7"/>
    <w:rsid w:val="00D311AA"/>
    <w:rsid w:val="00D354C7"/>
    <w:rsid w:val="00D35DF2"/>
    <w:rsid w:val="00D41FB0"/>
    <w:rsid w:val="00D51D2C"/>
    <w:rsid w:val="00D555FD"/>
    <w:rsid w:val="00D56EB9"/>
    <w:rsid w:val="00D5743C"/>
    <w:rsid w:val="00D610D0"/>
    <w:rsid w:val="00D6202A"/>
    <w:rsid w:val="00D83652"/>
    <w:rsid w:val="00D842C8"/>
    <w:rsid w:val="00D85017"/>
    <w:rsid w:val="00D86B88"/>
    <w:rsid w:val="00DB6DF5"/>
    <w:rsid w:val="00DC1BF1"/>
    <w:rsid w:val="00DF201D"/>
    <w:rsid w:val="00DF217F"/>
    <w:rsid w:val="00DF236D"/>
    <w:rsid w:val="00DF645C"/>
    <w:rsid w:val="00DF7AC9"/>
    <w:rsid w:val="00E20292"/>
    <w:rsid w:val="00E24915"/>
    <w:rsid w:val="00E25FDA"/>
    <w:rsid w:val="00E32C9F"/>
    <w:rsid w:val="00E47EA8"/>
    <w:rsid w:val="00E52942"/>
    <w:rsid w:val="00E63233"/>
    <w:rsid w:val="00E63AF9"/>
    <w:rsid w:val="00E82FE0"/>
    <w:rsid w:val="00E85484"/>
    <w:rsid w:val="00E86F04"/>
    <w:rsid w:val="00E92A7C"/>
    <w:rsid w:val="00EA74CA"/>
    <w:rsid w:val="00EB3508"/>
    <w:rsid w:val="00EB66B8"/>
    <w:rsid w:val="00EC3EBF"/>
    <w:rsid w:val="00ED5341"/>
    <w:rsid w:val="00EE033B"/>
    <w:rsid w:val="00EE0808"/>
    <w:rsid w:val="00EF15F4"/>
    <w:rsid w:val="00EF4664"/>
    <w:rsid w:val="00F056D5"/>
    <w:rsid w:val="00F2208E"/>
    <w:rsid w:val="00F22606"/>
    <w:rsid w:val="00F2429F"/>
    <w:rsid w:val="00F374C7"/>
    <w:rsid w:val="00F532D3"/>
    <w:rsid w:val="00F55992"/>
    <w:rsid w:val="00F57C2E"/>
    <w:rsid w:val="00F6165D"/>
    <w:rsid w:val="00F713E0"/>
    <w:rsid w:val="00F715CE"/>
    <w:rsid w:val="00F819DD"/>
    <w:rsid w:val="00FA446E"/>
    <w:rsid w:val="00FA4C10"/>
    <w:rsid w:val="00FA5D09"/>
    <w:rsid w:val="00FA67FF"/>
    <w:rsid w:val="00FD660B"/>
    <w:rsid w:val="00FD7C0E"/>
    <w:rsid w:val="00FF18CD"/>
    <w:rsid w:val="00FF5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CE2FC6D"/>
  <w15:docId w15:val="{7BE01E9C-C3D5-4344-8E5D-2C15FF47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uiPriority w:val="34"/>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uiPriority w:val="39"/>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TableGrid1">
    <w:name w:val="Table Grid1"/>
    <w:basedOn w:val="TableNormal"/>
    <w:next w:val="TableGrid"/>
    <w:uiPriority w:val="39"/>
    <w:rsid w:val="00764841"/>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C9F"/>
    <w:rPr>
      <w:color w:val="808080"/>
    </w:rPr>
  </w:style>
  <w:style w:type="table" w:customStyle="1" w:styleId="TableGrid2">
    <w:name w:val="Table Grid2"/>
    <w:basedOn w:val="TableNormal"/>
    <w:next w:val="TableGrid"/>
    <w:uiPriority w:val="39"/>
    <w:rsid w:val="00CA746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944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katex-mathml">
    <w:name w:val="katex-mathml"/>
    <w:basedOn w:val="DefaultParagraphFont"/>
    <w:rsid w:val="002018AB"/>
  </w:style>
  <w:style w:type="character" w:customStyle="1" w:styleId="mord">
    <w:name w:val="mord"/>
    <w:basedOn w:val="DefaultParagraphFont"/>
    <w:rsid w:val="002018AB"/>
  </w:style>
  <w:style w:type="character" w:customStyle="1" w:styleId="mrel">
    <w:name w:val="mrel"/>
    <w:basedOn w:val="DefaultParagraphFont"/>
    <w:rsid w:val="002018AB"/>
  </w:style>
  <w:style w:type="character" w:customStyle="1" w:styleId="vlist-s">
    <w:name w:val="vlist-s"/>
    <w:basedOn w:val="DefaultParagraphFont"/>
    <w:rsid w:val="00922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70561">
      <w:bodyDiv w:val="1"/>
      <w:marLeft w:val="0"/>
      <w:marRight w:val="0"/>
      <w:marTop w:val="0"/>
      <w:marBottom w:val="0"/>
      <w:divBdr>
        <w:top w:val="none" w:sz="0" w:space="0" w:color="auto"/>
        <w:left w:val="none" w:sz="0" w:space="0" w:color="auto"/>
        <w:bottom w:val="none" w:sz="0" w:space="0" w:color="auto"/>
        <w:right w:val="none" w:sz="0" w:space="0" w:color="auto"/>
      </w:divBdr>
    </w:div>
    <w:div w:id="417218941">
      <w:bodyDiv w:val="1"/>
      <w:marLeft w:val="0"/>
      <w:marRight w:val="0"/>
      <w:marTop w:val="0"/>
      <w:marBottom w:val="0"/>
      <w:divBdr>
        <w:top w:val="none" w:sz="0" w:space="0" w:color="auto"/>
        <w:left w:val="none" w:sz="0" w:space="0" w:color="auto"/>
        <w:bottom w:val="none" w:sz="0" w:space="0" w:color="auto"/>
        <w:right w:val="none" w:sz="0" w:space="0" w:color="auto"/>
      </w:divBdr>
    </w:div>
    <w:div w:id="440808360">
      <w:bodyDiv w:val="1"/>
      <w:marLeft w:val="0"/>
      <w:marRight w:val="0"/>
      <w:marTop w:val="0"/>
      <w:marBottom w:val="0"/>
      <w:divBdr>
        <w:top w:val="none" w:sz="0" w:space="0" w:color="auto"/>
        <w:left w:val="none" w:sz="0" w:space="0" w:color="auto"/>
        <w:bottom w:val="none" w:sz="0" w:space="0" w:color="auto"/>
        <w:right w:val="none" w:sz="0" w:space="0" w:color="auto"/>
      </w:divBdr>
    </w:div>
    <w:div w:id="875040836">
      <w:bodyDiv w:val="1"/>
      <w:marLeft w:val="0"/>
      <w:marRight w:val="0"/>
      <w:marTop w:val="0"/>
      <w:marBottom w:val="0"/>
      <w:divBdr>
        <w:top w:val="none" w:sz="0" w:space="0" w:color="auto"/>
        <w:left w:val="none" w:sz="0" w:space="0" w:color="auto"/>
        <w:bottom w:val="none" w:sz="0" w:space="0" w:color="auto"/>
        <w:right w:val="none" w:sz="0" w:space="0" w:color="auto"/>
      </w:divBdr>
    </w:div>
    <w:div w:id="1093891903">
      <w:bodyDiv w:val="1"/>
      <w:marLeft w:val="0"/>
      <w:marRight w:val="0"/>
      <w:marTop w:val="0"/>
      <w:marBottom w:val="0"/>
      <w:divBdr>
        <w:top w:val="none" w:sz="0" w:space="0" w:color="auto"/>
        <w:left w:val="none" w:sz="0" w:space="0" w:color="auto"/>
        <w:bottom w:val="none" w:sz="0" w:space="0" w:color="auto"/>
        <w:right w:val="none" w:sz="0" w:space="0" w:color="auto"/>
      </w:divBdr>
    </w:div>
    <w:div w:id="1244953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2.emf"/><Relationship Id="rId3" Type="http://schemas.openxmlformats.org/officeDocument/2006/relationships/numbering" Target="numbering.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hyperlink" Target="mailto:desianavidayanti@gmail.com" TargetMode="External"/><Relationship Id="rId17" Type="http://schemas.openxmlformats.org/officeDocument/2006/relationships/header" Target="header3.xml"/><Relationship Id="rId25" Type="http://schemas.openxmlformats.org/officeDocument/2006/relationships/image" Target="media/image11.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yperlink" Target="http://creativecommons.org/licenses/by-sa/4.0/"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em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917CCE58-4C35-48C0-870F-14464093963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24515</Words>
  <Characters>139738</Characters>
  <Application>Microsoft Office Word</Application>
  <DocSecurity>0</DocSecurity>
  <Lines>1164</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Prof DR. Ir. Andi Adriansyah,. M.Eng</cp:lastModifiedBy>
  <cp:revision>5</cp:revision>
  <cp:lastPrinted>2025-11-21T06:00:00Z</cp:lastPrinted>
  <dcterms:created xsi:type="dcterms:W3CDTF">2025-11-22T10:54:00Z</dcterms:created>
  <dcterms:modified xsi:type="dcterms:W3CDTF">2025-11-29T10:16:00Z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c5fffbec-bf33-3d72-ad9e-2a966ad91730</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http://www.zotero.org/styles/elsevier-vancouver</vt:lpwstr>
  </property>
  <property fmtid="{D5CDD505-2E9C-101B-9397-08002B2CF9AE}" pid="14" name="Mendeley Recent Style Name 4_1">
    <vt:lpwstr>Elsevier - Vancouver</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